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B9779" w14:textId="77777777" w:rsidR="00334EBF" w:rsidRPr="00334EBF" w:rsidRDefault="00334EBF" w:rsidP="00334EBF">
      <w:pPr>
        <w:pStyle w:val="BodyText"/>
        <w:jc w:val="both"/>
        <w:rPr>
          <w:rFonts w:ascii="Times New Roman" w:hAnsi="Times New Roman" w:cs="Times New Roman"/>
        </w:rPr>
      </w:pPr>
      <w:bookmarkStart w:id="0" w:name="supplementary-figure-captions"/>
      <w:bookmarkStart w:id="1" w:name="supplementary-figure-s1"/>
      <w:r w:rsidRPr="00334EBF">
        <w:rPr>
          <w:rFonts w:ascii="Times New Roman" w:hAnsi="Times New Roman" w:cs="Times New Roman"/>
          <w:noProof/>
        </w:rPr>
        <w:drawing>
          <wp:inline distT="0" distB="0" distL="0" distR="0" wp14:anchorId="6F9B531D" wp14:editId="34D07C5E">
            <wp:extent cx="5943600" cy="4866201"/>
            <wp:effectExtent l="0" t="0" r="0" b="0"/>
            <wp:docPr id="168899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95552" name="Picture 1688995552"/>
                    <pic:cNvPicPr/>
                  </pic:nvPicPr>
                  <pic:blipFill rotWithShape="1">
                    <a:blip r:embed="rId7" cstate="print">
                      <a:extLst>
                        <a:ext uri="{28A0092B-C50C-407E-A947-70E740481C1C}">
                          <a14:useLocalDpi xmlns:a14="http://schemas.microsoft.com/office/drawing/2010/main" val="0"/>
                        </a:ext>
                      </a:extLst>
                    </a:blip>
                    <a:srcRect t="6488"/>
                    <a:stretch>
                      <a:fillRect/>
                    </a:stretch>
                  </pic:blipFill>
                  <pic:spPr bwMode="auto">
                    <a:xfrm>
                      <a:off x="0" y="0"/>
                      <a:ext cx="5943600" cy="4866201"/>
                    </a:xfrm>
                    <a:prstGeom prst="rect">
                      <a:avLst/>
                    </a:prstGeom>
                    <a:ln>
                      <a:noFill/>
                    </a:ln>
                    <a:extLst>
                      <a:ext uri="{53640926-AAD7-44D8-BBD7-CCE9431645EC}">
                        <a14:shadowObscured xmlns:a14="http://schemas.microsoft.com/office/drawing/2010/main"/>
                      </a:ext>
                    </a:extLst>
                  </pic:spPr>
                </pic:pic>
              </a:graphicData>
            </a:graphic>
          </wp:inline>
        </w:drawing>
      </w:r>
    </w:p>
    <w:p w14:paraId="217EEF99" w14:textId="77777777" w:rsidR="00BE3539" w:rsidRPr="00334EBF" w:rsidRDefault="00C65741" w:rsidP="00334EBF">
      <w:pPr>
        <w:pStyle w:val="FirstParagraph"/>
        <w:jc w:val="both"/>
        <w:rPr>
          <w:rFonts w:ascii="Times New Roman" w:hAnsi="Times New Roman" w:cs="Times New Roman"/>
        </w:rPr>
      </w:pPr>
      <w:r w:rsidRPr="00334EBF">
        <w:rPr>
          <w:rFonts w:ascii="Times New Roman" w:hAnsi="Times New Roman" w:cs="Times New Roman"/>
          <w:b/>
          <w:bCs/>
        </w:rPr>
        <w:t>Fig. S1</w:t>
      </w:r>
      <w:r w:rsidRPr="00334EBF">
        <w:rPr>
          <w:rFonts w:ascii="Times New Roman" w:hAnsi="Times New Roman" w:cs="Times New Roman"/>
        </w:rPr>
        <w:t xml:space="preserve"> </w:t>
      </w:r>
      <w:r w:rsidRPr="00334EBF">
        <w:rPr>
          <w:rFonts w:ascii="Times New Roman" w:hAnsi="Times New Roman" w:cs="Times New Roman"/>
        </w:rPr>
        <w:t>Phenotypic distribution of agronomic traits across environments in 55 pearl millet genotypes (10 parents + 45 F₁ hybrids). Violin-box plots showing distribution of (a) days to 50% flowering (DF), (b) days to maturity (DM), (c) plant height (PH), (d) productive tillers/plant, (e) panicle length (PL), (f) panicle girth (PG), (g) test weight (TW), (h) dry fodder yield (DFY), and (i) harvest index (HI) under E1 (normal sowing), E2 (late sowing), and pooled environments. Traits are color-coded by category: Pheno</w:t>
      </w:r>
      <w:r w:rsidRPr="00334EBF">
        <w:rPr>
          <w:rFonts w:ascii="Times New Roman" w:hAnsi="Times New Roman" w:cs="Times New Roman"/>
        </w:rPr>
        <w:t>logical (blue), Morphological (green), and Yield (red). Box plots within violins indicate median (red line) and interquartile range.</w:t>
      </w:r>
    </w:p>
    <w:p w14:paraId="1DBA96FA" w14:textId="77777777" w:rsidR="00BE3539" w:rsidRPr="00334EBF" w:rsidRDefault="00BE3539" w:rsidP="00334EBF">
      <w:pPr>
        <w:jc w:val="both"/>
        <w:rPr>
          <w:rFonts w:ascii="Times New Roman" w:hAnsi="Times New Roman" w:cs="Times New Roman"/>
        </w:rPr>
      </w:pPr>
    </w:p>
    <w:p w14:paraId="1A3EB8DC" w14:textId="77777777" w:rsidR="00334EBF" w:rsidRPr="00334EBF" w:rsidRDefault="00334EBF" w:rsidP="00334EBF">
      <w:pPr>
        <w:pStyle w:val="FirstParagraph"/>
        <w:jc w:val="both"/>
        <w:rPr>
          <w:rFonts w:ascii="Times New Roman" w:hAnsi="Times New Roman" w:cs="Times New Roman"/>
          <w:b/>
          <w:bCs/>
        </w:rPr>
      </w:pPr>
      <w:bookmarkStart w:id="2" w:name="supplementary-figure-s2"/>
      <w:bookmarkEnd w:id="1"/>
      <w:r w:rsidRPr="00334EBF">
        <w:rPr>
          <w:rFonts w:ascii="Times New Roman" w:hAnsi="Times New Roman" w:cs="Times New Roman"/>
          <w:b/>
          <w:bCs/>
          <w:noProof/>
        </w:rPr>
        <w:lastRenderedPageBreak/>
        <w:drawing>
          <wp:inline distT="0" distB="0" distL="0" distR="0" wp14:anchorId="3D3FED27" wp14:editId="5879C430">
            <wp:extent cx="5943600" cy="5160596"/>
            <wp:effectExtent l="0" t="0" r="0" b="0"/>
            <wp:docPr id="243840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40601" name="Picture 243840601"/>
                    <pic:cNvPicPr/>
                  </pic:nvPicPr>
                  <pic:blipFill rotWithShape="1">
                    <a:blip r:embed="rId8" cstate="print">
                      <a:extLst>
                        <a:ext uri="{28A0092B-C50C-407E-A947-70E740481C1C}">
                          <a14:useLocalDpi xmlns:a14="http://schemas.microsoft.com/office/drawing/2010/main" val="0"/>
                        </a:ext>
                      </a:extLst>
                    </a:blip>
                    <a:srcRect t="5170"/>
                    <a:stretch>
                      <a:fillRect/>
                    </a:stretch>
                  </pic:blipFill>
                  <pic:spPr bwMode="auto">
                    <a:xfrm>
                      <a:off x="0" y="0"/>
                      <a:ext cx="5943600" cy="5160596"/>
                    </a:xfrm>
                    <a:prstGeom prst="rect">
                      <a:avLst/>
                    </a:prstGeom>
                    <a:ln>
                      <a:noFill/>
                    </a:ln>
                    <a:extLst>
                      <a:ext uri="{53640926-AAD7-44D8-BBD7-CCE9431645EC}">
                        <a14:shadowObscured xmlns:a14="http://schemas.microsoft.com/office/drawing/2010/main"/>
                      </a:ext>
                    </a:extLst>
                  </pic:spPr>
                </pic:pic>
              </a:graphicData>
            </a:graphic>
          </wp:inline>
        </w:drawing>
      </w:r>
    </w:p>
    <w:p w14:paraId="734680B3" w14:textId="77777777" w:rsidR="00BE3539" w:rsidRPr="00334EBF" w:rsidRDefault="00C65741" w:rsidP="00334EBF">
      <w:pPr>
        <w:pStyle w:val="FirstParagraph"/>
        <w:jc w:val="both"/>
        <w:rPr>
          <w:rFonts w:ascii="Times New Roman" w:hAnsi="Times New Roman" w:cs="Times New Roman"/>
        </w:rPr>
      </w:pPr>
      <w:r w:rsidRPr="00334EBF">
        <w:rPr>
          <w:rFonts w:ascii="Times New Roman" w:hAnsi="Times New Roman" w:cs="Times New Roman"/>
          <w:b/>
          <w:bCs/>
        </w:rPr>
        <w:t>Fig. S2</w:t>
      </w:r>
      <w:r w:rsidRPr="00334EBF">
        <w:rPr>
          <w:rFonts w:ascii="Times New Roman" w:hAnsi="Times New Roman" w:cs="Times New Roman"/>
        </w:rPr>
        <w:t xml:space="preserve"> Vr-Wr regression analysis (Hayman’s graphical approach) for nine agronomic traits in pearl millet (pooled data). (a) Days to 50% flowering, (b) Days to maturity, (c) Plant height, (d) Productive tillers/plant, (e) Panicle length, (f) Panicle girth, (g) Test weight, (h) Dry fodder yield, and (i) Harvest index. Solid lines represent regression of Wr (array covariance) on Vr (array variance); dashed curves indicate limiting parabola. Regression equations and r² values are shown for each trait. Parents positio</w:t>
      </w:r>
      <w:r w:rsidRPr="00334EBF">
        <w:rPr>
          <w:rFonts w:ascii="Times New Roman" w:hAnsi="Times New Roman" w:cs="Times New Roman"/>
        </w:rPr>
        <w:t>ned near the origin possess dominant alleles; those farther from origin carry recessive alleles.</w:t>
      </w:r>
    </w:p>
    <w:p w14:paraId="72C43661" w14:textId="77777777" w:rsidR="00334EBF" w:rsidRPr="00334EBF" w:rsidRDefault="00334EBF" w:rsidP="00334EBF">
      <w:pPr>
        <w:pStyle w:val="BodyText"/>
        <w:jc w:val="both"/>
        <w:rPr>
          <w:rFonts w:ascii="Times New Roman" w:hAnsi="Times New Roman" w:cs="Times New Roman"/>
        </w:rPr>
      </w:pPr>
    </w:p>
    <w:p w14:paraId="6C6721E5" w14:textId="77777777" w:rsidR="00334EBF" w:rsidRPr="00334EBF" w:rsidRDefault="00334EBF" w:rsidP="00334EBF">
      <w:pPr>
        <w:pStyle w:val="BodyText"/>
        <w:jc w:val="both"/>
        <w:rPr>
          <w:rFonts w:ascii="Times New Roman" w:hAnsi="Times New Roman" w:cs="Times New Roman"/>
        </w:rPr>
      </w:pPr>
    </w:p>
    <w:p w14:paraId="4B8C355E" w14:textId="77777777" w:rsidR="00334EBF" w:rsidRPr="00334EBF" w:rsidRDefault="00334EBF" w:rsidP="00334EBF">
      <w:pPr>
        <w:pStyle w:val="BodyText"/>
        <w:jc w:val="both"/>
        <w:rPr>
          <w:rFonts w:ascii="Times New Roman" w:hAnsi="Times New Roman" w:cs="Times New Roman"/>
        </w:rPr>
      </w:pPr>
    </w:p>
    <w:p w14:paraId="5CE835A2" w14:textId="77777777" w:rsidR="00334EBF" w:rsidRPr="00334EBF" w:rsidRDefault="00334EBF" w:rsidP="00334EBF">
      <w:pPr>
        <w:pStyle w:val="BodyText"/>
        <w:jc w:val="both"/>
        <w:rPr>
          <w:rFonts w:ascii="Times New Roman" w:hAnsi="Times New Roman" w:cs="Times New Roman"/>
        </w:rPr>
      </w:pPr>
    </w:p>
    <w:p w14:paraId="535E6390" w14:textId="77777777" w:rsidR="00334EBF" w:rsidRPr="00334EBF" w:rsidRDefault="00334EBF" w:rsidP="00334EBF">
      <w:pPr>
        <w:pStyle w:val="BodyText"/>
        <w:jc w:val="both"/>
        <w:rPr>
          <w:rFonts w:ascii="Times New Roman" w:hAnsi="Times New Roman" w:cs="Times New Roman"/>
        </w:rPr>
      </w:pPr>
    </w:p>
    <w:p w14:paraId="671E71BD" w14:textId="77777777" w:rsidR="00BE3539" w:rsidRPr="00334EBF" w:rsidRDefault="00334EBF" w:rsidP="00334EBF">
      <w:pPr>
        <w:jc w:val="both"/>
        <w:rPr>
          <w:rFonts w:ascii="Times New Roman" w:hAnsi="Times New Roman" w:cs="Times New Roman"/>
        </w:rPr>
      </w:pPr>
      <w:r w:rsidRPr="00334EBF">
        <w:rPr>
          <w:rFonts w:ascii="Times New Roman" w:hAnsi="Times New Roman" w:cs="Times New Roman"/>
          <w:noProof/>
        </w:rPr>
        <w:lastRenderedPageBreak/>
        <w:drawing>
          <wp:inline distT="0" distB="0" distL="0" distR="0" wp14:anchorId="5268492B" wp14:editId="05CBC766">
            <wp:extent cx="5943600" cy="4834890"/>
            <wp:effectExtent l="0" t="0" r="0" b="0"/>
            <wp:docPr id="1195805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05766" name="Picture 11958057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834890"/>
                    </a:xfrm>
                    <a:prstGeom prst="rect">
                      <a:avLst/>
                    </a:prstGeom>
                  </pic:spPr>
                </pic:pic>
              </a:graphicData>
            </a:graphic>
          </wp:inline>
        </w:drawing>
      </w:r>
      <w:bookmarkStart w:id="3" w:name="supplementary-figure-s3"/>
      <w:bookmarkEnd w:id="2"/>
    </w:p>
    <w:p w14:paraId="15FE451E" w14:textId="77777777" w:rsidR="00BE3539" w:rsidRPr="00334EBF" w:rsidRDefault="00C65741" w:rsidP="00334EBF">
      <w:pPr>
        <w:pStyle w:val="FirstParagraph"/>
        <w:jc w:val="both"/>
        <w:rPr>
          <w:rFonts w:ascii="Times New Roman" w:hAnsi="Times New Roman" w:cs="Times New Roman"/>
        </w:rPr>
      </w:pPr>
      <w:r w:rsidRPr="00334EBF">
        <w:rPr>
          <w:rFonts w:ascii="Times New Roman" w:hAnsi="Times New Roman" w:cs="Times New Roman"/>
          <w:b/>
          <w:bCs/>
        </w:rPr>
        <w:t>Fig. S3</w:t>
      </w:r>
      <w:r w:rsidRPr="00334EBF">
        <w:rPr>
          <w:rFonts w:ascii="Times New Roman" w:hAnsi="Times New Roman" w:cs="Times New Roman"/>
        </w:rPr>
        <w:t xml:space="preserve"> Split heatmap displaying genetic (upper triangle) and phenotypic (lower triangle) correlation coefficients among 13 traits in pearl millet. Traits grouped into four categories: Phenological (DF, DM), Morphological (PH, Tillers, PL, PG), Yield (TW, DFY, GY, HI), and Biofortification (Fe, Zn, Protein). Color scale indicates correlation magnitude and direction (green = positive; red = negative). Significance levels indicated as: </w:t>
      </w:r>
      <w:r w:rsidRPr="00334EBF">
        <w:rPr>
          <w:rFonts w:ascii="Times New Roman" w:hAnsi="Times New Roman" w:cs="Times New Roman"/>
          <w:i/>
          <w:iCs/>
        </w:rPr>
        <w:t xml:space="preserve">P&lt;0.05, </w:t>
      </w:r>
      <w:r w:rsidRPr="00334EBF">
        <w:rPr>
          <w:rFonts w:ascii="Times New Roman" w:hAnsi="Times New Roman" w:cs="Times New Roman"/>
          <w:b/>
          <w:bCs/>
          <w:i/>
          <w:iCs/>
        </w:rPr>
        <w:t xml:space="preserve">P&lt;0.01, </w:t>
      </w:r>
      <w:r w:rsidRPr="00334EBF">
        <w:rPr>
          <w:rFonts w:ascii="Times New Roman" w:hAnsi="Times New Roman" w:cs="Times New Roman"/>
        </w:rPr>
        <w:t>P&lt;0.001. Notable correlations include Fe-Zn (rg = 0.82</w:t>
      </w:r>
      <w:r w:rsidRPr="00334EBF">
        <w:rPr>
          <w:rFonts w:ascii="Times New Roman" w:hAnsi="Times New Roman" w:cs="Times New Roman"/>
          <w:b/>
          <w:bCs/>
        </w:rPr>
        <w:t>), DF-DM (r</w:t>
      </w:r>
      <w:r w:rsidRPr="00334EBF">
        <w:rPr>
          <w:rFonts w:ascii="Times New Roman" w:hAnsi="Times New Roman" w:cs="Times New Roman"/>
          <w:b/>
          <w:bCs/>
        </w:rPr>
        <w:t>g = 0.98</w:t>
      </w:r>
      <w:r w:rsidRPr="00334EBF">
        <w:rPr>
          <w:rFonts w:ascii="Times New Roman" w:hAnsi="Times New Roman" w:cs="Times New Roman"/>
        </w:rPr>
        <w:t>*), and DFY-HI (</w:t>
      </w:r>
      <w:proofErr w:type="spellStart"/>
      <w:r w:rsidRPr="00334EBF">
        <w:rPr>
          <w:rFonts w:ascii="Times New Roman" w:hAnsi="Times New Roman" w:cs="Times New Roman"/>
        </w:rPr>
        <w:t>rg</w:t>
      </w:r>
      <w:proofErr w:type="spellEnd"/>
      <w:r w:rsidRPr="00334EBF">
        <w:rPr>
          <w:rFonts w:ascii="Times New Roman" w:hAnsi="Times New Roman" w:cs="Times New Roman"/>
        </w:rPr>
        <w:t xml:space="preserve"> = -0.83**).</w:t>
      </w:r>
    </w:p>
    <w:p w14:paraId="56AE4120" w14:textId="77777777" w:rsidR="00334EBF" w:rsidRPr="00334EBF" w:rsidRDefault="00334EBF" w:rsidP="00334EBF">
      <w:pPr>
        <w:pStyle w:val="BodyText"/>
        <w:jc w:val="both"/>
        <w:rPr>
          <w:rFonts w:ascii="Times New Roman" w:hAnsi="Times New Roman" w:cs="Times New Roman"/>
        </w:rPr>
      </w:pPr>
    </w:p>
    <w:p w14:paraId="76054F6C" w14:textId="77777777" w:rsidR="00334EBF" w:rsidRPr="00334EBF" w:rsidRDefault="00334EBF" w:rsidP="00334EBF">
      <w:pPr>
        <w:pStyle w:val="BodyText"/>
        <w:jc w:val="both"/>
        <w:rPr>
          <w:rFonts w:ascii="Times New Roman" w:hAnsi="Times New Roman" w:cs="Times New Roman"/>
        </w:rPr>
      </w:pPr>
    </w:p>
    <w:p w14:paraId="44C4EA87" w14:textId="77777777" w:rsidR="00334EBF" w:rsidRPr="00334EBF" w:rsidRDefault="00334EBF" w:rsidP="00334EBF">
      <w:pPr>
        <w:pStyle w:val="BodyText"/>
        <w:jc w:val="both"/>
        <w:rPr>
          <w:rFonts w:ascii="Times New Roman" w:hAnsi="Times New Roman" w:cs="Times New Roman"/>
        </w:rPr>
      </w:pPr>
    </w:p>
    <w:p w14:paraId="51662677" w14:textId="77777777" w:rsidR="00334EBF" w:rsidRPr="00334EBF" w:rsidRDefault="00334EBF" w:rsidP="00334EBF">
      <w:pPr>
        <w:pStyle w:val="BodyText"/>
        <w:jc w:val="both"/>
        <w:rPr>
          <w:rFonts w:ascii="Times New Roman" w:hAnsi="Times New Roman" w:cs="Times New Roman"/>
        </w:rPr>
      </w:pPr>
    </w:p>
    <w:p w14:paraId="56DE92DF" w14:textId="77777777" w:rsidR="00334EBF" w:rsidRPr="00334EBF" w:rsidRDefault="00334EBF" w:rsidP="00334EBF">
      <w:pPr>
        <w:pStyle w:val="BodyText"/>
        <w:jc w:val="both"/>
        <w:rPr>
          <w:rFonts w:ascii="Times New Roman" w:hAnsi="Times New Roman" w:cs="Times New Roman"/>
        </w:rPr>
      </w:pPr>
    </w:p>
    <w:p w14:paraId="33B56794" w14:textId="77777777" w:rsidR="00334EBF" w:rsidRPr="00334EBF" w:rsidRDefault="00334EBF" w:rsidP="00334EBF">
      <w:pPr>
        <w:pStyle w:val="BodyText"/>
        <w:jc w:val="both"/>
        <w:rPr>
          <w:rFonts w:ascii="Times New Roman" w:hAnsi="Times New Roman" w:cs="Times New Roman"/>
        </w:rPr>
      </w:pPr>
    </w:p>
    <w:p w14:paraId="51536830" w14:textId="77777777" w:rsidR="00BE3539" w:rsidRPr="00334EBF" w:rsidRDefault="00334EBF" w:rsidP="00334EBF">
      <w:pPr>
        <w:pStyle w:val="BodyText"/>
        <w:jc w:val="both"/>
        <w:rPr>
          <w:rFonts w:ascii="Times New Roman" w:hAnsi="Times New Roman" w:cs="Times New Roman"/>
        </w:rPr>
      </w:pPr>
      <w:r w:rsidRPr="00334EBF">
        <w:rPr>
          <w:rFonts w:ascii="Times New Roman" w:hAnsi="Times New Roman" w:cs="Times New Roman"/>
          <w:noProof/>
        </w:rPr>
        <w:lastRenderedPageBreak/>
        <w:drawing>
          <wp:inline distT="0" distB="0" distL="0" distR="0" wp14:anchorId="75AD402F" wp14:editId="12844AC1">
            <wp:extent cx="5943600" cy="2423209"/>
            <wp:effectExtent l="0" t="0" r="0" b="0"/>
            <wp:docPr id="688433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33995" name="Picture 688433995"/>
                    <pic:cNvPicPr/>
                  </pic:nvPicPr>
                  <pic:blipFill rotWithShape="1">
                    <a:blip r:embed="rId10" cstate="print">
                      <a:extLst>
                        <a:ext uri="{28A0092B-C50C-407E-A947-70E740481C1C}">
                          <a14:useLocalDpi xmlns:a14="http://schemas.microsoft.com/office/drawing/2010/main" val="0"/>
                        </a:ext>
                      </a:extLst>
                    </a:blip>
                    <a:srcRect t="9934"/>
                    <a:stretch>
                      <a:fillRect/>
                    </a:stretch>
                  </pic:blipFill>
                  <pic:spPr bwMode="auto">
                    <a:xfrm>
                      <a:off x="0" y="0"/>
                      <a:ext cx="5943600" cy="2423209"/>
                    </a:xfrm>
                    <a:prstGeom prst="rect">
                      <a:avLst/>
                    </a:prstGeom>
                    <a:ln>
                      <a:noFill/>
                    </a:ln>
                    <a:extLst>
                      <a:ext uri="{53640926-AAD7-44D8-BBD7-CCE9431645EC}">
                        <a14:shadowObscured xmlns:a14="http://schemas.microsoft.com/office/drawing/2010/main"/>
                      </a:ext>
                    </a:extLst>
                  </pic:spPr>
                </pic:pic>
              </a:graphicData>
            </a:graphic>
          </wp:inline>
        </w:drawing>
      </w:r>
    </w:p>
    <w:p w14:paraId="07D0E7F6" w14:textId="77777777" w:rsidR="00BE3539" w:rsidRDefault="00C65741" w:rsidP="00334EBF">
      <w:pPr>
        <w:pStyle w:val="FirstParagraph"/>
        <w:jc w:val="both"/>
        <w:rPr>
          <w:rFonts w:ascii="Times New Roman" w:hAnsi="Times New Roman" w:cs="Times New Roman"/>
        </w:rPr>
      </w:pPr>
      <w:bookmarkStart w:id="4" w:name="supplementary-figure-s4"/>
      <w:bookmarkEnd w:id="3"/>
      <w:r w:rsidRPr="00334EBF">
        <w:rPr>
          <w:rFonts w:ascii="Times New Roman" w:hAnsi="Times New Roman" w:cs="Times New Roman"/>
          <w:b/>
          <w:bCs/>
        </w:rPr>
        <w:t>Fig. S4</w:t>
      </w:r>
      <w:r w:rsidRPr="00334EBF">
        <w:rPr>
          <w:rFonts w:ascii="Times New Roman" w:hAnsi="Times New Roman" w:cs="Times New Roman"/>
        </w:rPr>
        <w:t xml:space="preserve"> Principal component analysis (PCA) variance distribution for 13 traits in pearl millet. (a) Scree plot showing individual variance explained by each principal component; red dashed line indicates average variance (7.7%). (b) Cumulative variance plot with threshold lines at 70% (orange) and 80% (red); blue dotted line indicates Kaiser criterion (eigenvalue &gt;1) retaining first five PCs. PC1 through PC5 cumulatively explained 77.6% of total phenotypic variation. Green bars indicate PCs with above-average cont</w:t>
      </w:r>
      <w:r w:rsidRPr="00334EBF">
        <w:rPr>
          <w:rFonts w:ascii="Times New Roman" w:hAnsi="Times New Roman" w:cs="Times New Roman"/>
        </w:rPr>
        <w:t>ribution; blue bars indicate below-average contribution.</w:t>
      </w:r>
    </w:p>
    <w:p w14:paraId="394CD99C" w14:textId="77777777" w:rsidR="00C65741" w:rsidRPr="00C65741" w:rsidRDefault="00C65741" w:rsidP="00C65741">
      <w:pPr>
        <w:pStyle w:val="BodyText"/>
      </w:pPr>
    </w:p>
    <w:p w14:paraId="745F78C5" w14:textId="77777777" w:rsidR="00334EBF" w:rsidRPr="00334EBF" w:rsidRDefault="00334EBF" w:rsidP="00334EBF">
      <w:pPr>
        <w:pStyle w:val="BodyText"/>
        <w:jc w:val="both"/>
        <w:rPr>
          <w:rFonts w:ascii="Times New Roman" w:hAnsi="Times New Roman" w:cs="Times New Roman"/>
        </w:rPr>
      </w:pPr>
      <w:r w:rsidRPr="00334EBF">
        <w:rPr>
          <w:rFonts w:ascii="Times New Roman" w:hAnsi="Times New Roman" w:cs="Times New Roman"/>
          <w:noProof/>
        </w:rPr>
        <w:lastRenderedPageBreak/>
        <w:drawing>
          <wp:inline distT="0" distB="0" distL="0" distR="0" wp14:anchorId="7834955E" wp14:editId="24DB7DA3">
            <wp:extent cx="5943600" cy="4276627"/>
            <wp:effectExtent l="0" t="0" r="0" b="3810"/>
            <wp:docPr id="1836962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62517" name="Picture 1836962517"/>
                    <pic:cNvPicPr/>
                  </pic:nvPicPr>
                  <pic:blipFill rotWithShape="1">
                    <a:blip r:embed="rId11" cstate="print">
                      <a:extLst>
                        <a:ext uri="{28A0092B-C50C-407E-A947-70E740481C1C}">
                          <a14:useLocalDpi xmlns:a14="http://schemas.microsoft.com/office/drawing/2010/main" val="0"/>
                        </a:ext>
                      </a:extLst>
                    </a:blip>
                    <a:srcRect t="4403"/>
                    <a:stretch>
                      <a:fillRect/>
                    </a:stretch>
                  </pic:blipFill>
                  <pic:spPr bwMode="auto">
                    <a:xfrm>
                      <a:off x="0" y="0"/>
                      <a:ext cx="5943600" cy="4276627"/>
                    </a:xfrm>
                    <a:prstGeom prst="rect">
                      <a:avLst/>
                    </a:prstGeom>
                    <a:ln>
                      <a:noFill/>
                    </a:ln>
                    <a:extLst>
                      <a:ext uri="{53640926-AAD7-44D8-BBD7-CCE9431645EC}">
                        <a14:shadowObscured xmlns:a14="http://schemas.microsoft.com/office/drawing/2010/main"/>
                      </a:ext>
                    </a:extLst>
                  </pic:spPr>
                </pic:pic>
              </a:graphicData>
            </a:graphic>
          </wp:inline>
        </w:drawing>
      </w:r>
    </w:p>
    <w:p w14:paraId="0DA90472" w14:textId="77777777" w:rsidR="00BE3539" w:rsidRPr="00334EBF" w:rsidRDefault="00C65741" w:rsidP="00334EBF">
      <w:pPr>
        <w:pStyle w:val="FirstParagraph"/>
        <w:jc w:val="both"/>
        <w:rPr>
          <w:rFonts w:ascii="Times New Roman" w:hAnsi="Times New Roman" w:cs="Times New Roman"/>
        </w:rPr>
      </w:pPr>
      <w:bookmarkStart w:id="5" w:name="supplementary-figure-s5"/>
      <w:bookmarkEnd w:id="4"/>
      <w:r w:rsidRPr="00334EBF">
        <w:rPr>
          <w:rFonts w:ascii="Times New Roman" w:hAnsi="Times New Roman" w:cs="Times New Roman"/>
          <w:b/>
          <w:bCs/>
        </w:rPr>
        <w:t>Fig. S5</w:t>
      </w:r>
      <w:r w:rsidRPr="00334EBF">
        <w:rPr>
          <w:rFonts w:ascii="Times New Roman" w:hAnsi="Times New Roman" w:cs="Times New Roman"/>
        </w:rPr>
        <w:t xml:space="preserve"> Heatmap of PCA loadings for the first five principal components across 13 traits in pearl millet. PC1 (25.6%) loaded positively on Zn (0.41), TW (0.40) and negatively on DF (-0.46), DM (-0.46). PC2 (19.7%) associated with PH (0.52), DFY (0.42), GY (0.41). PC3 (14.5%) loaded negatively on HI (-0.66), GY (-0.40). PC4 (10.2%) associated negatively with Tillers (-0.60), Fe (-0.42). PC5 (7.6%) strongly loaded on Protein (0.79). Color scale: red = positive loading; blue = negative loading. Trait categories indic</w:t>
      </w:r>
      <w:r w:rsidRPr="00334EBF">
        <w:rPr>
          <w:rFonts w:ascii="Times New Roman" w:hAnsi="Times New Roman" w:cs="Times New Roman"/>
        </w:rPr>
        <w:t>ated by colored bars: Phenological (blue), Morphological (green), Yield (red), Biofortification (purple).</w:t>
      </w:r>
    </w:p>
    <w:bookmarkEnd w:id="5"/>
    <w:bookmarkEnd w:id="0"/>
    <w:sectPr w:rsidR="00BE3539" w:rsidRPr="00334EB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D2562" w14:textId="77777777" w:rsidR="00C65741" w:rsidRDefault="00C65741">
      <w:pPr>
        <w:spacing w:after="0"/>
      </w:pPr>
      <w:r>
        <w:separator/>
      </w:r>
    </w:p>
  </w:endnote>
  <w:endnote w:type="continuationSeparator" w:id="0">
    <w:p w14:paraId="6FBBF848" w14:textId="77777777" w:rsidR="00C65741" w:rsidRDefault="00C657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97114" w14:textId="77777777" w:rsidR="00BE3539" w:rsidRDefault="00C65741">
      <w:r>
        <w:separator/>
      </w:r>
    </w:p>
  </w:footnote>
  <w:footnote w:type="continuationSeparator" w:id="0">
    <w:p w14:paraId="4A39D12C" w14:textId="77777777" w:rsidR="00BE3539" w:rsidRDefault="00C657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FEEC382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631667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539"/>
    <w:rsid w:val="000240B1"/>
    <w:rsid w:val="00334EBF"/>
    <w:rsid w:val="008F4F48"/>
    <w:rsid w:val="00BE3539"/>
    <w:rsid w:val="00C65741"/>
  </w:rsids>
  <m:mathPr>
    <m:mathFont m:val="Cambria Math"/>
    <m:brkBin m:val="before"/>
    <m:brkBinSub m:val="--"/>
    <m:smallFrac m:val="0"/>
    <m:dispDef/>
    <m:lMargin m:val="0"/>
    <m:rMargin m:val="0"/>
    <m:defJc m:val="centerGroup"/>
    <m:wrapRight/>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5CE5831"/>
  <w15:docId w15:val="{92A7EBC9-E739-C740-A2E6-AEF5D62DD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455</Words>
  <Characters>2596</Characters>
  <Application>Microsoft Office Word</Application>
  <DocSecurity>0</DocSecurity>
  <Lines>21</Lines>
  <Paragraphs>6</Paragraphs>
  <ScaleCrop>false</ScaleCrop>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Lalit Kumar Rolaniya</dc:creator>
  <cp:keywords/>
  <cp:lastModifiedBy>Dr. Lalit Kumar Rolaniya</cp:lastModifiedBy>
  <cp:revision>3</cp:revision>
  <dcterms:created xsi:type="dcterms:W3CDTF">2026-01-12T15:13:00Z</dcterms:created>
  <dcterms:modified xsi:type="dcterms:W3CDTF">2026-01-12T15:14:00Z</dcterms:modified>
</cp:coreProperties>
</file>