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A6D87" w14:textId="77777777" w:rsidR="00353B4E" w:rsidRDefault="00353B4E" w:rsidP="00353B4E">
      <w:pPr>
        <w:pStyle w:val="LetPub21Heading1"/>
      </w:pPr>
      <w:r>
        <w:t>Supplementary material</w:t>
      </w:r>
    </w:p>
    <w:p w14:paraId="00F88A98" w14:textId="77777777" w:rsidR="00353B4E" w:rsidRDefault="00353B4E" w:rsidP="00353B4E">
      <w:pPr>
        <w:pStyle w:val="LetPub31Text"/>
        <w:rPr>
          <w:rFonts w:eastAsiaTheme="minorEastAsia"/>
        </w:rPr>
      </w:pPr>
      <w:r>
        <w:rPr>
          <w:rFonts w:eastAsiaTheme="minorEastAsia"/>
        </w:rPr>
        <w:t>Supplementary Table S1 is available online.</w:t>
      </w:r>
    </w:p>
    <w:p w14:paraId="59E9A5AF" w14:textId="77777777" w:rsidR="00353B4E" w:rsidRDefault="00353B4E" w:rsidP="00353B4E">
      <w:pPr>
        <w:pStyle w:val="LetPub72ReferenceList"/>
        <w:rPr>
          <w:rFonts w:eastAsiaTheme="minorEastAsia"/>
        </w:rPr>
      </w:pPr>
    </w:p>
    <w:p w14:paraId="73861AD1" w14:textId="77777777" w:rsidR="00353B4E" w:rsidRDefault="00353B4E" w:rsidP="00353B4E">
      <w:pPr>
        <w:pStyle w:val="LetPub31Text"/>
        <w:rPr>
          <w:rFonts w:eastAsiaTheme="minorEastAsia"/>
        </w:rPr>
      </w:pPr>
      <w:r>
        <w:t xml:space="preserve">Table </w:t>
      </w:r>
      <w:r>
        <w:rPr>
          <w:rFonts w:hint="eastAsia"/>
        </w:rPr>
        <w:t>4</w:t>
      </w:r>
      <w:r>
        <w:t>: Summary of multivariate logistic regression on team safety culture of medical staff</w:t>
      </w:r>
    </w:p>
    <w:tbl>
      <w:tblPr>
        <w:tblW w:w="5513" w:type="pct"/>
        <w:tblLook w:val="04A0" w:firstRow="1" w:lastRow="0" w:firstColumn="1" w:lastColumn="0" w:noHBand="0" w:noVBand="1"/>
      </w:tblPr>
      <w:tblGrid>
        <w:gridCol w:w="3042"/>
        <w:gridCol w:w="1138"/>
        <w:gridCol w:w="1138"/>
        <w:gridCol w:w="1138"/>
        <w:gridCol w:w="1150"/>
        <w:gridCol w:w="1138"/>
        <w:gridCol w:w="1565"/>
      </w:tblGrid>
      <w:tr w:rsidR="00353B4E" w14:paraId="17557D18" w14:textId="77777777" w:rsidTr="00A405EB">
        <w:trPr>
          <w:trHeight w:val="345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ABFACF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Variable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65BBFC6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B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D8D763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S.E.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1CBBD3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Wald χ</w:t>
            </w:r>
            <w:r>
              <w:rPr>
                <w:vertAlign w:val="superscript"/>
              </w:rPr>
              <w:t>2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027C9E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P-value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17A006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OR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6E6CED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95% CI</w:t>
            </w:r>
          </w:p>
        </w:tc>
      </w:tr>
      <w:tr w:rsidR="00353B4E" w14:paraId="457D7C33" w14:textId="77777777" w:rsidTr="00A405EB">
        <w:trPr>
          <w:trHeight w:val="1727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ACAFA6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Working years (Reference: &lt; 6 months)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DB5A69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281F39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2A692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FD1937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BD1538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E3CEB3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</w:tr>
      <w:tr w:rsidR="00353B4E" w14:paraId="71477E08" w14:textId="77777777" w:rsidTr="00A405EB">
        <w:trPr>
          <w:trHeight w:val="1036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127BD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6 months – &lt; 1 year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2562E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0.42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5057E3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0.57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48981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0.54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FFE1D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0.46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88622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1.52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2B4D76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0.50–4.65</w:t>
            </w:r>
          </w:p>
        </w:tc>
      </w:tr>
      <w:tr w:rsidR="00353B4E" w14:paraId="55ADD351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BAF4C3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1–2 years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4CC06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7EB21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82374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0.45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8F775D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E2D2B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1.41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BAD5ED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0.52–3.83</w:t>
            </w:r>
          </w:p>
        </w:tc>
      </w:tr>
      <w:tr w:rsidR="00353B4E" w14:paraId="08A3EF0A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90ABC3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3–7 years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1A097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0.09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E9175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30E53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0.03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D5E71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0.86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101A9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1.1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D9627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0.41–2.93</w:t>
            </w:r>
          </w:p>
        </w:tc>
      </w:tr>
      <w:tr w:rsidR="00353B4E" w14:paraId="036D3304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160AC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8–12 years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A769D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−0.44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93AA1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0.49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F0A6B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38B86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0.37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08612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0.64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82EA8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0.25–1.68</w:t>
            </w:r>
          </w:p>
        </w:tc>
      </w:tr>
      <w:tr w:rsidR="00353B4E" w14:paraId="7AF1B9EC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4AC35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&gt; 12 years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35DFB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0.08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D43EE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0.52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7E1271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0.02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96297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0.88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C12E0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1.08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F385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0.39–2.97</w:t>
            </w:r>
          </w:p>
        </w:tc>
      </w:tr>
      <w:tr w:rsidR="00353B4E" w14:paraId="2D3AFEEF" w14:textId="77777777" w:rsidTr="00A405EB">
        <w:trPr>
          <w:trHeight w:val="2203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767BD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Department (Reference: Obstetrics &amp; Pediatrics)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7A7AC5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C494DC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8F85BB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0A0731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C29561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E97505" w14:textId="77777777" w:rsidR="00353B4E" w:rsidRDefault="00353B4E" w:rsidP="00A405EB">
            <w:pPr>
              <w:pStyle w:val="LetPub32TextIndent"/>
              <w:ind w:firstLineChars="0" w:firstLine="0"/>
            </w:pPr>
          </w:p>
        </w:tc>
      </w:tr>
      <w:tr w:rsidR="00353B4E" w14:paraId="2824772A" w14:textId="77777777" w:rsidTr="00A405EB">
        <w:trPr>
          <w:trHeight w:val="1382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52E08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Emergency &amp; critical care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7D773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−0.86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5415D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D7635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6.5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0A4F3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8E495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0.42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A1B18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0.22–0.82</w:t>
            </w:r>
          </w:p>
        </w:tc>
      </w:tr>
      <w:tr w:rsidR="00353B4E" w14:paraId="1DD481E6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FC481F" w14:textId="77777777" w:rsidR="00353B4E" w:rsidRDefault="00353B4E" w:rsidP="00A405EB">
            <w:pPr>
              <w:pStyle w:val="LetPub32TextIndent"/>
              <w:ind w:firstLineChars="0" w:firstLine="0"/>
            </w:pPr>
            <w:r>
              <w:lastRenderedPageBreak/>
              <w:t>Laboratory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679A2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−1.38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91187D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0.64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65634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4.63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9E7BE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040FF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0.25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5D97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0.07–0.88</w:t>
            </w:r>
          </w:p>
        </w:tc>
      </w:tr>
      <w:tr w:rsidR="00353B4E" w14:paraId="44236580" w14:textId="77777777" w:rsidTr="00A405EB">
        <w:trPr>
          <w:trHeight w:val="1382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881BF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Outpatient department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A58A2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−0.09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B2CA1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0.36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FEF9B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0.06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BDDD6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E2C99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0.91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5CD9F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0.45–1.85</w:t>
            </w:r>
          </w:p>
        </w:tc>
      </w:tr>
      <w:tr w:rsidR="00353B4E" w14:paraId="13D9D776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F9A7E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Internal medicine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AA4E6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−0.29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8EECA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0.29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19D30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0.98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C29AC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0.32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B7895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0.75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1CEDC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0.42–1.33</w:t>
            </w:r>
          </w:p>
        </w:tc>
      </w:tr>
      <w:tr w:rsidR="00353B4E" w14:paraId="13CD84C3" w14:textId="77777777" w:rsidTr="00A405EB">
        <w:trPr>
          <w:trHeight w:val="1036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2B9552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Platform departments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0C4141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−0.72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304BF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DFAF3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4.81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51419E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4F418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0.49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91F76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0.26–0.93</w:t>
            </w:r>
          </w:p>
        </w:tc>
      </w:tr>
      <w:tr w:rsidR="00353B4E" w14:paraId="2CE81AA1" w14:textId="77777777" w:rsidTr="00A405EB">
        <w:trPr>
          <w:trHeight w:val="1727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6AEC01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Blood transfusion department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ECC0E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1.03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B2006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0.86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C6C4E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1.41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7C255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0.23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B12B2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2.80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D1925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0.51–15.21</w:t>
            </w:r>
          </w:p>
        </w:tc>
      </w:tr>
      <w:tr w:rsidR="00353B4E" w14:paraId="20536895" w14:textId="77777777" w:rsidTr="00A405EB">
        <w:trPr>
          <w:trHeight w:val="691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52521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Surgery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249173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0.14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ECD91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51525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D0F80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0.65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C6DF69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1.15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757697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0.63–2.11</w:t>
            </w:r>
          </w:p>
        </w:tc>
      </w:tr>
      <w:tr w:rsidR="00353B4E" w14:paraId="261EE962" w14:textId="77777777" w:rsidTr="00A405EB">
        <w:trPr>
          <w:trHeight w:val="1382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DFDAEB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Pharmacy department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DE4B74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−0.20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017210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0.44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81B03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0.21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5331F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0.65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B0725F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0.82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2095C8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0.35–1.93</w:t>
            </w:r>
          </w:p>
        </w:tc>
      </w:tr>
      <w:tr w:rsidR="00353B4E" w14:paraId="3424A055" w14:textId="77777777" w:rsidTr="00A405EB">
        <w:trPr>
          <w:trHeight w:val="836"/>
        </w:trPr>
        <w:tc>
          <w:tcPr>
            <w:tcW w:w="1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EC124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Oncology department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85A75A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0.88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71E9B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0.51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F9F91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2.97</w:t>
            </w:r>
          </w:p>
        </w:tc>
        <w:tc>
          <w:tcPr>
            <w:tcW w:w="5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395D35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0.08</w:t>
            </w:r>
          </w:p>
        </w:tc>
        <w:tc>
          <w:tcPr>
            <w:tcW w:w="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B9AAC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2.41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DA275C" w14:textId="77777777" w:rsidR="00353B4E" w:rsidRDefault="00353B4E" w:rsidP="00A405EB">
            <w:pPr>
              <w:pStyle w:val="LetPub32TextIndent"/>
              <w:ind w:firstLineChars="0" w:firstLine="0"/>
            </w:pPr>
            <w:r>
              <w:t>0.89–6.54</w:t>
            </w:r>
          </w:p>
        </w:tc>
      </w:tr>
    </w:tbl>
    <w:p w14:paraId="7C27A149" w14:textId="77777777" w:rsidR="00353B4E" w:rsidRDefault="00353B4E" w:rsidP="00353B4E">
      <w:pPr>
        <w:pStyle w:val="LetPub72ReferenceList"/>
        <w:rPr>
          <w:rFonts w:eastAsiaTheme="minorEastAsia"/>
        </w:rPr>
      </w:pPr>
    </w:p>
    <w:p w14:paraId="51317255" w14:textId="77777777" w:rsidR="004E780C" w:rsidRDefault="004E780C"/>
    <w:sectPr w:rsidR="004E780C" w:rsidSect="00353B4E">
      <w:footerReference w:type="default" r:id="rId4"/>
      <w:pgSz w:w="12240" w:h="15840"/>
      <w:pgMar w:top="1440" w:right="1440" w:bottom="1440" w:left="1440" w:header="851" w:footer="992" w:gutter="0"/>
      <w:lnNumType w:countBy="1" w:restart="continuous"/>
      <w:cols w:space="425"/>
      <w:docGrid w:type="lines" w:linePitch="326" w:charSpace="46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245674"/>
    </w:sdtPr>
    <w:sdtContent>
      <w:p w14:paraId="17636781" w14:textId="77777777" w:rsidR="00353B4E" w:rsidRDefault="00353B4E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B4E"/>
    <w:rsid w:val="002978F5"/>
    <w:rsid w:val="00353B4E"/>
    <w:rsid w:val="003852CF"/>
    <w:rsid w:val="004E780C"/>
    <w:rsid w:val="00EF09B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24EA5"/>
  <w15:chartTrackingRefBased/>
  <w15:docId w15:val="{127DFA6C-4076-45E5-ACF8-7D4672346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B4E"/>
    <w:pPr>
      <w:widowControl w:val="0"/>
      <w:snapToGrid w:val="0"/>
      <w:spacing w:after="0" w:line="480" w:lineRule="auto"/>
      <w:contextualSpacing/>
      <w:jc w:val="both"/>
    </w:pPr>
    <w:rPr>
      <w:rFonts w:ascii="Times New Roman" w:eastAsia="Times New Roman" w:hAnsi="Times New Rom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3B4E"/>
    <w:pPr>
      <w:keepNext/>
      <w:keepLines/>
      <w:widowControl/>
      <w:snapToGrid/>
      <w:spacing w:before="360" w:after="80" w:line="278" w:lineRule="auto"/>
      <w:contextualSpacing w:val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B4E"/>
    <w:pPr>
      <w:keepNext/>
      <w:keepLines/>
      <w:widowControl/>
      <w:snapToGrid/>
      <w:spacing w:before="160" w:after="80" w:line="278" w:lineRule="auto"/>
      <w:contextualSpacing w:val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B4E"/>
    <w:pPr>
      <w:keepNext/>
      <w:keepLines/>
      <w:widowControl/>
      <w:snapToGrid/>
      <w:spacing w:before="160" w:after="80" w:line="278" w:lineRule="auto"/>
      <w:contextualSpacing w:val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B4E"/>
    <w:pPr>
      <w:keepNext/>
      <w:keepLines/>
      <w:widowControl/>
      <w:snapToGrid/>
      <w:spacing w:before="80" w:after="40" w:line="278" w:lineRule="auto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B4E"/>
    <w:pPr>
      <w:keepNext/>
      <w:keepLines/>
      <w:widowControl/>
      <w:snapToGrid/>
      <w:spacing w:before="80" w:after="40" w:line="278" w:lineRule="auto"/>
      <w:contextualSpacing w:val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B4E"/>
    <w:pPr>
      <w:keepNext/>
      <w:keepLines/>
      <w:widowControl/>
      <w:snapToGrid/>
      <w:spacing w:before="40" w:line="278" w:lineRule="auto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B4E"/>
    <w:pPr>
      <w:keepNext/>
      <w:keepLines/>
      <w:widowControl/>
      <w:snapToGrid/>
      <w:spacing w:before="40" w:line="278" w:lineRule="auto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B4E"/>
    <w:pPr>
      <w:keepNext/>
      <w:keepLines/>
      <w:widowControl/>
      <w:snapToGrid/>
      <w:spacing w:line="278" w:lineRule="auto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B4E"/>
    <w:pPr>
      <w:keepNext/>
      <w:keepLines/>
      <w:widowControl/>
      <w:snapToGrid/>
      <w:spacing w:line="278" w:lineRule="auto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B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B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B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B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B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B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B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B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B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B4E"/>
    <w:pPr>
      <w:widowControl/>
      <w:snapToGrid/>
      <w:spacing w:after="80" w:line="240" w:lineRule="auto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3B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B4E"/>
    <w:pPr>
      <w:widowControl/>
      <w:numPr>
        <w:ilvl w:val="1"/>
      </w:numPr>
      <w:snapToGrid/>
      <w:spacing w:after="160" w:line="278" w:lineRule="auto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3B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B4E"/>
    <w:pPr>
      <w:widowControl/>
      <w:snapToGrid/>
      <w:spacing w:before="160" w:after="160" w:line="278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3B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B4E"/>
    <w:pPr>
      <w:widowControl/>
      <w:snapToGrid/>
      <w:spacing w:after="160" w:line="278" w:lineRule="auto"/>
      <w:ind w:left="720"/>
      <w:jc w:val="left"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3B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B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78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B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B4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353B4E"/>
    <w:pPr>
      <w:tabs>
        <w:tab w:val="center" w:pos="4153"/>
        <w:tab w:val="right" w:pos="8306"/>
      </w:tabs>
      <w:spacing w:line="240" w:lineRule="auto"/>
      <w:jc w:val="center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53B4E"/>
    <w:rPr>
      <w:rFonts w:ascii="Times New Roman" w:eastAsia="Times New Roman" w:hAnsi="Times New Roman" w:cs="Times New Roman"/>
      <w:szCs w:val="18"/>
      <w:lang w:eastAsia="zh-CN"/>
      <w14:ligatures w14:val="none"/>
    </w:rPr>
  </w:style>
  <w:style w:type="paragraph" w:customStyle="1" w:styleId="LetPub31Text">
    <w:name w:val="LetPub_3.1_Text"/>
    <w:basedOn w:val="Normal"/>
    <w:link w:val="LetPub31TextChar"/>
    <w:qFormat/>
    <w:rsid w:val="00353B4E"/>
  </w:style>
  <w:style w:type="paragraph" w:customStyle="1" w:styleId="LetPub32TextIndent">
    <w:name w:val="LetPub_3.2_TextIndent"/>
    <w:basedOn w:val="Normal"/>
    <w:link w:val="LetPub32TextIndentChar"/>
    <w:qFormat/>
    <w:rsid w:val="00353B4E"/>
    <w:pPr>
      <w:ind w:firstLineChars="200" w:firstLine="480"/>
    </w:pPr>
  </w:style>
  <w:style w:type="character" w:customStyle="1" w:styleId="LetPub31TextChar">
    <w:name w:val="LetPub_3.1_Text Char"/>
    <w:basedOn w:val="DefaultParagraphFont"/>
    <w:link w:val="LetPub31Text"/>
    <w:qFormat/>
    <w:rsid w:val="00353B4E"/>
    <w:rPr>
      <w:rFonts w:ascii="Times New Roman" w:eastAsia="Times New Roman" w:hAnsi="Times New Roman" w:cs="Times New Roman"/>
      <w:lang w:eastAsia="zh-CN"/>
      <w14:ligatures w14:val="none"/>
    </w:rPr>
  </w:style>
  <w:style w:type="character" w:customStyle="1" w:styleId="LetPub32TextIndentChar">
    <w:name w:val="LetPub_3.2_TextIndent Char"/>
    <w:basedOn w:val="LetPub31TextChar"/>
    <w:link w:val="LetPub32TextIndent"/>
    <w:qFormat/>
    <w:rsid w:val="00353B4E"/>
    <w:rPr>
      <w:rFonts w:ascii="Times New Roman" w:eastAsia="Times New Roman" w:hAnsi="Times New Roman" w:cs="Times New Roman"/>
      <w:lang w:eastAsia="zh-CN"/>
      <w14:ligatures w14:val="none"/>
    </w:rPr>
  </w:style>
  <w:style w:type="paragraph" w:customStyle="1" w:styleId="LetPub21Heading1">
    <w:name w:val="LetPub_2.1_Heading1"/>
    <w:basedOn w:val="Heading1"/>
    <w:next w:val="LetPub32TextIndent"/>
    <w:link w:val="LetPub21Heading1Char"/>
    <w:qFormat/>
    <w:rsid w:val="00353B4E"/>
    <w:pPr>
      <w:keepNext w:val="0"/>
      <w:keepLines w:val="0"/>
      <w:widowControl w:val="0"/>
      <w:snapToGrid w:val="0"/>
      <w:spacing w:beforeLines="100" w:before="326" w:afterLines="100" w:after="326" w:line="480" w:lineRule="auto"/>
      <w:jc w:val="both"/>
    </w:pPr>
    <w:rPr>
      <w:rFonts w:ascii="Times New Roman" w:eastAsiaTheme="minorEastAsia" w:hAnsi="Times New Roman" w:cs="Times New Roman"/>
      <w:b/>
      <w:sz w:val="28"/>
      <w:lang w:eastAsia="zh-CN"/>
      <w14:ligatures w14:val="none"/>
    </w:rPr>
  </w:style>
  <w:style w:type="paragraph" w:customStyle="1" w:styleId="LetPub72ReferenceList">
    <w:name w:val="LetPub_7.2_ReferenceList"/>
    <w:basedOn w:val="Normal"/>
    <w:link w:val="LetPub72ReferenceListChar"/>
    <w:qFormat/>
    <w:rsid w:val="00353B4E"/>
    <w:pPr>
      <w:ind w:left="480" w:hangingChars="200" w:hanging="480"/>
    </w:pPr>
  </w:style>
  <w:style w:type="character" w:customStyle="1" w:styleId="LetPub72ReferenceListChar">
    <w:name w:val="LetPub_7.2_ReferenceList Char"/>
    <w:basedOn w:val="LetPub31TextChar"/>
    <w:link w:val="LetPub72ReferenceList"/>
    <w:qFormat/>
    <w:rsid w:val="00353B4E"/>
    <w:rPr>
      <w:rFonts w:ascii="Times New Roman" w:eastAsia="Times New Roman" w:hAnsi="Times New Roman" w:cs="Times New Roman"/>
      <w:lang w:eastAsia="zh-CN"/>
      <w14:ligatures w14:val="none"/>
    </w:rPr>
  </w:style>
  <w:style w:type="character" w:customStyle="1" w:styleId="LetPub21Heading1Char">
    <w:name w:val="LetPub_2.1_Heading1 Char"/>
    <w:basedOn w:val="Heading1Char"/>
    <w:link w:val="LetPub21Heading1"/>
    <w:qFormat/>
    <w:rsid w:val="00353B4E"/>
    <w:rPr>
      <w:rFonts w:ascii="Times New Roman" w:eastAsiaTheme="minorEastAsia" w:hAnsi="Times New Roman" w:cs="Times New Roman"/>
      <w:b/>
      <w:color w:val="0F4761" w:themeColor="accent1" w:themeShade="BF"/>
      <w:sz w:val="28"/>
      <w:szCs w:val="40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53B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905</Characters>
  <Application>Microsoft Office Word</Application>
  <DocSecurity>0</DocSecurity>
  <Lines>20</Lines>
  <Paragraphs>10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2026-01-21T18:10:00Z</dcterms:created>
  <dcterms:modified xsi:type="dcterms:W3CDTF">2026-01-21T18:10:00Z</dcterms:modified>
</cp:coreProperties>
</file>