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3A8FC">
      <w:pPr>
        <w:rPr>
          <w:rFonts w:ascii="Times New Roman" w:hAnsi="Times New Roman" w:cs="Times New Roman"/>
        </w:rPr>
      </w:pPr>
      <w:r>
        <w:rPr>
          <w:rFonts w:ascii="Times New Roman" w:hAnsi="Times New Roman" w:cs="Times New Roman"/>
          <w:b/>
          <w:bCs/>
        </w:rPr>
        <w:t xml:space="preserve">Table A.1. </w:t>
      </w:r>
      <w:r>
        <w:rPr>
          <w:rFonts w:ascii="Times New Roman" w:hAnsi="Times New Roman" w:cs="Times New Roman"/>
        </w:rPr>
        <w:t>Research green space: features and typo-logical analysis</w:t>
      </w:r>
    </w:p>
    <w:tbl>
      <w:tblPr>
        <w:tblStyle w:val="18"/>
        <w:tblW w:w="5000" w:type="pct"/>
        <w:jc w:val="center"/>
        <w:tblBorders>
          <w:top w:val="single" w:color="auto" w:sz="12" w:space="0"/>
          <w:left w:val="none" w:color="auto" w:sz="0" w:space="0"/>
          <w:bottom w:val="single" w:color="auto" w:sz="12" w:space="0"/>
          <w:right w:val="none" w:color="auto" w:sz="0" w:space="0"/>
          <w:insideH w:val="single" w:color="000000" w:sz="4" w:space="0"/>
          <w:insideV w:val="none" w:color="auto" w:sz="0" w:space="0"/>
        </w:tblBorders>
        <w:tblLayout w:type="autofit"/>
        <w:tblCellMar>
          <w:top w:w="0" w:type="dxa"/>
          <w:left w:w="108" w:type="dxa"/>
          <w:bottom w:w="0" w:type="dxa"/>
          <w:right w:w="108" w:type="dxa"/>
        </w:tblCellMar>
      </w:tblPr>
      <w:tblGrid>
        <w:gridCol w:w="733"/>
        <w:gridCol w:w="1359"/>
        <w:gridCol w:w="1342"/>
        <w:gridCol w:w="4872"/>
      </w:tblGrid>
      <w:tr w14:paraId="23155E9E">
        <w:tblPrEx>
          <w:tblBorders>
            <w:top w:val="single" w:color="auto" w:sz="12" w:space="0"/>
            <w:left w:val="none" w:color="auto" w:sz="0" w:space="0"/>
            <w:bottom w:val="single" w:color="auto" w:sz="12" w:space="0"/>
            <w:right w:val="none" w:color="auto" w:sz="0" w:space="0"/>
            <w:insideH w:val="single" w:color="000000" w:sz="4" w:space="0"/>
            <w:insideV w:val="none" w:color="auto" w:sz="0" w:space="0"/>
          </w:tblBorders>
        </w:tblPrEx>
        <w:trPr>
          <w:tblHeader/>
          <w:jc w:val="center"/>
        </w:trPr>
        <w:tc>
          <w:tcPr>
            <w:tcW w:w="441" w:type="pct"/>
            <w:shd w:val="clear" w:color="auto" w:fill="FFFFFF"/>
            <w:vAlign w:val="center"/>
          </w:tcPr>
          <w:p w14:paraId="2136AA7C">
            <w:pPr>
              <w:jc w:val="center"/>
              <w:rPr>
                <w:rFonts w:ascii="Times New Roman" w:hAnsi="Times New Roman" w:eastAsia="等线" w:cs="Times New Roman"/>
                <w:b/>
                <w:color w:val="000000"/>
                <w:sz w:val="18"/>
              </w:rPr>
            </w:pPr>
            <w:r>
              <w:rPr>
                <w:rFonts w:ascii="Times New Roman" w:hAnsi="Times New Roman" w:eastAsia="等线" w:cs="Times New Roman"/>
                <w:b/>
                <w:color w:val="000000"/>
                <w:sz w:val="18"/>
                <w:szCs w:val="18"/>
              </w:rPr>
              <w:t>Type</w:t>
            </w:r>
          </w:p>
        </w:tc>
        <w:tc>
          <w:tcPr>
            <w:tcW w:w="818" w:type="pct"/>
            <w:shd w:val="clear" w:color="auto" w:fill="FFFFFF"/>
            <w:vAlign w:val="center"/>
          </w:tcPr>
          <w:p w14:paraId="49370FD8">
            <w:pPr>
              <w:jc w:val="center"/>
              <w:rPr>
                <w:rFonts w:ascii="Times New Roman" w:hAnsi="Times New Roman" w:eastAsia="等线" w:cs="Times New Roman"/>
                <w:b/>
                <w:color w:val="000000"/>
                <w:sz w:val="18"/>
              </w:rPr>
            </w:pPr>
            <w:r>
              <w:rPr>
                <w:rFonts w:ascii="Times New Roman" w:hAnsi="Times New Roman" w:eastAsia="等线" w:cs="Times New Roman"/>
                <w:b/>
                <w:color w:val="000000"/>
                <w:sz w:val="18"/>
                <w:szCs w:val="18"/>
              </w:rPr>
              <w:t>Site Name</w:t>
            </w:r>
          </w:p>
        </w:tc>
        <w:tc>
          <w:tcPr>
            <w:tcW w:w="808" w:type="pct"/>
            <w:shd w:val="clear" w:color="auto" w:fill="FFFFFF"/>
            <w:vAlign w:val="center"/>
          </w:tcPr>
          <w:p w14:paraId="60679F2B">
            <w:pPr>
              <w:jc w:val="center"/>
              <w:rPr>
                <w:rFonts w:ascii="Times New Roman" w:hAnsi="Times New Roman" w:eastAsia="等线" w:cs="Times New Roman"/>
                <w:b/>
                <w:color w:val="000000"/>
                <w:sz w:val="18"/>
              </w:rPr>
            </w:pPr>
            <w:r>
              <w:rPr>
                <w:rFonts w:ascii="Times New Roman" w:hAnsi="Times New Roman" w:eastAsia="等线" w:cs="Times New Roman"/>
                <w:b/>
                <w:color w:val="000000"/>
                <w:sz w:val="18"/>
                <w:szCs w:val="18"/>
              </w:rPr>
              <w:t>Location and Construction Period</w:t>
            </w:r>
          </w:p>
        </w:tc>
        <w:tc>
          <w:tcPr>
            <w:tcW w:w="2933" w:type="pct"/>
            <w:shd w:val="clear" w:color="auto" w:fill="FFFFFF"/>
            <w:vAlign w:val="center"/>
          </w:tcPr>
          <w:p w14:paraId="02521C53">
            <w:pPr>
              <w:jc w:val="center"/>
              <w:rPr>
                <w:rFonts w:ascii="Times New Roman" w:hAnsi="Times New Roman" w:eastAsia="等线" w:cs="Times New Roman"/>
                <w:b/>
                <w:color w:val="000000"/>
                <w:sz w:val="18"/>
              </w:rPr>
            </w:pPr>
            <w:r>
              <w:rPr>
                <w:rFonts w:ascii="Times New Roman" w:hAnsi="Times New Roman" w:eastAsia="等线" w:cs="Times New Roman"/>
                <w:b/>
                <w:color w:val="000000"/>
                <w:sz w:val="18"/>
                <w:szCs w:val="18"/>
              </w:rPr>
              <w:t>Key Features and Comparable World Heritage Garden</w:t>
            </w:r>
          </w:p>
        </w:tc>
      </w:tr>
      <w:tr w14:paraId="03675CBF">
        <w:tblPrEx>
          <w:tblBorders>
            <w:top w:val="single" w:color="auto" w:sz="12" w:space="0"/>
            <w:left w:val="none" w:color="auto" w:sz="0" w:space="0"/>
            <w:bottom w:val="single" w:color="auto" w:sz="12" w:space="0"/>
            <w:right w:val="none" w:color="auto" w:sz="0" w:space="0"/>
            <w:insideH w:val="single" w:color="000000" w:sz="4" w:space="0"/>
            <w:insideV w:val="none" w:color="auto" w:sz="0" w:space="0"/>
          </w:tblBorders>
          <w:tblCellMar>
            <w:top w:w="0" w:type="dxa"/>
            <w:left w:w="108" w:type="dxa"/>
            <w:bottom w:w="0" w:type="dxa"/>
            <w:right w:w="108" w:type="dxa"/>
          </w:tblCellMar>
        </w:tblPrEx>
        <w:trPr>
          <w:jc w:val="center"/>
        </w:trPr>
        <w:tc>
          <w:tcPr>
            <w:tcW w:w="441" w:type="pct"/>
            <w:vMerge w:val="restart"/>
            <w:shd w:val="clear" w:color="auto" w:fill="FFFFFF"/>
            <w:vAlign w:val="center"/>
          </w:tcPr>
          <w:p w14:paraId="05DB8B4D">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Private garden</w:t>
            </w:r>
          </w:p>
        </w:tc>
        <w:tc>
          <w:tcPr>
            <w:tcW w:w="818" w:type="pct"/>
            <w:shd w:val="clear" w:color="auto" w:fill="FFFFFF"/>
            <w:vAlign w:val="center"/>
          </w:tcPr>
          <w:p w14:paraId="527BC06B">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Humble Administrator’s Garden</w:t>
            </w:r>
          </w:p>
        </w:tc>
        <w:tc>
          <w:tcPr>
            <w:tcW w:w="808" w:type="pct"/>
            <w:shd w:val="clear" w:color="auto" w:fill="FFFFFF"/>
            <w:vAlign w:val="center"/>
          </w:tcPr>
          <w:p w14:paraId="7091B298">
            <w:pPr>
              <w:jc w:val="center"/>
              <w:rPr>
                <w:rFonts w:ascii="Times New Roman" w:hAnsi="Times New Roman" w:eastAsia="等线" w:cs="Times New Roman"/>
                <w:color w:val="000000"/>
                <w:sz w:val="18"/>
              </w:rPr>
            </w:pPr>
            <w:r>
              <w:rPr>
                <w:rFonts w:ascii="Times New Roman" w:hAnsi="Times New Roman" w:eastAsia="等线" w:cs="Times New Roman"/>
                <w:color w:val="000000"/>
                <w:sz w:val="18"/>
                <w:szCs w:val="18"/>
              </w:rPr>
              <w:t>Suzhou, A.D.1509</w:t>
            </w:r>
          </w:p>
        </w:tc>
        <w:tc>
          <w:tcPr>
            <w:tcW w:w="2933" w:type="pct"/>
            <w:shd w:val="clear" w:color="auto" w:fill="FFFFFF"/>
            <w:vAlign w:val="center"/>
          </w:tcPr>
          <w:p w14:paraId="207D5660">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One of China’s four great classical gardens and a UNESCO World Heritage site, with exquisite garden architecture from the early sixteenth century, comparable to Kinkaku-ji (Kyoto, Japan), a famous Japanese Zen temple garden integrating Zen Buddhist aesthetics with garden art.</w:t>
            </w:r>
          </w:p>
        </w:tc>
      </w:tr>
      <w:tr w14:paraId="41E069D9">
        <w:tblPrEx>
          <w:tblBorders>
            <w:top w:val="single" w:color="auto" w:sz="12" w:space="0"/>
            <w:left w:val="none" w:color="auto" w:sz="0" w:space="0"/>
            <w:bottom w:val="single" w:color="auto" w:sz="12" w:space="0"/>
            <w:right w:val="none" w:color="auto" w:sz="0" w:space="0"/>
            <w:insideH w:val="single" w:color="000000" w:sz="4" w:space="0"/>
            <w:insideV w:val="none" w:color="auto" w:sz="0" w:space="0"/>
          </w:tblBorders>
          <w:tblCellMar>
            <w:top w:w="0" w:type="dxa"/>
            <w:left w:w="108" w:type="dxa"/>
            <w:bottom w:w="0" w:type="dxa"/>
            <w:right w:w="108" w:type="dxa"/>
          </w:tblCellMar>
        </w:tblPrEx>
        <w:trPr>
          <w:jc w:val="center"/>
        </w:trPr>
        <w:tc>
          <w:tcPr>
            <w:tcW w:w="441" w:type="pct"/>
            <w:vMerge w:val="continue"/>
            <w:shd w:val="clear" w:color="auto" w:fill="FFFFFF"/>
            <w:vAlign w:val="center"/>
          </w:tcPr>
          <w:p w14:paraId="2F5DC3E2">
            <w:pPr>
              <w:jc w:val="left"/>
              <w:rPr>
                <w:rFonts w:ascii="Times New Roman" w:hAnsi="Times New Roman" w:eastAsia="等线" w:cs="Times New Roman"/>
                <w:color w:val="000000"/>
                <w:sz w:val="18"/>
              </w:rPr>
            </w:pPr>
          </w:p>
        </w:tc>
        <w:tc>
          <w:tcPr>
            <w:tcW w:w="818" w:type="pct"/>
            <w:shd w:val="clear" w:color="auto" w:fill="FFFFFF"/>
            <w:vAlign w:val="center"/>
          </w:tcPr>
          <w:p w14:paraId="3B308D4B">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He Garden</w:t>
            </w:r>
          </w:p>
        </w:tc>
        <w:tc>
          <w:tcPr>
            <w:tcW w:w="808" w:type="pct"/>
            <w:shd w:val="clear" w:color="auto" w:fill="FFFFFF"/>
            <w:vAlign w:val="center"/>
          </w:tcPr>
          <w:p w14:paraId="50A94811">
            <w:pPr>
              <w:jc w:val="center"/>
              <w:rPr>
                <w:rFonts w:ascii="Times New Roman" w:hAnsi="Times New Roman" w:eastAsia="等线" w:cs="Times New Roman"/>
                <w:color w:val="000000"/>
                <w:sz w:val="18"/>
              </w:rPr>
            </w:pPr>
            <w:r>
              <w:rPr>
                <w:rFonts w:ascii="Times New Roman" w:hAnsi="Times New Roman" w:eastAsia="等线" w:cs="Times New Roman"/>
                <w:color w:val="000000"/>
                <w:sz w:val="18"/>
                <w:szCs w:val="18"/>
              </w:rPr>
              <w:t>Yangzhou, A.D. 1862</w:t>
            </w:r>
          </w:p>
        </w:tc>
        <w:tc>
          <w:tcPr>
            <w:tcW w:w="2933" w:type="pct"/>
            <w:shd w:val="clear" w:color="auto" w:fill="FFFFFF"/>
            <w:vAlign w:val="center"/>
          </w:tcPr>
          <w:p w14:paraId="093E9B81">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Known as the “First Garden of the Late Qing”, featuring attractions like the Rainbow Corridor and Horse Pavilion, built in 1862</w:t>
            </w:r>
            <w:r>
              <w:rPr>
                <w:rFonts w:hint="eastAsia" w:ascii="Times New Roman" w:hAnsi="Times New Roman" w:eastAsia="等线" w:cs="Times New Roman"/>
                <w:color w:val="000000"/>
                <w:sz w:val="18"/>
                <w:szCs w:val="18"/>
              </w:rPr>
              <w:t>, c</w:t>
            </w:r>
            <w:r>
              <w:rPr>
                <w:rFonts w:ascii="Times New Roman" w:hAnsi="Times New Roman" w:eastAsia="等线" w:cs="Times New Roman"/>
                <w:color w:val="000000"/>
                <w:sz w:val="18"/>
                <w:szCs w:val="18"/>
              </w:rPr>
              <w:t>omparable to the Palace of Versailles (Versailles, France), an exemplar of European royal garden architecture reflecting French monarchical history.</w:t>
            </w:r>
          </w:p>
        </w:tc>
      </w:tr>
      <w:tr w14:paraId="6900224F">
        <w:tblPrEx>
          <w:tblBorders>
            <w:top w:val="single" w:color="auto" w:sz="12" w:space="0"/>
            <w:left w:val="none" w:color="auto" w:sz="0" w:space="0"/>
            <w:bottom w:val="single" w:color="auto" w:sz="12" w:space="0"/>
            <w:right w:val="none" w:color="auto" w:sz="0" w:space="0"/>
            <w:insideH w:val="single" w:color="000000" w:sz="4" w:space="0"/>
            <w:insideV w:val="none" w:color="auto" w:sz="0" w:space="0"/>
          </w:tblBorders>
          <w:tblCellMar>
            <w:top w:w="0" w:type="dxa"/>
            <w:left w:w="108" w:type="dxa"/>
            <w:bottom w:w="0" w:type="dxa"/>
            <w:right w:w="108" w:type="dxa"/>
          </w:tblCellMar>
        </w:tblPrEx>
        <w:trPr>
          <w:jc w:val="center"/>
        </w:trPr>
        <w:tc>
          <w:tcPr>
            <w:tcW w:w="441" w:type="pct"/>
            <w:vMerge w:val="restart"/>
            <w:shd w:val="clear" w:color="auto" w:fill="FFFFFF"/>
            <w:vAlign w:val="center"/>
          </w:tcPr>
          <w:p w14:paraId="59497655">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Public garden</w:t>
            </w:r>
          </w:p>
        </w:tc>
        <w:tc>
          <w:tcPr>
            <w:tcW w:w="818" w:type="pct"/>
            <w:shd w:val="clear" w:color="auto" w:fill="FFFFFF"/>
            <w:vAlign w:val="center"/>
          </w:tcPr>
          <w:p w14:paraId="724D862C">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Zhan Garden</w:t>
            </w:r>
          </w:p>
        </w:tc>
        <w:tc>
          <w:tcPr>
            <w:tcW w:w="808" w:type="pct"/>
            <w:shd w:val="clear" w:color="auto" w:fill="FFFFFF"/>
            <w:vAlign w:val="center"/>
          </w:tcPr>
          <w:p w14:paraId="23214A62">
            <w:pPr>
              <w:jc w:val="center"/>
              <w:rPr>
                <w:rFonts w:ascii="Times New Roman" w:hAnsi="Times New Roman" w:eastAsia="等线" w:cs="Times New Roman"/>
                <w:color w:val="000000"/>
                <w:sz w:val="18"/>
              </w:rPr>
            </w:pPr>
            <w:r>
              <w:rPr>
                <w:rFonts w:ascii="Times New Roman" w:hAnsi="Times New Roman" w:eastAsia="等线" w:cs="Times New Roman"/>
                <w:color w:val="000000"/>
                <w:sz w:val="18"/>
                <w:szCs w:val="18"/>
              </w:rPr>
              <w:t>Nanjing,</w:t>
            </w:r>
            <w:bookmarkStart w:id="0" w:name="OLE_LINK26"/>
            <w:r>
              <w:rPr>
                <w:rFonts w:ascii="Times New Roman" w:hAnsi="Times New Roman" w:eastAsia="等线" w:cs="Times New Roman"/>
                <w:color w:val="000000"/>
                <w:sz w:val="18"/>
                <w:szCs w:val="18"/>
              </w:rPr>
              <w:t xml:space="preserve"> A.D.</w:t>
            </w:r>
            <w:bookmarkEnd w:id="0"/>
            <w:r>
              <w:rPr>
                <w:rFonts w:ascii="Times New Roman" w:hAnsi="Times New Roman" w:eastAsia="等线" w:cs="Times New Roman"/>
                <w:color w:val="000000"/>
                <w:sz w:val="18"/>
                <w:szCs w:val="18"/>
              </w:rPr>
              <w:t>1368</w:t>
            </w:r>
          </w:p>
        </w:tc>
        <w:tc>
          <w:tcPr>
            <w:tcW w:w="2933" w:type="pct"/>
            <w:shd w:val="clear" w:color="auto" w:fill="FFFFFF"/>
            <w:vAlign w:val="center"/>
          </w:tcPr>
          <w:p w14:paraId="4F2F69F1">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A national historical site granted to Prince Xu Da as a palace in 1368, combining historical legacy with public park function</w:t>
            </w:r>
            <w:r>
              <w:rPr>
                <w:rFonts w:hint="eastAsia" w:ascii="Times New Roman" w:hAnsi="Times New Roman" w:eastAsia="等线" w:cs="Times New Roman"/>
                <w:color w:val="000000"/>
                <w:sz w:val="18"/>
                <w:szCs w:val="18"/>
              </w:rPr>
              <w:t>,</w:t>
            </w:r>
            <w:r>
              <w:rPr>
                <w:rFonts w:ascii="Times New Roman" w:hAnsi="Times New Roman" w:eastAsia="等线" w:cs="Times New Roman"/>
                <w:color w:val="000000"/>
                <w:sz w:val="18"/>
                <w:szCs w:val="18"/>
              </w:rPr>
              <w:t xml:space="preserve"> comparable to Hampton Court Palace (London, UK), a former royal palace whose gardens similarly serve heritage and recreation purposes.</w:t>
            </w:r>
          </w:p>
        </w:tc>
      </w:tr>
      <w:tr w14:paraId="2ED65331">
        <w:tblPrEx>
          <w:tblBorders>
            <w:top w:val="single" w:color="auto" w:sz="12" w:space="0"/>
            <w:left w:val="none" w:color="auto" w:sz="0" w:space="0"/>
            <w:bottom w:val="single" w:color="auto" w:sz="12" w:space="0"/>
            <w:right w:val="none" w:color="auto" w:sz="0" w:space="0"/>
            <w:insideH w:val="single" w:color="000000" w:sz="4" w:space="0"/>
            <w:insideV w:val="none" w:color="auto" w:sz="0" w:space="0"/>
          </w:tblBorders>
          <w:tblCellMar>
            <w:top w:w="0" w:type="dxa"/>
            <w:left w:w="108" w:type="dxa"/>
            <w:bottom w:w="0" w:type="dxa"/>
            <w:right w:w="108" w:type="dxa"/>
          </w:tblCellMar>
        </w:tblPrEx>
        <w:trPr>
          <w:jc w:val="center"/>
        </w:trPr>
        <w:tc>
          <w:tcPr>
            <w:tcW w:w="441" w:type="pct"/>
            <w:vMerge w:val="continue"/>
            <w:shd w:val="clear" w:color="auto" w:fill="FFFFFF"/>
            <w:vAlign w:val="center"/>
          </w:tcPr>
          <w:p w14:paraId="45310FC9">
            <w:pPr>
              <w:jc w:val="left"/>
              <w:rPr>
                <w:rFonts w:ascii="Times New Roman" w:hAnsi="Times New Roman" w:eastAsia="等线" w:cs="Times New Roman"/>
                <w:color w:val="000000"/>
                <w:sz w:val="18"/>
              </w:rPr>
            </w:pPr>
          </w:p>
        </w:tc>
        <w:tc>
          <w:tcPr>
            <w:tcW w:w="818" w:type="pct"/>
            <w:shd w:val="clear" w:color="auto" w:fill="FFFFFF"/>
            <w:vAlign w:val="center"/>
          </w:tcPr>
          <w:p w14:paraId="063758C1">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Ming Xiaoling Mausoleum</w:t>
            </w:r>
          </w:p>
        </w:tc>
        <w:tc>
          <w:tcPr>
            <w:tcW w:w="808" w:type="pct"/>
            <w:shd w:val="clear" w:color="auto" w:fill="FFFFFF"/>
            <w:vAlign w:val="center"/>
          </w:tcPr>
          <w:p w14:paraId="1454A993">
            <w:pPr>
              <w:jc w:val="center"/>
              <w:rPr>
                <w:rFonts w:ascii="Times New Roman" w:hAnsi="Times New Roman" w:eastAsia="等线" w:cs="Times New Roman"/>
                <w:color w:val="000000"/>
                <w:sz w:val="18"/>
              </w:rPr>
            </w:pPr>
            <w:r>
              <w:rPr>
                <w:rFonts w:ascii="Times New Roman" w:hAnsi="Times New Roman" w:eastAsia="等线" w:cs="Times New Roman"/>
                <w:color w:val="000000"/>
                <w:sz w:val="18"/>
                <w:szCs w:val="18"/>
              </w:rPr>
              <w:t>Nanjing, A.D.1376</w:t>
            </w:r>
          </w:p>
        </w:tc>
        <w:tc>
          <w:tcPr>
            <w:tcW w:w="2933" w:type="pct"/>
            <w:shd w:val="clear" w:color="auto" w:fill="FFFFFF"/>
            <w:vAlign w:val="center"/>
          </w:tcPr>
          <w:p w14:paraId="0EFA2E7E">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A UNESCO World Heritage site built in 1376, it includes the main tomb complex of Ming Emperor Zhu Yuanzhang with numerous mausoleum structures and stone carvings</w:t>
            </w:r>
            <w:r>
              <w:rPr>
                <w:rFonts w:hint="eastAsia" w:ascii="Times New Roman" w:hAnsi="Times New Roman" w:eastAsia="等线" w:cs="Times New Roman"/>
                <w:color w:val="000000"/>
                <w:sz w:val="18"/>
                <w:szCs w:val="18"/>
              </w:rPr>
              <w:t xml:space="preserve">, </w:t>
            </w:r>
            <w:r>
              <w:rPr>
                <w:rFonts w:ascii="Times New Roman" w:hAnsi="Times New Roman" w:eastAsia="等线" w:cs="Times New Roman"/>
                <w:color w:val="000000"/>
                <w:sz w:val="18"/>
                <w:szCs w:val="18"/>
              </w:rPr>
              <w:t>comparable to the Taj Mahal (Agra, India), a renowned mausoleum famous for its architecture and large visitor numbers.</w:t>
            </w:r>
          </w:p>
        </w:tc>
      </w:tr>
      <w:tr w14:paraId="6720BD3A">
        <w:tblPrEx>
          <w:tblBorders>
            <w:top w:val="single" w:color="auto" w:sz="12" w:space="0"/>
            <w:left w:val="none" w:color="auto" w:sz="0" w:space="0"/>
            <w:bottom w:val="single" w:color="auto" w:sz="12" w:space="0"/>
            <w:right w:val="none" w:color="auto" w:sz="0" w:space="0"/>
            <w:insideH w:val="single" w:color="000000" w:sz="4" w:space="0"/>
            <w:insideV w:val="none" w:color="auto" w:sz="0" w:space="0"/>
          </w:tblBorders>
          <w:tblCellMar>
            <w:top w:w="0" w:type="dxa"/>
            <w:left w:w="108" w:type="dxa"/>
            <w:bottom w:w="0" w:type="dxa"/>
            <w:right w:w="108" w:type="dxa"/>
          </w:tblCellMar>
        </w:tblPrEx>
        <w:trPr>
          <w:jc w:val="center"/>
        </w:trPr>
        <w:tc>
          <w:tcPr>
            <w:tcW w:w="441" w:type="pct"/>
            <w:vMerge w:val="restart"/>
            <w:shd w:val="clear" w:color="auto" w:fill="FFFFFF"/>
            <w:vAlign w:val="center"/>
          </w:tcPr>
          <w:p w14:paraId="6F425A36">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Scenic area</w:t>
            </w:r>
          </w:p>
        </w:tc>
        <w:tc>
          <w:tcPr>
            <w:tcW w:w="818" w:type="pct"/>
            <w:shd w:val="clear" w:color="auto" w:fill="FFFFFF"/>
            <w:vAlign w:val="center"/>
          </w:tcPr>
          <w:p w14:paraId="5F8BBA88">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Slender West Lake Scenic Area</w:t>
            </w:r>
          </w:p>
        </w:tc>
        <w:tc>
          <w:tcPr>
            <w:tcW w:w="808" w:type="pct"/>
            <w:shd w:val="clear" w:color="auto" w:fill="FFFFFF"/>
            <w:vAlign w:val="center"/>
          </w:tcPr>
          <w:p w14:paraId="0E7FE96C">
            <w:pPr>
              <w:jc w:val="center"/>
              <w:rPr>
                <w:rFonts w:ascii="Times New Roman" w:hAnsi="Times New Roman" w:eastAsia="等线" w:cs="Times New Roman"/>
                <w:color w:val="000000"/>
                <w:sz w:val="18"/>
              </w:rPr>
            </w:pPr>
            <w:r>
              <w:rPr>
                <w:rFonts w:ascii="Times New Roman" w:hAnsi="Times New Roman" w:eastAsia="等线" w:cs="Times New Roman"/>
                <w:color w:val="000000"/>
                <w:sz w:val="18"/>
                <w:szCs w:val="18"/>
              </w:rPr>
              <w:t>Yangzhou, A.D.1662</w:t>
            </w:r>
          </w:p>
        </w:tc>
        <w:tc>
          <w:tcPr>
            <w:tcW w:w="2933" w:type="pct"/>
            <w:shd w:val="clear" w:color="auto" w:fill="FFFFFF"/>
            <w:vAlign w:val="center"/>
          </w:tcPr>
          <w:p w14:paraId="5C2A8AEE">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A lakeside scenic park with garden islets and historic buildings, significant as a Qing dynasty imperial tour site</w:t>
            </w:r>
            <w:r>
              <w:rPr>
                <w:rFonts w:hint="eastAsia" w:ascii="Times New Roman" w:hAnsi="Times New Roman" w:eastAsia="等线" w:cs="Times New Roman"/>
                <w:color w:val="000000"/>
                <w:sz w:val="18"/>
                <w:szCs w:val="18"/>
              </w:rPr>
              <w:t xml:space="preserve">, </w:t>
            </w:r>
            <w:r>
              <w:rPr>
                <w:rFonts w:ascii="Times New Roman" w:hAnsi="Times New Roman" w:eastAsia="等线" w:cs="Times New Roman"/>
                <w:color w:val="000000"/>
                <w:sz w:val="18"/>
                <w:szCs w:val="18"/>
              </w:rPr>
              <w:t>comparable to the Venice Lagoon (Venice, Italy), an urban waterfront region characterized by water-based scenery and historic architecture, with both attracting many visitors.</w:t>
            </w:r>
          </w:p>
        </w:tc>
      </w:tr>
      <w:tr w14:paraId="5E8ED9B3">
        <w:tblPrEx>
          <w:tblBorders>
            <w:top w:val="single" w:color="auto" w:sz="12" w:space="0"/>
            <w:left w:val="none" w:color="auto" w:sz="0" w:space="0"/>
            <w:bottom w:val="single" w:color="auto" w:sz="12" w:space="0"/>
            <w:right w:val="none" w:color="auto" w:sz="0" w:space="0"/>
            <w:insideH w:val="single" w:color="000000" w:sz="4" w:space="0"/>
            <w:insideV w:val="none" w:color="auto" w:sz="0" w:space="0"/>
          </w:tblBorders>
          <w:tblCellMar>
            <w:top w:w="0" w:type="dxa"/>
            <w:left w:w="108" w:type="dxa"/>
            <w:bottom w:w="0" w:type="dxa"/>
            <w:right w:w="108" w:type="dxa"/>
          </w:tblCellMar>
        </w:tblPrEx>
        <w:trPr>
          <w:jc w:val="center"/>
        </w:trPr>
        <w:tc>
          <w:tcPr>
            <w:tcW w:w="441" w:type="pct"/>
            <w:vMerge w:val="continue"/>
            <w:shd w:val="clear" w:color="auto" w:fill="FFFFFF"/>
            <w:vAlign w:val="center"/>
          </w:tcPr>
          <w:p w14:paraId="6E084211">
            <w:pPr>
              <w:jc w:val="left"/>
              <w:rPr>
                <w:rFonts w:ascii="Times New Roman" w:hAnsi="Times New Roman" w:eastAsia="等线" w:cs="Times New Roman"/>
                <w:color w:val="000000"/>
                <w:sz w:val="18"/>
              </w:rPr>
            </w:pPr>
          </w:p>
        </w:tc>
        <w:tc>
          <w:tcPr>
            <w:tcW w:w="818" w:type="pct"/>
            <w:shd w:val="clear" w:color="auto" w:fill="FFFFFF"/>
            <w:vAlign w:val="center"/>
          </w:tcPr>
          <w:p w14:paraId="4DDB8AE0">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Haohe Scenic Area</w:t>
            </w:r>
          </w:p>
        </w:tc>
        <w:tc>
          <w:tcPr>
            <w:tcW w:w="808" w:type="pct"/>
            <w:shd w:val="clear" w:color="auto" w:fill="FFFFFF"/>
            <w:vAlign w:val="center"/>
          </w:tcPr>
          <w:p w14:paraId="7A6B8139">
            <w:pPr>
              <w:jc w:val="center"/>
              <w:rPr>
                <w:rFonts w:ascii="Times New Roman" w:hAnsi="Times New Roman" w:eastAsia="等线" w:cs="Times New Roman"/>
                <w:color w:val="000000"/>
                <w:sz w:val="18"/>
              </w:rPr>
            </w:pPr>
            <w:r>
              <w:rPr>
                <w:rFonts w:ascii="Times New Roman" w:hAnsi="Times New Roman" w:eastAsia="等线" w:cs="Times New Roman"/>
                <w:color w:val="000000"/>
                <w:sz w:val="18"/>
                <w:szCs w:val="18"/>
              </w:rPr>
              <w:t>Nantong, A.D. 958</w:t>
            </w:r>
          </w:p>
        </w:tc>
        <w:tc>
          <w:tcPr>
            <w:tcW w:w="2933" w:type="pct"/>
            <w:shd w:val="clear" w:color="auto" w:fill="FFFFFF"/>
            <w:vAlign w:val="center"/>
          </w:tcPr>
          <w:p w14:paraId="09495D59">
            <w:pPr>
              <w:jc w:val="left"/>
              <w:rPr>
                <w:rFonts w:ascii="Times New Roman" w:hAnsi="Times New Roman" w:eastAsia="等线" w:cs="Times New Roman"/>
                <w:color w:val="000000"/>
                <w:sz w:val="18"/>
              </w:rPr>
            </w:pPr>
            <w:r>
              <w:rPr>
                <w:rFonts w:ascii="Times New Roman" w:hAnsi="Times New Roman" w:eastAsia="等线" w:cs="Times New Roman"/>
                <w:color w:val="000000"/>
                <w:sz w:val="18"/>
                <w:szCs w:val="18"/>
              </w:rPr>
              <w:t>The most completely preserved ancient city moat in China, featuring numerous historic relics and waterfront landscapes dating back to 958</w:t>
            </w:r>
            <w:r>
              <w:rPr>
                <w:rFonts w:hint="eastAsia" w:ascii="Times New Roman" w:hAnsi="Times New Roman" w:eastAsia="等线" w:cs="Times New Roman"/>
                <w:color w:val="000000"/>
                <w:sz w:val="18"/>
                <w:szCs w:val="18"/>
              </w:rPr>
              <w:t>,</w:t>
            </w:r>
            <w:r>
              <w:rPr>
                <w:rFonts w:ascii="Times New Roman" w:hAnsi="Times New Roman" w:eastAsia="等线" w:cs="Times New Roman"/>
                <w:color w:val="000000"/>
                <w:sz w:val="18"/>
                <w:szCs w:val="18"/>
              </w:rPr>
              <w:t xml:space="preserve"> comparable to the Oxford section of the River Thames (UK), an urban riverine area with many historic buildings, both serving as central cultural waterways with long histories.</w:t>
            </w:r>
          </w:p>
        </w:tc>
      </w:tr>
    </w:tbl>
    <w:p w14:paraId="294294FA">
      <w:pPr>
        <w:rPr>
          <w:rFonts w:ascii="Times New Roman" w:hAnsi="Times New Roman" w:cs="Times New Roman"/>
          <w:b/>
          <w:bCs/>
        </w:rPr>
      </w:pPr>
    </w:p>
    <w:p w14:paraId="7A59F257">
      <w:pPr>
        <w:rPr>
          <w:rFonts w:ascii="Times New Roman" w:hAnsi="Times New Roman" w:cs="Times New Roman"/>
          <w:b/>
          <w:bCs/>
        </w:rPr>
      </w:pPr>
    </w:p>
    <w:p w14:paraId="67B2E44C">
      <w:pPr>
        <w:jc w:val="center"/>
        <w:rPr>
          <w:rFonts w:hint="eastAsia"/>
        </w:rPr>
      </w:pPr>
      <w:r>
        <w:drawing>
          <wp:inline distT="0" distB="0" distL="0" distR="0">
            <wp:extent cx="5076825" cy="7443470"/>
            <wp:effectExtent l="0" t="0" r="3175" b="11430"/>
            <wp:docPr id="1409833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33692"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076825" cy="7443470"/>
                    </a:xfrm>
                    <a:prstGeom prst="rect">
                      <a:avLst/>
                    </a:prstGeom>
                    <a:noFill/>
                    <a:ln>
                      <a:noFill/>
                    </a:ln>
                  </pic:spPr>
                </pic:pic>
              </a:graphicData>
            </a:graphic>
          </wp:inline>
        </w:drawing>
      </w:r>
    </w:p>
    <w:p w14:paraId="54ED18A4">
      <w:pPr>
        <w:spacing w:line="360" w:lineRule="auto"/>
        <w:rPr>
          <w:rFonts w:ascii="Times New Roman" w:hAnsi="Times New Roman" w:cs="Times New Roman"/>
        </w:rPr>
      </w:pPr>
      <w:r>
        <w:rPr>
          <w:rFonts w:ascii="Times New Roman" w:hAnsi="Times New Roman" w:cs="Times New Roman"/>
          <w:b/>
          <w:bCs/>
        </w:rPr>
        <w:t>Fig. A.1.</w:t>
      </w:r>
      <w:r>
        <w:rPr>
          <w:rFonts w:ascii="Times New Roman" w:hAnsi="Times New Roman" w:cs="Times New Roman"/>
        </w:rPr>
        <w:t xml:space="preserve"> Survey route map. (</w:t>
      </w:r>
      <w:r>
        <w:rPr>
          <w:rFonts w:ascii="Times New Roman" w:hAnsi="Times New Roman" w:cs="Times New Roman"/>
          <w:i/>
          <w:iCs/>
        </w:rPr>
        <w:t>A: Humble Administrator’s Garden; B: He Garden; C: Zhan Garden; D: Ming Xiaoling Mausoleum Scenic Area; E: Slender West Lake Scenic Area; F: Hao River Scenic Area</w:t>
      </w:r>
      <w:r>
        <w:rPr>
          <w:rFonts w:ascii="Times New Roman" w:hAnsi="Times New Roman" w:cs="Times New Roman"/>
        </w:rPr>
        <w:t>)</w:t>
      </w:r>
    </w:p>
    <w:p w14:paraId="26D72E09">
      <w:pPr>
        <w:rPr>
          <w:rFonts w:ascii="Times New Roman" w:hAnsi="Times New Roman" w:cs="Times New Roman"/>
          <w:b/>
          <w:bCs/>
        </w:rPr>
      </w:pPr>
    </w:p>
    <w:p w14:paraId="280DDCAC">
      <w:pPr>
        <w:rPr>
          <w:rFonts w:ascii="Times New Roman" w:hAnsi="Times New Roman" w:cs="Times New Roman"/>
          <w:b/>
          <w:bCs/>
        </w:rPr>
      </w:pPr>
    </w:p>
    <w:p w14:paraId="58F9CE4A">
      <w:pPr>
        <w:jc w:val="center"/>
        <w:rPr>
          <w:rFonts w:hint="eastAsia"/>
        </w:rPr>
      </w:pPr>
      <w:r>
        <w:drawing>
          <wp:inline distT="0" distB="0" distL="0" distR="0">
            <wp:extent cx="5164455" cy="6414135"/>
            <wp:effectExtent l="0" t="0" r="0" b="5715"/>
            <wp:docPr id="1631706382" name="图片 2"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06382" name="图片 2" descr="图形用户界面&#10;&#10;AI 生成的内容可能不正确。"/>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93293" cy="6449806"/>
                    </a:xfrm>
                    <a:prstGeom prst="rect">
                      <a:avLst/>
                    </a:prstGeom>
                    <a:noFill/>
                    <a:ln>
                      <a:noFill/>
                    </a:ln>
                  </pic:spPr>
                </pic:pic>
              </a:graphicData>
            </a:graphic>
          </wp:inline>
        </w:drawing>
      </w:r>
    </w:p>
    <w:p w14:paraId="026BC048">
      <w:pPr>
        <w:jc w:val="center"/>
        <w:rPr>
          <w:rFonts w:ascii="Times New Roman" w:hAnsi="Times New Roman" w:cs="Times New Roman"/>
          <w:b/>
          <w:bCs/>
        </w:rPr>
      </w:pPr>
      <w:r>
        <w:rPr>
          <w:rFonts w:ascii="Times New Roman" w:hAnsi="Times New Roman" w:cs="Times New Roman"/>
          <w:b/>
          <w:bCs/>
        </w:rPr>
        <w:t>Fig.A.</w:t>
      </w:r>
      <w:r>
        <w:rPr>
          <w:rFonts w:hint="eastAsia" w:ascii="Times New Roman" w:hAnsi="Times New Roman" w:cs="Times New Roman"/>
          <w:b/>
          <w:bCs/>
        </w:rPr>
        <w:t>2</w:t>
      </w:r>
      <w:r>
        <w:rPr>
          <w:rFonts w:ascii="Times New Roman" w:hAnsi="Times New Roman" w:cs="Times New Roman"/>
          <w:b/>
          <w:bCs/>
        </w:rPr>
        <w:t xml:space="preserve">. </w:t>
      </w:r>
      <w:r>
        <w:rPr>
          <w:rFonts w:ascii="Times New Roman" w:hAnsi="Times New Roman" w:cs="Times New Roman"/>
        </w:rPr>
        <w:t>Eye tracking result analysis</w:t>
      </w:r>
    </w:p>
    <w:p w14:paraId="7A7AED98">
      <w:pPr>
        <w:rPr>
          <w:rFonts w:ascii="Times New Roman" w:hAnsi="Times New Roman" w:cs="Times New Roman"/>
          <w:b/>
          <w:bCs/>
        </w:rPr>
      </w:pPr>
    </w:p>
    <w:p w14:paraId="370123E6">
      <w:pPr>
        <w:jc w:val="center"/>
        <w:rPr>
          <w:rFonts w:ascii="Times New Roman" w:hAnsi="Times New Roman" w:cs="Times New Roman"/>
          <w:b/>
          <w:bCs/>
        </w:rPr>
      </w:pPr>
      <w:r>
        <w:drawing>
          <wp:inline distT="0" distB="0" distL="0" distR="0">
            <wp:extent cx="4495800" cy="8126095"/>
            <wp:effectExtent l="0" t="0" r="0" b="8255"/>
            <wp:docPr id="495106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06105"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04617" cy="8141252"/>
                    </a:xfrm>
                    <a:prstGeom prst="rect">
                      <a:avLst/>
                    </a:prstGeom>
                    <a:noFill/>
                    <a:ln>
                      <a:noFill/>
                    </a:ln>
                  </pic:spPr>
                </pic:pic>
              </a:graphicData>
            </a:graphic>
          </wp:inline>
        </w:drawing>
      </w:r>
    </w:p>
    <w:p w14:paraId="2607F11D">
      <w:pPr>
        <w:jc w:val="center"/>
        <w:rPr>
          <w:rFonts w:ascii="Times New Roman" w:hAnsi="Times New Roman" w:cs="Times New Roman"/>
        </w:rPr>
      </w:pPr>
      <w:r>
        <w:rPr>
          <w:rFonts w:hint="eastAsia" w:ascii="Times New Roman" w:hAnsi="Times New Roman" w:cs="Times New Roman"/>
          <w:b/>
          <w:bCs/>
        </w:rPr>
        <w:t xml:space="preserve">Fig.A.3. </w:t>
      </w:r>
      <w:r>
        <w:rPr>
          <w:rFonts w:ascii="Times New Roman" w:hAnsi="Times New Roman" w:cs="Times New Roman"/>
        </w:rPr>
        <w:t>Image numbering</w:t>
      </w:r>
    </w:p>
    <w:p w14:paraId="3CA204BA">
      <w:pPr>
        <w:jc w:val="center"/>
        <w:rPr>
          <w:rFonts w:ascii="Times New Roman" w:hAnsi="Times New Roman" w:cs="Times New Roman"/>
        </w:rPr>
      </w:pPr>
    </w:p>
    <w:p w14:paraId="19AF125F">
      <w:pPr>
        <w:rPr>
          <w:rFonts w:ascii="Times New Roman" w:hAnsi="Times New Roman" w:cs="Times New Roman"/>
        </w:rPr>
      </w:pPr>
      <w:r>
        <w:rPr>
          <w:rFonts w:ascii="Times New Roman" w:hAnsi="Times New Roman" w:cs="Times New Roman"/>
          <w:b/>
          <w:bCs/>
        </w:rPr>
        <w:t xml:space="preserve">Table </w:t>
      </w:r>
      <w:r>
        <w:rPr>
          <w:rFonts w:hint="eastAsia" w:ascii="Times New Roman" w:hAnsi="Times New Roman" w:cs="Times New Roman"/>
          <w:b/>
          <w:bCs/>
        </w:rPr>
        <w:t>A.2</w:t>
      </w:r>
      <w:r>
        <w:rPr>
          <w:rFonts w:ascii="Times New Roman" w:hAnsi="Times New Roman" w:cs="Times New Roman"/>
        </w:rPr>
        <w:t xml:space="preserve"> Statistics of signage information</w:t>
      </w:r>
    </w:p>
    <w:tbl>
      <w:tblPr>
        <w:tblStyle w:val="17"/>
        <w:tblW w:w="9425" w:type="dxa"/>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17"/>
        <w:gridCol w:w="1492"/>
        <w:gridCol w:w="907"/>
        <w:gridCol w:w="1066"/>
        <w:gridCol w:w="915"/>
        <w:gridCol w:w="1481"/>
        <w:gridCol w:w="2647"/>
      </w:tblGrid>
      <w:tr w14:paraId="1B7CDC03">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trHeight w:val="0" w:hRule="atLeast"/>
          <w:tblHeader/>
          <w:jc w:val="center"/>
        </w:trPr>
        <w:tc>
          <w:tcPr>
            <w:tcW w:w="917" w:type="dxa"/>
            <w:noWrap/>
            <w:vAlign w:val="center"/>
          </w:tcPr>
          <w:p w14:paraId="6C6081ED">
            <w:pPr>
              <w:snapToGrid w:val="0"/>
              <w:ind w:left="0" w:leftChars="0" w:right="0" w:rightChars="0" w:firstLine="0" w:firstLineChars="0"/>
              <w:jc w:val="center"/>
              <w:rPr>
                <w:rFonts w:ascii="Times New Roman" w:hAnsi="Times New Roman" w:eastAsia="等线" w:cs="Times New Roman"/>
                <w:b/>
                <w:color w:val="000000"/>
                <w:kern w:val="0"/>
                <w:sz w:val="18"/>
                <w:szCs w:val="18"/>
              </w:rPr>
            </w:pPr>
            <w:bookmarkStart w:id="1" w:name="OLE_LINK14"/>
            <w:r>
              <w:rPr>
                <w:rFonts w:ascii="Times New Roman" w:hAnsi="Times New Roman" w:eastAsia="等线" w:cs="Times New Roman"/>
                <w:b/>
                <w:color w:val="000000"/>
                <w:kern w:val="0"/>
                <w:sz w:val="18"/>
                <w:szCs w:val="18"/>
              </w:rPr>
              <w:t>Serial Number</w:t>
            </w:r>
          </w:p>
        </w:tc>
        <w:tc>
          <w:tcPr>
            <w:tcW w:w="1492" w:type="dxa"/>
            <w:noWrap/>
            <w:vAlign w:val="center"/>
          </w:tcPr>
          <w:p w14:paraId="4D6562DF">
            <w:pPr>
              <w:snapToGrid w:val="0"/>
              <w:ind w:left="0" w:leftChars="0" w:right="0" w:rightChars="0" w:firstLine="0" w:firstLineChars="0"/>
              <w:jc w:val="center"/>
              <w:rPr>
                <w:rFonts w:ascii="Times New Roman" w:hAnsi="Times New Roman" w:eastAsia="等线" w:cs="Times New Roman"/>
                <w:b/>
                <w:color w:val="000000"/>
                <w:kern w:val="0"/>
                <w:sz w:val="18"/>
                <w:szCs w:val="18"/>
              </w:rPr>
            </w:pPr>
            <w:r>
              <w:rPr>
                <w:rFonts w:ascii="Times New Roman" w:hAnsi="Times New Roman" w:eastAsia="等线" w:cs="Times New Roman"/>
                <w:b/>
                <w:color w:val="000000"/>
                <w:kern w:val="0"/>
                <w:sz w:val="18"/>
                <w:szCs w:val="18"/>
              </w:rPr>
              <w:t>Type</w:t>
            </w:r>
          </w:p>
        </w:tc>
        <w:tc>
          <w:tcPr>
            <w:tcW w:w="907" w:type="dxa"/>
            <w:noWrap/>
            <w:vAlign w:val="center"/>
          </w:tcPr>
          <w:p w14:paraId="458EF5EE">
            <w:pPr>
              <w:snapToGrid w:val="0"/>
              <w:ind w:left="0" w:leftChars="0" w:right="0" w:rightChars="0" w:firstLine="0" w:firstLineChars="0"/>
              <w:jc w:val="center"/>
              <w:rPr>
                <w:rFonts w:ascii="Times New Roman" w:hAnsi="Times New Roman" w:eastAsia="等线" w:cs="Times New Roman"/>
                <w:b/>
                <w:color w:val="000000"/>
                <w:kern w:val="0"/>
                <w:sz w:val="18"/>
                <w:szCs w:val="18"/>
              </w:rPr>
            </w:pPr>
            <w:r>
              <w:rPr>
                <w:rFonts w:ascii="Times New Roman" w:hAnsi="Times New Roman" w:eastAsia="等线" w:cs="Times New Roman"/>
                <w:b/>
                <w:color w:val="000000"/>
                <w:kern w:val="0"/>
                <w:sz w:val="18"/>
                <w:szCs w:val="18"/>
              </w:rPr>
              <w:t>Quantity</w:t>
            </w:r>
          </w:p>
        </w:tc>
        <w:tc>
          <w:tcPr>
            <w:tcW w:w="1066" w:type="dxa"/>
            <w:noWrap/>
            <w:vAlign w:val="center"/>
          </w:tcPr>
          <w:p w14:paraId="187D7B0A">
            <w:pPr>
              <w:snapToGrid w:val="0"/>
              <w:ind w:left="0" w:leftChars="0" w:right="0" w:rightChars="0" w:firstLine="0" w:firstLineChars="0"/>
              <w:jc w:val="center"/>
              <w:rPr>
                <w:rFonts w:ascii="Times New Roman" w:hAnsi="Times New Roman" w:eastAsia="等线" w:cs="Times New Roman"/>
                <w:b/>
                <w:color w:val="000000"/>
                <w:kern w:val="0"/>
                <w:sz w:val="18"/>
                <w:szCs w:val="18"/>
              </w:rPr>
            </w:pPr>
            <w:r>
              <w:rPr>
                <w:rFonts w:ascii="Times New Roman" w:hAnsi="Times New Roman" w:eastAsia="等线" w:cs="Times New Roman"/>
                <w:b/>
                <w:color w:val="000000"/>
                <w:kern w:val="0"/>
                <w:sz w:val="18"/>
                <w:szCs w:val="18"/>
              </w:rPr>
              <w:t>Area Proportion</w:t>
            </w:r>
          </w:p>
        </w:tc>
        <w:tc>
          <w:tcPr>
            <w:tcW w:w="915" w:type="dxa"/>
            <w:noWrap/>
            <w:vAlign w:val="center"/>
          </w:tcPr>
          <w:p w14:paraId="20E5DE5D">
            <w:pPr>
              <w:snapToGrid w:val="0"/>
              <w:ind w:left="0" w:leftChars="0" w:right="0" w:rightChars="0" w:firstLine="0" w:firstLineChars="0"/>
              <w:jc w:val="center"/>
              <w:rPr>
                <w:rFonts w:ascii="Times New Roman" w:hAnsi="Times New Roman" w:eastAsia="等线" w:cs="Times New Roman"/>
                <w:b/>
                <w:color w:val="000000"/>
                <w:kern w:val="0"/>
                <w:sz w:val="18"/>
                <w:szCs w:val="18"/>
              </w:rPr>
            </w:pPr>
            <w:r>
              <w:rPr>
                <w:rFonts w:ascii="Times New Roman" w:hAnsi="Times New Roman" w:eastAsia="等线" w:cs="Times New Roman"/>
                <w:b/>
                <w:color w:val="000000"/>
                <w:kern w:val="0"/>
                <w:sz w:val="18"/>
                <w:szCs w:val="18"/>
              </w:rPr>
              <w:t>Whether Entering Key Sight</w:t>
            </w:r>
          </w:p>
        </w:tc>
        <w:tc>
          <w:tcPr>
            <w:tcW w:w="1481" w:type="dxa"/>
            <w:noWrap/>
            <w:vAlign w:val="center"/>
          </w:tcPr>
          <w:p w14:paraId="2D906450">
            <w:pPr>
              <w:snapToGrid w:val="0"/>
              <w:ind w:left="0" w:leftChars="0" w:right="0" w:rightChars="0" w:firstLine="0" w:firstLineChars="0"/>
              <w:jc w:val="center"/>
              <w:rPr>
                <w:rFonts w:ascii="Times New Roman" w:hAnsi="Times New Roman" w:eastAsia="等线" w:cs="Times New Roman"/>
                <w:b/>
                <w:color w:val="000000"/>
                <w:kern w:val="0"/>
                <w:sz w:val="18"/>
                <w:szCs w:val="18"/>
              </w:rPr>
            </w:pPr>
            <w:r>
              <w:rPr>
                <w:rFonts w:ascii="Times New Roman" w:hAnsi="Times New Roman" w:eastAsia="等线" w:cs="Times New Roman"/>
                <w:b/>
                <w:color w:val="000000"/>
                <w:kern w:val="0"/>
                <w:sz w:val="18"/>
                <w:szCs w:val="18"/>
              </w:rPr>
              <w:t>Distance from Core Scenic Spots</w:t>
            </w:r>
          </w:p>
        </w:tc>
        <w:tc>
          <w:tcPr>
            <w:tcW w:w="2647" w:type="dxa"/>
            <w:vAlign w:val="center"/>
          </w:tcPr>
          <w:p w14:paraId="17651254">
            <w:pPr>
              <w:snapToGrid w:val="0"/>
              <w:ind w:left="0" w:leftChars="0" w:right="0" w:rightChars="0" w:firstLine="0" w:firstLineChars="0"/>
              <w:jc w:val="center"/>
              <w:rPr>
                <w:rFonts w:ascii="Times New Roman" w:hAnsi="Times New Roman" w:eastAsia="等线" w:cs="Times New Roman"/>
                <w:b/>
                <w:color w:val="000000"/>
                <w:kern w:val="0"/>
                <w:sz w:val="18"/>
                <w:szCs w:val="18"/>
              </w:rPr>
            </w:pPr>
            <w:r>
              <w:rPr>
                <w:rFonts w:ascii="Times New Roman" w:hAnsi="Times New Roman" w:eastAsia="等线" w:cs="Times New Roman"/>
                <w:b/>
                <w:color w:val="000000"/>
                <w:kern w:val="0"/>
                <w:sz w:val="18"/>
                <w:szCs w:val="18"/>
              </w:rPr>
              <w:t>Affiliated Park</w:t>
            </w:r>
          </w:p>
        </w:tc>
      </w:tr>
      <w:tr w14:paraId="5D391E9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20111B1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492" w:type="dxa"/>
            <w:noWrap/>
            <w:vAlign w:val="center"/>
          </w:tcPr>
          <w:p w14:paraId="4B49C79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Commercial Advertisements</w:t>
            </w:r>
          </w:p>
        </w:tc>
        <w:tc>
          <w:tcPr>
            <w:tcW w:w="907" w:type="dxa"/>
            <w:noWrap/>
            <w:vAlign w:val="center"/>
          </w:tcPr>
          <w:p w14:paraId="687B554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5E82978C">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w:t>
            </w:r>
          </w:p>
        </w:tc>
        <w:tc>
          <w:tcPr>
            <w:tcW w:w="915" w:type="dxa"/>
            <w:noWrap/>
            <w:vAlign w:val="center"/>
          </w:tcPr>
          <w:p w14:paraId="52FCB624">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43E46C9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10 meters</w:t>
            </w:r>
          </w:p>
        </w:tc>
        <w:tc>
          <w:tcPr>
            <w:tcW w:w="2647" w:type="dxa"/>
            <w:vMerge w:val="restart"/>
            <w:vAlign w:val="center"/>
          </w:tcPr>
          <w:p w14:paraId="2E8C7389">
            <w:pPr>
              <w:snapToGrid w:val="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Ming Xiaoling Mausoleum</w:t>
            </w:r>
          </w:p>
        </w:tc>
      </w:tr>
      <w:tr w14:paraId="5342E888">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3568BA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492" w:type="dxa"/>
            <w:noWrap/>
            <w:vAlign w:val="center"/>
          </w:tcPr>
          <w:p w14:paraId="5A392E02">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5EA6EB8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44A75E7C">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915" w:type="dxa"/>
            <w:noWrap/>
            <w:vAlign w:val="center"/>
          </w:tcPr>
          <w:p w14:paraId="63E081DA">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36E27AF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10 meters</w:t>
            </w:r>
          </w:p>
        </w:tc>
        <w:tc>
          <w:tcPr>
            <w:tcW w:w="2647" w:type="dxa"/>
            <w:vMerge w:val="continue"/>
            <w:vAlign w:val="center"/>
          </w:tcPr>
          <w:p w14:paraId="2994F9E1">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64AED292">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8DF814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1492" w:type="dxa"/>
            <w:noWrap/>
            <w:vAlign w:val="center"/>
          </w:tcPr>
          <w:p w14:paraId="41701CEC">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05125B2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2C40DE8F">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0.5%</w:t>
            </w:r>
          </w:p>
        </w:tc>
        <w:tc>
          <w:tcPr>
            <w:tcW w:w="915" w:type="dxa"/>
            <w:noWrap/>
            <w:vAlign w:val="center"/>
          </w:tcPr>
          <w:p w14:paraId="4FA6EE89">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5219EEC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15 meters</w:t>
            </w:r>
          </w:p>
        </w:tc>
        <w:tc>
          <w:tcPr>
            <w:tcW w:w="2647" w:type="dxa"/>
            <w:vMerge w:val="continue"/>
            <w:vAlign w:val="center"/>
          </w:tcPr>
          <w:p w14:paraId="47E98562">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7123F3F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21D1204E">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w:t>
            </w:r>
          </w:p>
        </w:tc>
        <w:tc>
          <w:tcPr>
            <w:tcW w:w="1492" w:type="dxa"/>
            <w:noWrap/>
            <w:vAlign w:val="center"/>
          </w:tcPr>
          <w:p w14:paraId="6ED10E13">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6515E28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1066" w:type="dxa"/>
            <w:noWrap/>
            <w:vAlign w:val="center"/>
          </w:tcPr>
          <w:p w14:paraId="139FC649">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w:t>
            </w:r>
          </w:p>
        </w:tc>
        <w:tc>
          <w:tcPr>
            <w:tcW w:w="915" w:type="dxa"/>
            <w:noWrap/>
            <w:vAlign w:val="center"/>
          </w:tcPr>
          <w:p w14:paraId="73869A4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0DDAC6F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 meters</w:t>
            </w:r>
          </w:p>
        </w:tc>
        <w:tc>
          <w:tcPr>
            <w:tcW w:w="2647" w:type="dxa"/>
            <w:vMerge w:val="continue"/>
            <w:vAlign w:val="center"/>
          </w:tcPr>
          <w:p w14:paraId="1D0F5B08">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45F4790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0B52E4B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w:t>
            </w:r>
          </w:p>
        </w:tc>
        <w:tc>
          <w:tcPr>
            <w:tcW w:w="1492" w:type="dxa"/>
            <w:noWrap/>
            <w:vAlign w:val="center"/>
          </w:tcPr>
          <w:p w14:paraId="061DB4FA">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3CB48288">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74007F95">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915" w:type="dxa"/>
            <w:noWrap/>
            <w:vAlign w:val="center"/>
          </w:tcPr>
          <w:p w14:paraId="522B71B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67B6334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8 meters</w:t>
            </w:r>
          </w:p>
        </w:tc>
        <w:tc>
          <w:tcPr>
            <w:tcW w:w="2647" w:type="dxa"/>
            <w:vMerge w:val="continue"/>
            <w:vAlign w:val="center"/>
          </w:tcPr>
          <w:p w14:paraId="53D8F9D0">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045C5EB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ED4D56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6</w:t>
            </w:r>
          </w:p>
        </w:tc>
        <w:tc>
          <w:tcPr>
            <w:tcW w:w="1492" w:type="dxa"/>
            <w:noWrap/>
            <w:vAlign w:val="center"/>
          </w:tcPr>
          <w:p w14:paraId="560C40B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2F1B73F7">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4B3C8925">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6C66360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28342987">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continue"/>
            <w:vAlign w:val="center"/>
          </w:tcPr>
          <w:p w14:paraId="7429D850">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0AB0CE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trHeight w:val="0" w:hRule="atLeast"/>
          <w:jc w:val="center"/>
        </w:trPr>
        <w:tc>
          <w:tcPr>
            <w:tcW w:w="917" w:type="dxa"/>
            <w:noWrap/>
            <w:vAlign w:val="center"/>
          </w:tcPr>
          <w:p w14:paraId="66AA4A7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w:t>
            </w:r>
          </w:p>
        </w:tc>
        <w:tc>
          <w:tcPr>
            <w:tcW w:w="1492" w:type="dxa"/>
            <w:noWrap/>
            <w:vAlign w:val="center"/>
          </w:tcPr>
          <w:p w14:paraId="2DF711E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7A772CA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48F9CD8D">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915" w:type="dxa"/>
            <w:noWrap/>
            <w:vAlign w:val="center"/>
          </w:tcPr>
          <w:p w14:paraId="324F78DC">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2DDC533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 meters</w:t>
            </w:r>
          </w:p>
        </w:tc>
        <w:tc>
          <w:tcPr>
            <w:tcW w:w="2647" w:type="dxa"/>
            <w:vMerge w:val="continue"/>
            <w:vAlign w:val="center"/>
          </w:tcPr>
          <w:p w14:paraId="7870F670">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7DDCDDC8">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5D1A576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8</w:t>
            </w:r>
          </w:p>
        </w:tc>
        <w:tc>
          <w:tcPr>
            <w:tcW w:w="1492" w:type="dxa"/>
            <w:noWrap/>
            <w:vAlign w:val="center"/>
          </w:tcPr>
          <w:p w14:paraId="5696E1D4">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756267B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5B30DDCC">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915" w:type="dxa"/>
            <w:noWrap/>
            <w:vAlign w:val="center"/>
          </w:tcPr>
          <w:p w14:paraId="7CB9B58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7B769EE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10BB55F2">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13943CF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1D353CB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9</w:t>
            </w:r>
          </w:p>
        </w:tc>
        <w:tc>
          <w:tcPr>
            <w:tcW w:w="1492" w:type="dxa"/>
            <w:noWrap/>
            <w:vAlign w:val="center"/>
          </w:tcPr>
          <w:p w14:paraId="1E660FA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4C73E3E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14FA9AB1">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6D0D2B4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2D4123D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50 meters</w:t>
            </w:r>
          </w:p>
        </w:tc>
        <w:tc>
          <w:tcPr>
            <w:tcW w:w="2647" w:type="dxa"/>
            <w:vMerge w:val="continue"/>
            <w:vAlign w:val="center"/>
          </w:tcPr>
          <w:p w14:paraId="3709F1F6">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62598A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38F2A37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10</w:t>
            </w:r>
          </w:p>
        </w:tc>
        <w:tc>
          <w:tcPr>
            <w:tcW w:w="1492" w:type="dxa"/>
            <w:noWrap/>
            <w:vAlign w:val="center"/>
          </w:tcPr>
          <w:p w14:paraId="4F761C18">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012094F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6</w:t>
            </w:r>
          </w:p>
        </w:tc>
        <w:tc>
          <w:tcPr>
            <w:tcW w:w="1066" w:type="dxa"/>
            <w:noWrap/>
            <w:vAlign w:val="center"/>
          </w:tcPr>
          <w:p w14:paraId="59FFB62C">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41FCAC2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1564FDE8">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continue"/>
            <w:vAlign w:val="center"/>
          </w:tcPr>
          <w:p w14:paraId="5E6D676D">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C6211F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0B5D8F77">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11</w:t>
            </w:r>
          </w:p>
        </w:tc>
        <w:tc>
          <w:tcPr>
            <w:tcW w:w="1492" w:type="dxa"/>
            <w:noWrap/>
            <w:vAlign w:val="center"/>
          </w:tcPr>
          <w:p w14:paraId="1F55917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30B93AE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4D164347">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0.5%</w:t>
            </w:r>
          </w:p>
        </w:tc>
        <w:tc>
          <w:tcPr>
            <w:tcW w:w="915" w:type="dxa"/>
            <w:noWrap/>
            <w:vAlign w:val="center"/>
          </w:tcPr>
          <w:p w14:paraId="6A1FE8E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6538197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 meters</w:t>
            </w:r>
          </w:p>
        </w:tc>
        <w:tc>
          <w:tcPr>
            <w:tcW w:w="2647" w:type="dxa"/>
            <w:vMerge w:val="restart"/>
            <w:vAlign w:val="center"/>
          </w:tcPr>
          <w:p w14:paraId="1E39D9B7">
            <w:pPr>
              <w:snapToGrid w:val="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Zhan Garden</w:t>
            </w:r>
          </w:p>
        </w:tc>
      </w:tr>
      <w:tr w14:paraId="26F0EE4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9579AA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12</w:t>
            </w:r>
          </w:p>
        </w:tc>
        <w:tc>
          <w:tcPr>
            <w:tcW w:w="1492" w:type="dxa"/>
            <w:noWrap/>
            <w:vAlign w:val="center"/>
          </w:tcPr>
          <w:p w14:paraId="40D3D5ED">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19C2AAD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5C217184">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0A0CCC9E">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28127FF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8 meters</w:t>
            </w:r>
          </w:p>
        </w:tc>
        <w:tc>
          <w:tcPr>
            <w:tcW w:w="2647" w:type="dxa"/>
            <w:vMerge w:val="continue"/>
            <w:vAlign w:val="center"/>
          </w:tcPr>
          <w:p w14:paraId="68C349BE">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64FA63F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03F1844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13</w:t>
            </w:r>
          </w:p>
        </w:tc>
        <w:tc>
          <w:tcPr>
            <w:tcW w:w="1492" w:type="dxa"/>
            <w:noWrap/>
            <w:vAlign w:val="center"/>
          </w:tcPr>
          <w:p w14:paraId="636CDFB3">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62CEC78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31CA0074">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915" w:type="dxa"/>
            <w:noWrap/>
            <w:vAlign w:val="center"/>
          </w:tcPr>
          <w:p w14:paraId="2D803DA1">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2BC91B0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continue"/>
            <w:vAlign w:val="center"/>
          </w:tcPr>
          <w:p w14:paraId="5D1E0D8B">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4547EC9C">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4D9C5B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14</w:t>
            </w:r>
          </w:p>
        </w:tc>
        <w:tc>
          <w:tcPr>
            <w:tcW w:w="1492" w:type="dxa"/>
            <w:noWrap/>
            <w:vAlign w:val="center"/>
          </w:tcPr>
          <w:p w14:paraId="61839051">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0F44572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w:t>
            </w:r>
          </w:p>
        </w:tc>
        <w:tc>
          <w:tcPr>
            <w:tcW w:w="1066" w:type="dxa"/>
            <w:noWrap/>
            <w:vAlign w:val="center"/>
          </w:tcPr>
          <w:p w14:paraId="4BD06A4E">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10%</w:t>
            </w:r>
          </w:p>
        </w:tc>
        <w:tc>
          <w:tcPr>
            <w:tcW w:w="915" w:type="dxa"/>
            <w:noWrap/>
            <w:vAlign w:val="center"/>
          </w:tcPr>
          <w:p w14:paraId="158B04D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114538B2">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279CCBEC">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16307BC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34CE84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15</w:t>
            </w:r>
          </w:p>
        </w:tc>
        <w:tc>
          <w:tcPr>
            <w:tcW w:w="1492" w:type="dxa"/>
            <w:noWrap/>
            <w:vAlign w:val="center"/>
          </w:tcPr>
          <w:p w14:paraId="6877A9D5">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51BB398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699DDA3">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915" w:type="dxa"/>
            <w:noWrap/>
            <w:vAlign w:val="center"/>
          </w:tcPr>
          <w:p w14:paraId="27D86C8A">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34C8B80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1349EDB2">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16F4BEF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trHeight w:val="0" w:hRule="atLeast"/>
          <w:jc w:val="center"/>
        </w:trPr>
        <w:tc>
          <w:tcPr>
            <w:tcW w:w="917" w:type="dxa"/>
            <w:noWrap/>
            <w:vAlign w:val="center"/>
          </w:tcPr>
          <w:p w14:paraId="5D08C73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16</w:t>
            </w:r>
          </w:p>
        </w:tc>
        <w:tc>
          <w:tcPr>
            <w:tcW w:w="1492" w:type="dxa"/>
            <w:noWrap/>
            <w:vAlign w:val="center"/>
          </w:tcPr>
          <w:p w14:paraId="34CFB85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1FDEB067">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3D222301">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0.3%</w:t>
            </w:r>
          </w:p>
        </w:tc>
        <w:tc>
          <w:tcPr>
            <w:tcW w:w="915" w:type="dxa"/>
            <w:noWrap/>
            <w:vAlign w:val="center"/>
          </w:tcPr>
          <w:p w14:paraId="61A5B10E">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2C86622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10 meters</w:t>
            </w:r>
          </w:p>
        </w:tc>
        <w:tc>
          <w:tcPr>
            <w:tcW w:w="2647" w:type="dxa"/>
            <w:vMerge w:val="continue"/>
            <w:vAlign w:val="center"/>
          </w:tcPr>
          <w:p w14:paraId="3A70DDAB">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6F64353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trHeight w:val="0" w:hRule="atLeast"/>
          <w:jc w:val="center"/>
        </w:trPr>
        <w:tc>
          <w:tcPr>
            <w:tcW w:w="917" w:type="dxa"/>
            <w:noWrap/>
            <w:vAlign w:val="center"/>
          </w:tcPr>
          <w:p w14:paraId="464FCFE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17</w:t>
            </w:r>
          </w:p>
        </w:tc>
        <w:tc>
          <w:tcPr>
            <w:tcW w:w="1492" w:type="dxa"/>
            <w:noWrap/>
            <w:vAlign w:val="center"/>
          </w:tcPr>
          <w:p w14:paraId="7EE751D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0B3A9FA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630BDD0D">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w:t>
            </w:r>
          </w:p>
        </w:tc>
        <w:tc>
          <w:tcPr>
            <w:tcW w:w="915" w:type="dxa"/>
            <w:noWrap/>
            <w:vAlign w:val="center"/>
          </w:tcPr>
          <w:p w14:paraId="592C2093">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0CEA93FA">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continue"/>
            <w:vAlign w:val="center"/>
          </w:tcPr>
          <w:p w14:paraId="1E3B98DE">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5704D60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25A848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18</w:t>
            </w:r>
          </w:p>
        </w:tc>
        <w:tc>
          <w:tcPr>
            <w:tcW w:w="1492" w:type="dxa"/>
            <w:noWrap/>
            <w:vAlign w:val="center"/>
          </w:tcPr>
          <w:p w14:paraId="159A16B7">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536639D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3C56192">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163CD291">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3666C4D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15 meters</w:t>
            </w:r>
          </w:p>
        </w:tc>
        <w:tc>
          <w:tcPr>
            <w:tcW w:w="2647" w:type="dxa"/>
            <w:vMerge w:val="continue"/>
            <w:vAlign w:val="center"/>
          </w:tcPr>
          <w:p w14:paraId="1F994BFC">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9CD450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6F933EA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19</w:t>
            </w:r>
          </w:p>
        </w:tc>
        <w:tc>
          <w:tcPr>
            <w:tcW w:w="1492" w:type="dxa"/>
            <w:noWrap/>
            <w:vAlign w:val="center"/>
          </w:tcPr>
          <w:p w14:paraId="7ED684E5">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06B5404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72708E3B">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0.5%</w:t>
            </w:r>
          </w:p>
        </w:tc>
        <w:tc>
          <w:tcPr>
            <w:tcW w:w="915" w:type="dxa"/>
            <w:noWrap/>
            <w:vAlign w:val="center"/>
          </w:tcPr>
          <w:p w14:paraId="630D597A">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122E9AD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 meters</w:t>
            </w:r>
          </w:p>
        </w:tc>
        <w:tc>
          <w:tcPr>
            <w:tcW w:w="2647" w:type="dxa"/>
            <w:vMerge w:val="continue"/>
            <w:vAlign w:val="center"/>
          </w:tcPr>
          <w:p w14:paraId="20F67402">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5F9F9493">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2DDB7E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20</w:t>
            </w:r>
          </w:p>
        </w:tc>
        <w:tc>
          <w:tcPr>
            <w:tcW w:w="1492" w:type="dxa"/>
            <w:noWrap/>
            <w:vAlign w:val="center"/>
          </w:tcPr>
          <w:p w14:paraId="4EE589D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56E4C96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221044C6">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8%</w:t>
            </w:r>
          </w:p>
        </w:tc>
        <w:tc>
          <w:tcPr>
            <w:tcW w:w="915" w:type="dxa"/>
            <w:noWrap/>
            <w:vAlign w:val="center"/>
          </w:tcPr>
          <w:p w14:paraId="652B222A">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42CA94FA">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continue"/>
            <w:vAlign w:val="center"/>
          </w:tcPr>
          <w:p w14:paraId="70C20DFD">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91B7D5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0813BA6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21</w:t>
            </w:r>
          </w:p>
        </w:tc>
        <w:tc>
          <w:tcPr>
            <w:tcW w:w="1492" w:type="dxa"/>
            <w:noWrap/>
            <w:vAlign w:val="center"/>
          </w:tcPr>
          <w:p w14:paraId="77E1A8B9">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2712B5B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3D23F12">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915" w:type="dxa"/>
            <w:noWrap/>
            <w:vAlign w:val="center"/>
          </w:tcPr>
          <w:p w14:paraId="03CA463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01F594EA">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15 meters</w:t>
            </w:r>
          </w:p>
        </w:tc>
        <w:tc>
          <w:tcPr>
            <w:tcW w:w="2647" w:type="dxa"/>
            <w:vMerge w:val="restart"/>
            <w:vAlign w:val="center"/>
          </w:tcPr>
          <w:p w14:paraId="5670312D">
            <w:pPr>
              <w:snapToGrid w:val="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Haohe Scenic Area</w:t>
            </w:r>
          </w:p>
        </w:tc>
      </w:tr>
      <w:tr w14:paraId="1570A14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1EA34A78">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22</w:t>
            </w:r>
          </w:p>
        </w:tc>
        <w:tc>
          <w:tcPr>
            <w:tcW w:w="1492" w:type="dxa"/>
            <w:noWrap/>
            <w:vAlign w:val="center"/>
          </w:tcPr>
          <w:p w14:paraId="796CA05A">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575096D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49B71FDA">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1.5%</w:t>
            </w:r>
          </w:p>
        </w:tc>
        <w:tc>
          <w:tcPr>
            <w:tcW w:w="915" w:type="dxa"/>
            <w:noWrap/>
            <w:vAlign w:val="center"/>
          </w:tcPr>
          <w:p w14:paraId="114DCA1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704D6F72">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 meters</w:t>
            </w:r>
          </w:p>
        </w:tc>
        <w:tc>
          <w:tcPr>
            <w:tcW w:w="2647" w:type="dxa"/>
            <w:vMerge w:val="continue"/>
            <w:vAlign w:val="center"/>
          </w:tcPr>
          <w:p w14:paraId="65B96BFC">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60B12B3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1CE6F40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23</w:t>
            </w:r>
          </w:p>
        </w:tc>
        <w:tc>
          <w:tcPr>
            <w:tcW w:w="1492" w:type="dxa"/>
            <w:noWrap/>
            <w:vAlign w:val="center"/>
          </w:tcPr>
          <w:p w14:paraId="632BCFC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Commercial Advertisements</w:t>
            </w:r>
          </w:p>
        </w:tc>
        <w:tc>
          <w:tcPr>
            <w:tcW w:w="907" w:type="dxa"/>
            <w:noWrap/>
            <w:vAlign w:val="center"/>
          </w:tcPr>
          <w:p w14:paraId="22D0254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26339A12">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15%</w:t>
            </w:r>
          </w:p>
        </w:tc>
        <w:tc>
          <w:tcPr>
            <w:tcW w:w="915" w:type="dxa"/>
            <w:noWrap/>
            <w:vAlign w:val="center"/>
          </w:tcPr>
          <w:p w14:paraId="24AA66A1">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382FE9E8">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212D44B2">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52AF48CC">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07D3D2E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24</w:t>
            </w:r>
          </w:p>
        </w:tc>
        <w:tc>
          <w:tcPr>
            <w:tcW w:w="1492" w:type="dxa"/>
            <w:noWrap/>
            <w:vAlign w:val="center"/>
          </w:tcPr>
          <w:p w14:paraId="644F577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Commercial Advertisements</w:t>
            </w:r>
          </w:p>
        </w:tc>
        <w:tc>
          <w:tcPr>
            <w:tcW w:w="907" w:type="dxa"/>
            <w:noWrap/>
            <w:vAlign w:val="center"/>
          </w:tcPr>
          <w:p w14:paraId="52DB3EC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400359BD">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20%</w:t>
            </w:r>
          </w:p>
        </w:tc>
        <w:tc>
          <w:tcPr>
            <w:tcW w:w="915" w:type="dxa"/>
            <w:noWrap/>
            <w:vAlign w:val="center"/>
          </w:tcPr>
          <w:p w14:paraId="5B968984">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39266F5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continue"/>
            <w:vAlign w:val="center"/>
          </w:tcPr>
          <w:p w14:paraId="1289FCAE">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37E89BBB">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29888CA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25</w:t>
            </w:r>
          </w:p>
        </w:tc>
        <w:tc>
          <w:tcPr>
            <w:tcW w:w="1492" w:type="dxa"/>
            <w:noWrap/>
            <w:vAlign w:val="center"/>
          </w:tcPr>
          <w:p w14:paraId="7689CF7E">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1FE9FE4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6</w:t>
            </w:r>
          </w:p>
        </w:tc>
        <w:tc>
          <w:tcPr>
            <w:tcW w:w="1066" w:type="dxa"/>
            <w:noWrap/>
            <w:vAlign w:val="center"/>
          </w:tcPr>
          <w:p w14:paraId="6ECC93AD">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915" w:type="dxa"/>
            <w:noWrap/>
            <w:vAlign w:val="center"/>
          </w:tcPr>
          <w:p w14:paraId="394A424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70DE073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continue"/>
            <w:vAlign w:val="center"/>
          </w:tcPr>
          <w:p w14:paraId="10C6DBBD">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13AC184C">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1AB260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26</w:t>
            </w:r>
          </w:p>
        </w:tc>
        <w:tc>
          <w:tcPr>
            <w:tcW w:w="1492" w:type="dxa"/>
            <w:noWrap/>
            <w:vAlign w:val="center"/>
          </w:tcPr>
          <w:p w14:paraId="4DDDE2B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54500F3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1E640D9E">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4.5%</w:t>
            </w:r>
          </w:p>
        </w:tc>
        <w:tc>
          <w:tcPr>
            <w:tcW w:w="915" w:type="dxa"/>
            <w:noWrap/>
            <w:vAlign w:val="center"/>
          </w:tcPr>
          <w:p w14:paraId="7F6B241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4C53667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8 meters</w:t>
            </w:r>
          </w:p>
        </w:tc>
        <w:tc>
          <w:tcPr>
            <w:tcW w:w="2647" w:type="dxa"/>
            <w:vMerge w:val="continue"/>
            <w:vAlign w:val="center"/>
          </w:tcPr>
          <w:p w14:paraId="368E7F08">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0D13B42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C2CCC8A">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27</w:t>
            </w:r>
          </w:p>
        </w:tc>
        <w:tc>
          <w:tcPr>
            <w:tcW w:w="1492" w:type="dxa"/>
            <w:noWrap/>
            <w:vAlign w:val="center"/>
          </w:tcPr>
          <w:p w14:paraId="6DAF950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Commercial Advertisements</w:t>
            </w:r>
          </w:p>
        </w:tc>
        <w:tc>
          <w:tcPr>
            <w:tcW w:w="907" w:type="dxa"/>
            <w:noWrap/>
            <w:vAlign w:val="center"/>
          </w:tcPr>
          <w:p w14:paraId="03F652DE">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BD5D037">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w:t>
            </w:r>
          </w:p>
        </w:tc>
        <w:tc>
          <w:tcPr>
            <w:tcW w:w="915" w:type="dxa"/>
            <w:noWrap/>
            <w:vAlign w:val="center"/>
          </w:tcPr>
          <w:p w14:paraId="74A17EF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72915B7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10 meters</w:t>
            </w:r>
          </w:p>
        </w:tc>
        <w:tc>
          <w:tcPr>
            <w:tcW w:w="2647" w:type="dxa"/>
            <w:vMerge w:val="continue"/>
            <w:vAlign w:val="center"/>
          </w:tcPr>
          <w:p w14:paraId="4D6DEC6B">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7A62F4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7F298C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28</w:t>
            </w:r>
          </w:p>
        </w:tc>
        <w:tc>
          <w:tcPr>
            <w:tcW w:w="1492" w:type="dxa"/>
            <w:noWrap/>
            <w:vAlign w:val="center"/>
          </w:tcPr>
          <w:p w14:paraId="40DCD481">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72D11F2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5BA4B6D1">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59064AD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6170F41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6 meters</w:t>
            </w:r>
          </w:p>
        </w:tc>
        <w:tc>
          <w:tcPr>
            <w:tcW w:w="2647" w:type="dxa"/>
            <w:vMerge w:val="continue"/>
            <w:vAlign w:val="center"/>
          </w:tcPr>
          <w:p w14:paraId="454FF63C">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54F004F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trHeight w:val="0" w:hRule="atLeast"/>
          <w:jc w:val="center"/>
        </w:trPr>
        <w:tc>
          <w:tcPr>
            <w:tcW w:w="917" w:type="dxa"/>
            <w:noWrap/>
            <w:vAlign w:val="center"/>
          </w:tcPr>
          <w:p w14:paraId="2D702AE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29</w:t>
            </w:r>
          </w:p>
        </w:tc>
        <w:tc>
          <w:tcPr>
            <w:tcW w:w="1492" w:type="dxa"/>
            <w:noWrap/>
            <w:vAlign w:val="center"/>
          </w:tcPr>
          <w:p w14:paraId="4329D82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3755FE8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1066" w:type="dxa"/>
            <w:noWrap/>
            <w:vAlign w:val="center"/>
          </w:tcPr>
          <w:p w14:paraId="79132B67">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0.5%</w:t>
            </w:r>
          </w:p>
        </w:tc>
        <w:tc>
          <w:tcPr>
            <w:tcW w:w="915" w:type="dxa"/>
            <w:noWrap/>
            <w:vAlign w:val="center"/>
          </w:tcPr>
          <w:p w14:paraId="6F7519D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7A6DE81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656E5642">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4C61DE2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trHeight w:val="0" w:hRule="atLeast"/>
          <w:jc w:val="center"/>
        </w:trPr>
        <w:tc>
          <w:tcPr>
            <w:tcW w:w="917" w:type="dxa"/>
            <w:noWrap/>
            <w:vAlign w:val="center"/>
          </w:tcPr>
          <w:p w14:paraId="16FB02D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30</w:t>
            </w:r>
          </w:p>
        </w:tc>
        <w:tc>
          <w:tcPr>
            <w:tcW w:w="1492" w:type="dxa"/>
            <w:noWrap/>
            <w:vAlign w:val="center"/>
          </w:tcPr>
          <w:p w14:paraId="36A807A2">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6739A76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1066" w:type="dxa"/>
            <w:noWrap/>
            <w:vAlign w:val="center"/>
          </w:tcPr>
          <w:p w14:paraId="29D89E59">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3.5%</w:t>
            </w:r>
          </w:p>
        </w:tc>
        <w:tc>
          <w:tcPr>
            <w:tcW w:w="915" w:type="dxa"/>
            <w:noWrap/>
            <w:vAlign w:val="center"/>
          </w:tcPr>
          <w:p w14:paraId="763F7413">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7B55027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 meters</w:t>
            </w:r>
          </w:p>
        </w:tc>
        <w:tc>
          <w:tcPr>
            <w:tcW w:w="2647" w:type="dxa"/>
            <w:vMerge w:val="continue"/>
            <w:vAlign w:val="center"/>
          </w:tcPr>
          <w:p w14:paraId="074DBD3F">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6827277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trHeight w:val="0" w:hRule="atLeast"/>
          <w:jc w:val="center"/>
        </w:trPr>
        <w:tc>
          <w:tcPr>
            <w:tcW w:w="917" w:type="dxa"/>
            <w:noWrap/>
            <w:vAlign w:val="center"/>
          </w:tcPr>
          <w:p w14:paraId="61941D7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31</w:t>
            </w:r>
          </w:p>
        </w:tc>
        <w:tc>
          <w:tcPr>
            <w:tcW w:w="1492" w:type="dxa"/>
            <w:noWrap/>
            <w:vAlign w:val="center"/>
          </w:tcPr>
          <w:p w14:paraId="0A3C1B68">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3EF413D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34A9D548">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2.3%</w:t>
            </w:r>
          </w:p>
        </w:tc>
        <w:tc>
          <w:tcPr>
            <w:tcW w:w="915" w:type="dxa"/>
            <w:noWrap/>
            <w:vAlign w:val="center"/>
          </w:tcPr>
          <w:p w14:paraId="7267EB24">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17B4C8EE">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restart"/>
            <w:vAlign w:val="center"/>
          </w:tcPr>
          <w:p w14:paraId="7674567E">
            <w:pPr>
              <w:snapToGrid w:val="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Humble Administrator's Garden</w:t>
            </w:r>
          </w:p>
        </w:tc>
      </w:tr>
      <w:tr w14:paraId="132AAB4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121FEA2">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32</w:t>
            </w:r>
          </w:p>
        </w:tc>
        <w:tc>
          <w:tcPr>
            <w:tcW w:w="1492" w:type="dxa"/>
            <w:noWrap/>
            <w:vAlign w:val="center"/>
          </w:tcPr>
          <w:p w14:paraId="50327719">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3B0FE9A7">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6C8370E6">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4.5%</w:t>
            </w:r>
          </w:p>
        </w:tc>
        <w:tc>
          <w:tcPr>
            <w:tcW w:w="915" w:type="dxa"/>
            <w:noWrap/>
            <w:vAlign w:val="center"/>
          </w:tcPr>
          <w:p w14:paraId="098F2177">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53039A1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4C3B1F40">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E0682BF">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66F8774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33</w:t>
            </w:r>
          </w:p>
        </w:tc>
        <w:tc>
          <w:tcPr>
            <w:tcW w:w="1492" w:type="dxa"/>
            <w:noWrap/>
            <w:vAlign w:val="center"/>
          </w:tcPr>
          <w:p w14:paraId="65051ED5">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107CC02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CE350F0">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3.5%</w:t>
            </w:r>
          </w:p>
        </w:tc>
        <w:tc>
          <w:tcPr>
            <w:tcW w:w="915" w:type="dxa"/>
            <w:noWrap/>
            <w:vAlign w:val="center"/>
          </w:tcPr>
          <w:p w14:paraId="57A4BB5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65B3BC4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3B4A575E">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6277E7C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AD2ABC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34</w:t>
            </w:r>
          </w:p>
        </w:tc>
        <w:tc>
          <w:tcPr>
            <w:tcW w:w="1492" w:type="dxa"/>
            <w:noWrap/>
            <w:vAlign w:val="center"/>
          </w:tcPr>
          <w:p w14:paraId="0F15F68C">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58A0243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29B07AA">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6081AD84">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69EA99F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continue"/>
            <w:vAlign w:val="center"/>
          </w:tcPr>
          <w:p w14:paraId="6821599E">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698AA6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2D038DE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35</w:t>
            </w:r>
          </w:p>
        </w:tc>
        <w:tc>
          <w:tcPr>
            <w:tcW w:w="1492" w:type="dxa"/>
            <w:noWrap/>
            <w:vAlign w:val="center"/>
          </w:tcPr>
          <w:p w14:paraId="7C6834ED">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44C3700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8AD367A">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6%</w:t>
            </w:r>
          </w:p>
        </w:tc>
        <w:tc>
          <w:tcPr>
            <w:tcW w:w="915" w:type="dxa"/>
            <w:noWrap/>
            <w:vAlign w:val="center"/>
          </w:tcPr>
          <w:p w14:paraId="480FA4C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1B3285C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 meters</w:t>
            </w:r>
          </w:p>
        </w:tc>
        <w:tc>
          <w:tcPr>
            <w:tcW w:w="2647" w:type="dxa"/>
            <w:vMerge w:val="continue"/>
            <w:vAlign w:val="center"/>
          </w:tcPr>
          <w:p w14:paraId="7C42B7F8">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7898B7F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9CD9D9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36</w:t>
            </w:r>
          </w:p>
        </w:tc>
        <w:tc>
          <w:tcPr>
            <w:tcW w:w="1492" w:type="dxa"/>
            <w:noWrap/>
            <w:vAlign w:val="center"/>
          </w:tcPr>
          <w:p w14:paraId="702271F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747B8DC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42FA5B1D">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0.2%</w:t>
            </w:r>
          </w:p>
        </w:tc>
        <w:tc>
          <w:tcPr>
            <w:tcW w:w="915" w:type="dxa"/>
            <w:noWrap/>
            <w:vAlign w:val="center"/>
          </w:tcPr>
          <w:p w14:paraId="19864952">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4FB783D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continue"/>
            <w:vAlign w:val="center"/>
          </w:tcPr>
          <w:p w14:paraId="4E4999A9">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42C625F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15D67B3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37</w:t>
            </w:r>
          </w:p>
        </w:tc>
        <w:tc>
          <w:tcPr>
            <w:tcW w:w="1492" w:type="dxa"/>
            <w:noWrap/>
            <w:vAlign w:val="center"/>
          </w:tcPr>
          <w:p w14:paraId="6040AF09">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2C87DAD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72E42E05">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915" w:type="dxa"/>
            <w:noWrap/>
            <w:vAlign w:val="center"/>
          </w:tcPr>
          <w:p w14:paraId="36C65893">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7240C27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continue"/>
            <w:vAlign w:val="center"/>
          </w:tcPr>
          <w:p w14:paraId="39711883">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3A0258FF">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6AA6BE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38</w:t>
            </w:r>
          </w:p>
        </w:tc>
        <w:tc>
          <w:tcPr>
            <w:tcW w:w="1492" w:type="dxa"/>
            <w:noWrap/>
            <w:vAlign w:val="center"/>
          </w:tcPr>
          <w:p w14:paraId="12FAAFED">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363BC84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2E7E1F16">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0.3%</w:t>
            </w:r>
          </w:p>
        </w:tc>
        <w:tc>
          <w:tcPr>
            <w:tcW w:w="915" w:type="dxa"/>
            <w:noWrap/>
            <w:vAlign w:val="center"/>
          </w:tcPr>
          <w:p w14:paraId="377B4EA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1086523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 meters</w:t>
            </w:r>
          </w:p>
        </w:tc>
        <w:tc>
          <w:tcPr>
            <w:tcW w:w="2647" w:type="dxa"/>
            <w:vMerge w:val="continue"/>
            <w:vAlign w:val="center"/>
          </w:tcPr>
          <w:p w14:paraId="0C0BC146">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1E993D48">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071CFBD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39</w:t>
            </w:r>
          </w:p>
        </w:tc>
        <w:tc>
          <w:tcPr>
            <w:tcW w:w="1492" w:type="dxa"/>
            <w:noWrap/>
            <w:vAlign w:val="center"/>
          </w:tcPr>
          <w:p w14:paraId="7DF537D8">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436C5F2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2F8AC3B7">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0.3%</w:t>
            </w:r>
          </w:p>
        </w:tc>
        <w:tc>
          <w:tcPr>
            <w:tcW w:w="915" w:type="dxa"/>
            <w:noWrap/>
            <w:vAlign w:val="center"/>
          </w:tcPr>
          <w:p w14:paraId="798322F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36E03AC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continue"/>
            <w:vAlign w:val="center"/>
          </w:tcPr>
          <w:p w14:paraId="533B2221">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115BEB4A">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7D0BF3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40</w:t>
            </w:r>
          </w:p>
        </w:tc>
        <w:tc>
          <w:tcPr>
            <w:tcW w:w="1492" w:type="dxa"/>
            <w:noWrap/>
            <w:vAlign w:val="center"/>
          </w:tcPr>
          <w:p w14:paraId="1E443C1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3AC2A85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58C18F03">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14984BC5">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319F8AB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8 meters</w:t>
            </w:r>
          </w:p>
        </w:tc>
        <w:tc>
          <w:tcPr>
            <w:tcW w:w="2647" w:type="dxa"/>
            <w:vMerge w:val="continue"/>
            <w:vAlign w:val="center"/>
          </w:tcPr>
          <w:p w14:paraId="5098CF77">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8AD3FE8">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0E5E2E4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41</w:t>
            </w:r>
          </w:p>
        </w:tc>
        <w:tc>
          <w:tcPr>
            <w:tcW w:w="1492" w:type="dxa"/>
            <w:noWrap/>
            <w:vAlign w:val="center"/>
          </w:tcPr>
          <w:p w14:paraId="4E23378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38173EE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6ED497C7">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w:t>
            </w:r>
          </w:p>
        </w:tc>
        <w:tc>
          <w:tcPr>
            <w:tcW w:w="915" w:type="dxa"/>
            <w:noWrap/>
            <w:vAlign w:val="center"/>
          </w:tcPr>
          <w:p w14:paraId="6CCF9D29">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73CD0F1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restart"/>
            <w:vAlign w:val="center"/>
          </w:tcPr>
          <w:p w14:paraId="48C0D4B7">
            <w:pPr>
              <w:snapToGrid w:val="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He Garden</w:t>
            </w:r>
          </w:p>
        </w:tc>
      </w:tr>
      <w:tr w14:paraId="43CCEC19">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19796F7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42</w:t>
            </w:r>
          </w:p>
        </w:tc>
        <w:tc>
          <w:tcPr>
            <w:tcW w:w="1492" w:type="dxa"/>
            <w:noWrap/>
            <w:vAlign w:val="center"/>
          </w:tcPr>
          <w:p w14:paraId="62B4F274">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52C6330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8A0095B">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915" w:type="dxa"/>
            <w:noWrap/>
            <w:vAlign w:val="center"/>
          </w:tcPr>
          <w:p w14:paraId="4E93A6EC">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117794C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3393AFD2">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7B1408B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278A48A2">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43</w:t>
            </w:r>
          </w:p>
        </w:tc>
        <w:tc>
          <w:tcPr>
            <w:tcW w:w="1492" w:type="dxa"/>
            <w:noWrap/>
            <w:vAlign w:val="center"/>
          </w:tcPr>
          <w:p w14:paraId="7F11489D">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551BA01A">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FD9E308">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0.3%</w:t>
            </w:r>
          </w:p>
        </w:tc>
        <w:tc>
          <w:tcPr>
            <w:tcW w:w="915" w:type="dxa"/>
            <w:noWrap/>
            <w:vAlign w:val="center"/>
          </w:tcPr>
          <w:p w14:paraId="04E77EB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3FF570B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continue"/>
            <w:vAlign w:val="center"/>
          </w:tcPr>
          <w:p w14:paraId="45F24A2A">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524D12B3">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4AA058E9">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44</w:t>
            </w:r>
          </w:p>
        </w:tc>
        <w:tc>
          <w:tcPr>
            <w:tcW w:w="1492" w:type="dxa"/>
            <w:noWrap/>
            <w:vAlign w:val="center"/>
          </w:tcPr>
          <w:p w14:paraId="047FAE1A">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3146CB8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03FBAB3B">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3.5%</w:t>
            </w:r>
          </w:p>
        </w:tc>
        <w:tc>
          <w:tcPr>
            <w:tcW w:w="915" w:type="dxa"/>
            <w:noWrap/>
            <w:vAlign w:val="center"/>
          </w:tcPr>
          <w:p w14:paraId="68E4A317">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26518D1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219E55C4">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162AB81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1D33657">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45</w:t>
            </w:r>
          </w:p>
        </w:tc>
        <w:tc>
          <w:tcPr>
            <w:tcW w:w="1492" w:type="dxa"/>
            <w:noWrap/>
            <w:vAlign w:val="center"/>
          </w:tcPr>
          <w:p w14:paraId="4ED8953A">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65E1A20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C116C64">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0.2%</w:t>
            </w:r>
          </w:p>
        </w:tc>
        <w:tc>
          <w:tcPr>
            <w:tcW w:w="915" w:type="dxa"/>
            <w:noWrap/>
            <w:vAlign w:val="center"/>
          </w:tcPr>
          <w:p w14:paraId="6377F23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0B95446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continue"/>
            <w:vAlign w:val="center"/>
          </w:tcPr>
          <w:p w14:paraId="786D5A36">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30CADA7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trHeight w:val="0" w:hRule="atLeast"/>
          <w:jc w:val="center"/>
        </w:trPr>
        <w:tc>
          <w:tcPr>
            <w:tcW w:w="917" w:type="dxa"/>
            <w:noWrap/>
            <w:vAlign w:val="center"/>
          </w:tcPr>
          <w:p w14:paraId="7FE40DC2">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46</w:t>
            </w:r>
          </w:p>
        </w:tc>
        <w:tc>
          <w:tcPr>
            <w:tcW w:w="1492" w:type="dxa"/>
            <w:noWrap/>
            <w:vAlign w:val="center"/>
          </w:tcPr>
          <w:p w14:paraId="6AF0C469">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31ABD09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276D8EEA">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w:t>
            </w:r>
          </w:p>
        </w:tc>
        <w:tc>
          <w:tcPr>
            <w:tcW w:w="915" w:type="dxa"/>
            <w:noWrap/>
            <w:vAlign w:val="center"/>
          </w:tcPr>
          <w:p w14:paraId="311075FC">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5F8B094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73EEF21B">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1E3781E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12AD26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47</w:t>
            </w:r>
          </w:p>
        </w:tc>
        <w:tc>
          <w:tcPr>
            <w:tcW w:w="1492" w:type="dxa"/>
            <w:noWrap/>
            <w:vAlign w:val="center"/>
          </w:tcPr>
          <w:p w14:paraId="12D79457">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7362811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24FED44E">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5F236783">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6C46E8C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continue"/>
            <w:vAlign w:val="center"/>
          </w:tcPr>
          <w:p w14:paraId="775BF79F">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2EFF3259">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528041F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48</w:t>
            </w:r>
          </w:p>
        </w:tc>
        <w:tc>
          <w:tcPr>
            <w:tcW w:w="1492" w:type="dxa"/>
            <w:noWrap/>
            <w:vAlign w:val="center"/>
          </w:tcPr>
          <w:p w14:paraId="1D700EB5">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6EF0E508">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2A8F5559">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915" w:type="dxa"/>
            <w:noWrap/>
            <w:vAlign w:val="center"/>
          </w:tcPr>
          <w:p w14:paraId="57CA1178">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7E0D162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continue"/>
            <w:vAlign w:val="center"/>
          </w:tcPr>
          <w:p w14:paraId="57172BFB">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1F8FAC8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0F3B44F8">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49</w:t>
            </w:r>
          </w:p>
        </w:tc>
        <w:tc>
          <w:tcPr>
            <w:tcW w:w="1492" w:type="dxa"/>
            <w:noWrap/>
            <w:vAlign w:val="center"/>
          </w:tcPr>
          <w:p w14:paraId="6FD1A041">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57FDC65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3DAFB53A">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0.2%</w:t>
            </w:r>
          </w:p>
        </w:tc>
        <w:tc>
          <w:tcPr>
            <w:tcW w:w="915" w:type="dxa"/>
            <w:noWrap/>
            <w:vAlign w:val="center"/>
          </w:tcPr>
          <w:p w14:paraId="18C84AF0">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56EF9CF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continue"/>
            <w:vAlign w:val="center"/>
          </w:tcPr>
          <w:p w14:paraId="4166CB3D">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541325E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65DA171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50</w:t>
            </w:r>
          </w:p>
        </w:tc>
        <w:tc>
          <w:tcPr>
            <w:tcW w:w="1492" w:type="dxa"/>
            <w:noWrap/>
            <w:vAlign w:val="center"/>
          </w:tcPr>
          <w:p w14:paraId="7AB5F1ED">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310EFFFE">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277F8685">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w:t>
            </w:r>
          </w:p>
        </w:tc>
        <w:tc>
          <w:tcPr>
            <w:tcW w:w="915" w:type="dxa"/>
            <w:noWrap/>
            <w:vAlign w:val="center"/>
          </w:tcPr>
          <w:p w14:paraId="62586E9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75975B4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 meters</w:t>
            </w:r>
          </w:p>
        </w:tc>
        <w:tc>
          <w:tcPr>
            <w:tcW w:w="2647" w:type="dxa"/>
            <w:vMerge w:val="continue"/>
            <w:vAlign w:val="center"/>
          </w:tcPr>
          <w:p w14:paraId="4A951353">
            <w:pPr>
              <w:snapToGrid w:val="0"/>
              <w:ind w:left="0" w:leftChars="0" w:right="0" w:rightChars="0" w:firstLine="0" w:firstLineChars="0"/>
              <w:jc w:val="left"/>
              <w:rPr>
                <w:rFonts w:ascii="Times New Roman" w:hAnsi="Times New Roman" w:eastAsia="等线" w:cs="Times New Roman"/>
                <w:color w:val="000000"/>
                <w:kern w:val="0"/>
                <w:sz w:val="18"/>
                <w:szCs w:val="18"/>
              </w:rPr>
            </w:pPr>
          </w:p>
        </w:tc>
      </w:tr>
      <w:tr w14:paraId="48009A7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trHeight w:val="0" w:hRule="atLeast"/>
          <w:jc w:val="center"/>
        </w:trPr>
        <w:tc>
          <w:tcPr>
            <w:tcW w:w="917" w:type="dxa"/>
            <w:noWrap/>
            <w:vAlign w:val="center"/>
          </w:tcPr>
          <w:p w14:paraId="7DA1E51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51</w:t>
            </w:r>
          </w:p>
        </w:tc>
        <w:tc>
          <w:tcPr>
            <w:tcW w:w="1492" w:type="dxa"/>
            <w:noWrap/>
            <w:vAlign w:val="center"/>
          </w:tcPr>
          <w:p w14:paraId="46DE527C">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5A0F42A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w:t>
            </w:r>
          </w:p>
        </w:tc>
        <w:tc>
          <w:tcPr>
            <w:tcW w:w="1066" w:type="dxa"/>
            <w:noWrap/>
            <w:vAlign w:val="center"/>
          </w:tcPr>
          <w:p w14:paraId="167BDD54">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19%</w:t>
            </w:r>
          </w:p>
        </w:tc>
        <w:tc>
          <w:tcPr>
            <w:tcW w:w="915" w:type="dxa"/>
            <w:noWrap/>
            <w:vAlign w:val="center"/>
          </w:tcPr>
          <w:p w14:paraId="28E693E4">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30C46A6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restart"/>
            <w:vAlign w:val="center"/>
          </w:tcPr>
          <w:p w14:paraId="7C724CFE">
            <w:pPr>
              <w:snapToGrid w:val="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Slender West Lake</w:t>
            </w:r>
          </w:p>
        </w:tc>
      </w:tr>
      <w:tr w14:paraId="78606AAB">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5A33B51B">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52</w:t>
            </w:r>
          </w:p>
        </w:tc>
        <w:tc>
          <w:tcPr>
            <w:tcW w:w="1492" w:type="dxa"/>
            <w:noWrap/>
            <w:vAlign w:val="center"/>
          </w:tcPr>
          <w:p w14:paraId="0CB7A4C7">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Commercial Advertisements</w:t>
            </w:r>
          </w:p>
        </w:tc>
        <w:tc>
          <w:tcPr>
            <w:tcW w:w="907" w:type="dxa"/>
            <w:noWrap/>
            <w:vAlign w:val="center"/>
          </w:tcPr>
          <w:p w14:paraId="7C392335">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37089BF2">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w:t>
            </w:r>
          </w:p>
        </w:tc>
        <w:tc>
          <w:tcPr>
            <w:tcW w:w="915" w:type="dxa"/>
            <w:noWrap/>
            <w:vAlign w:val="center"/>
          </w:tcPr>
          <w:p w14:paraId="605357C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785B1DFE">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 meters</w:t>
            </w:r>
          </w:p>
        </w:tc>
        <w:tc>
          <w:tcPr>
            <w:tcW w:w="2647" w:type="dxa"/>
            <w:vMerge w:val="continue"/>
            <w:vAlign w:val="center"/>
          </w:tcPr>
          <w:p w14:paraId="5A9A9C06">
            <w:pPr>
              <w:snapToGrid w:val="0"/>
              <w:ind w:left="0" w:leftChars="0" w:right="0" w:rightChars="0" w:firstLine="0" w:firstLineChars="0"/>
              <w:jc w:val="left"/>
              <w:rPr>
                <w:rFonts w:ascii="Times New Roman" w:hAnsi="Times New Roman" w:eastAsia="等线" w:cs="Times New Roman"/>
                <w:color w:val="000000"/>
                <w:kern w:val="0"/>
                <w:sz w:val="15"/>
                <w:szCs w:val="15"/>
              </w:rPr>
            </w:pPr>
          </w:p>
        </w:tc>
      </w:tr>
      <w:tr w14:paraId="7D4971F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25E90FD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53</w:t>
            </w:r>
          </w:p>
        </w:tc>
        <w:tc>
          <w:tcPr>
            <w:tcW w:w="1492" w:type="dxa"/>
            <w:noWrap/>
            <w:vAlign w:val="center"/>
          </w:tcPr>
          <w:p w14:paraId="79109BC4">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0D349C0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36535D4A">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372EAD0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14B1F5B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0A2D0C9C">
            <w:pPr>
              <w:snapToGrid w:val="0"/>
              <w:ind w:left="0" w:leftChars="0" w:right="0" w:rightChars="0" w:firstLine="0" w:firstLineChars="0"/>
              <w:jc w:val="left"/>
              <w:rPr>
                <w:rFonts w:ascii="Times New Roman" w:hAnsi="Times New Roman" w:eastAsia="等线" w:cs="Times New Roman"/>
                <w:color w:val="000000"/>
                <w:kern w:val="0"/>
                <w:sz w:val="15"/>
                <w:szCs w:val="15"/>
              </w:rPr>
            </w:pPr>
          </w:p>
        </w:tc>
      </w:tr>
      <w:tr w14:paraId="05F247A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05A5306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54</w:t>
            </w:r>
          </w:p>
        </w:tc>
        <w:tc>
          <w:tcPr>
            <w:tcW w:w="1492" w:type="dxa"/>
            <w:noWrap/>
            <w:vAlign w:val="center"/>
          </w:tcPr>
          <w:p w14:paraId="2D3D963D">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2EB960F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18C92C5C">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6.5%</w:t>
            </w:r>
          </w:p>
        </w:tc>
        <w:tc>
          <w:tcPr>
            <w:tcW w:w="915" w:type="dxa"/>
            <w:noWrap/>
            <w:vAlign w:val="center"/>
          </w:tcPr>
          <w:p w14:paraId="78B79657">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360F8E67">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 meters</w:t>
            </w:r>
          </w:p>
        </w:tc>
        <w:tc>
          <w:tcPr>
            <w:tcW w:w="2647" w:type="dxa"/>
            <w:vMerge w:val="continue"/>
            <w:vAlign w:val="center"/>
          </w:tcPr>
          <w:p w14:paraId="0DD6D692">
            <w:pPr>
              <w:snapToGrid w:val="0"/>
              <w:ind w:left="0" w:leftChars="0" w:right="0" w:rightChars="0" w:firstLine="0" w:firstLineChars="0"/>
              <w:jc w:val="left"/>
              <w:rPr>
                <w:rFonts w:ascii="Times New Roman" w:hAnsi="Times New Roman" w:eastAsia="等线" w:cs="Times New Roman"/>
                <w:color w:val="000000"/>
                <w:kern w:val="0"/>
                <w:sz w:val="15"/>
                <w:szCs w:val="15"/>
              </w:rPr>
            </w:pPr>
          </w:p>
        </w:tc>
      </w:tr>
      <w:tr w14:paraId="0055E0D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3AB39661">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55</w:t>
            </w:r>
          </w:p>
        </w:tc>
        <w:tc>
          <w:tcPr>
            <w:tcW w:w="1492" w:type="dxa"/>
            <w:noWrap/>
            <w:vAlign w:val="center"/>
          </w:tcPr>
          <w:p w14:paraId="169CD05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18F28AC8">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2BC2CBF6">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11%</w:t>
            </w:r>
          </w:p>
        </w:tc>
        <w:tc>
          <w:tcPr>
            <w:tcW w:w="915" w:type="dxa"/>
            <w:noWrap/>
            <w:vAlign w:val="center"/>
          </w:tcPr>
          <w:p w14:paraId="6B1763C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7B5B80B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 meters</w:t>
            </w:r>
          </w:p>
        </w:tc>
        <w:tc>
          <w:tcPr>
            <w:tcW w:w="2647" w:type="dxa"/>
            <w:vMerge w:val="continue"/>
            <w:vAlign w:val="center"/>
          </w:tcPr>
          <w:p w14:paraId="0066BC63">
            <w:pPr>
              <w:snapToGrid w:val="0"/>
              <w:ind w:left="0" w:leftChars="0" w:right="0" w:rightChars="0" w:firstLine="0" w:firstLineChars="0"/>
              <w:jc w:val="left"/>
              <w:rPr>
                <w:rFonts w:ascii="Times New Roman" w:hAnsi="Times New Roman" w:eastAsia="等线" w:cs="Times New Roman"/>
                <w:color w:val="000000"/>
                <w:kern w:val="0"/>
                <w:sz w:val="15"/>
                <w:szCs w:val="15"/>
              </w:rPr>
            </w:pPr>
          </w:p>
        </w:tc>
      </w:tr>
      <w:tr w14:paraId="20BFC45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99F0E10">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56</w:t>
            </w:r>
          </w:p>
        </w:tc>
        <w:tc>
          <w:tcPr>
            <w:tcW w:w="1492" w:type="dxa"/>
            <w:noWrap/>
            <w:vAlign w:val="center"/>
          </w:tcPr>
          <w:p w14:paraId="65EB7D59">
            <w:pPr>
              <w:snapToGrid w:val="0"/>
              <w:ind w:left="0" w:leftChars="0" w:right="0" w:rightChars="0" w:firstLine="0" w:firstLineChars="0"/>
              <w:jc w:val="left"/>
              <w:rPr>
                <w:rFonts w:ascii="Times New Roman" w:hAnsi="Times New Roman" w:eastAsia="等线" w:cs="Times New Roman"/>
                <w:color w:val="000000"/>
                <w:kern w:val="0"/>
                <w:sz w:val="18"/>
                <w:szCs w:val="18"/>
              </w:rPr>
            </w:pPr>
            <w:bookmarkStart w:id="2" w:name="OLE_LINK1"/>
            <w:r>
              <w:rPr>
                <w:rFonts w:ascii="Times New Roman" w:hAnsi="Times New Roman" w:eastAsia="等线" w:cs="Times New Roman"/>
                <w:color w:val="000000"/>
                <w:kern w:val="0"/>
                <w:sz w:val="18"/>
                <w:szCs w:val="18"/>
              </w:rPr>
              <w:t>Warning Signs</w:t>
            </w:r>
            <w:bookmarkEnd w:id="2"/>
          </w:p>
        </w:tc>
        <w:tc>
          <w:tcPr>
            <w:tcW w:w="907" w:type="dxa"/>
            <w:noWrap/>
            <w:vAlign w:val="center"/>
          </w:tcPr>
          <w:p w14:paraId="1634BC17">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00208265">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8%</w:t>
            </w:r>
          </w:p>
        </w:tc>
        <w:tc>
          <w:tcPr>
            <w:tcW w:w="915" w:type="dxa"/>
            <w:noWrap/>
            <w:vAlign w:val="center"/>
          </w:tcPr>
          <w:p w14:paraId="7A370D77">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2D0C97F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10 meters</w:t>
            </w:r>
          </w:p>
        </w:tc>
        <w:tc>
          <w:tcPr>
            <w:tcW w:w="2647" w:type="dxa"/>
            <w:vMerge w:val="continue"/>
            <w:vAlign w:val="center"/>
          </w:tcPr>
          <w:p w14:paraId="572E27F5">
            <w:pPr>
              <w:snapToGrid w:val="0"/>
              <w:ind w:left="0" w:leftChars="0" w:right="0" w:rightChars="0" w:firstLine="0" w:firstLineChars="0"/>
              <w:jc w:val="left"/>
              <w:rPr>
                <w:rFonts w:ascii="Times New Roman" w:hAnsi="Times New Roman" w:eastAsia="等线" w:cs="Times New Roman"/>
                <w:color w:val="000000"/>
                <w:kern w:val="0"/>
                <w:sz w:val="15"/>
                <w:szCs w:val="15"/>
              </w:rPr>
            </w:pPr>
          </w:p>
        </w:tc>
      </w:tr>
      <w:tr w14:paraId="15041C3D">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77DAF086">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57</w:t>
            </w:r>
          </w:p>
        </w:tc>
        <w:tc>
          <w:tcPr>
            <w:tcW w:w="1492" w:type="dxa"/>
            <w:noWrap/>
            <w:vAlign w:val="center"/>
          </w:tcPr>
          <w:p w14:paraId="254A3F1D">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Interpretive Panels</w:t>
            </w:r>
          </w:p>
        </w:tc>
        <w:tc>
          <w:tcPr>
            <w:tcW w:w="907" w:type="dxa"/>
            <w:noWrap/>
            <w:vAlign w:val="center"/>
          </w:tcPr>
          <w:p w14:paraId="2C640DE2">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1575627B">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w:t>
            </w:r>
          </w:p>
        </w:tc>
        <w:tc>
          <w:tcPr>
            <w:tcW w:w="915" w:type="dxa"/>
            <w:noWrap/>
            <w:vAlign w:val="center"/>
          </w:tcPr>
          <w:p w14:paraId="534FD82F">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3925523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 meter</w:t>
            </w:r>
          </w:p>
        </w:tc>
        <w:tc>
          <w:tcPr>
            <w:tcW w:w="2647" w:type="dxa"/>
            <w:vMerge w:val="continue"/>
            <w:vAlign w:val="center"/>
          </w:tcPr>
          <w:p w14:paraId="67CF412C">
            <w:pPr>
              <w:snapToGrid w:val="0"/>
              <w:ind w:left="0" w:leftChars="0" w:right="0" w:rightChars="0" w:firstLine="0" w:firstLineChars="0"/>
              <w:jc w:val="left"/>
              <w:rPr>
                <w:rFonts w:ascii="Times New Roman" w:hAnsi="Times New Roman" w:eastAsia="等线" w:cs="Times New Roman"/>
                <w:color w:val="000000"/>
                <w:kern w:val="0"/>
                <w:sz w:val="15"/>
                <w:szCs w:val="15"/>
              </w:rPr>
            </w:pPr>
          </w:p>
        </w:tc>
      </w:tr>
      <w:tr w14:paraId="4F69CD02">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59BC0F2C">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58</w:t>
            </w:r>
          </w:p>
        </w:tc>
        <w:tc>
          <w:tcPr>
            <w:tcW w:w="1492" w:type="dxa"/>
            <w:noWrap/>
            <w:vAlign w:val="center"/>
          </w:tcPr>
          <w:p w14:paraId="1E9F01F9">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noWrap/>
            <w:vAlign w:val="center"/>
          </w:tcPr>
          <w:p w14:paraId="551B7204">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1066" w:type="dxa"/>
            <w:noWrap/>
            <w:vAlign w:val="center"/>
          </w:tcPr>
          <w:p w14:paraId="18F1E503">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1%</w:t>
            </w:r>
          </w:p>
        </w:tc>
        <w:tc>
          <w:tcPr>
            <w:tcW w:w="915" w:type="dxa"/>
            <w:noWrap/>
            <w:vAlign w:val="center"/>
          </w:tcPr>
          <w:p w14:paraId="12EB6A9A">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No</w:t>
            </w:r>
          </w:p>
        </w:tc>
        <w:tc>
          <w:tcPr>
            <w:tcW w:w="1481" w:type="dxa"/>
            <w:noWrap/>
            <w:vAlign w:val="center"/>
          </w:tcPr>
          <w:p w14:paraId="6C65467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 meters</w:t>
            </w:r>
          </w:p>
        </w:tc>
        <w:tc>
          <w:tcPr>
            <w:tcW w:w="2647" w:type="dxa"/>
            <w:vMerge w:val="continue"/>
            <w:vAlign w:val="center"/>
          </w:tcPr>
          <w:p w14:paraId="044E6AF4">
            <w:pPr>
              <w:snapToGrid w:val="0"/>
              <w:ind w:left="0" w:leftChars="0" w:right="0" w:rightChars="0" w:firstLine="0" w:firstLineChars="0"/>
              <w:jc w:val="left"/>
              <w:rPr>
                <w:rFonts w:ascii="Times New Roman" w:hAnsi="Times New Roman" w:eastAsia="等线" w:cs="Times New Roman"/>
                <w:color w:val="000000"/>
                <w:kern w:val="0"/>
                <w:sz w:val="15"/>
                <w:szCs w:val="15"/>
              </w:rPr>
            </w:pPr>
          </w:p>
        </w:tc>
      </w:tr>
      <w:tr w14:paraId="628A42B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noWrap/>
            <w:vAlign w:val="center"/>
          </w:tcPr>
          <w:p w14:paraId="28EAB2AD">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59</w:t>
            </w:r>
          </w:p>
        </w:tc>
        <w:tc>
          <w:tcPr>
            <w:tcW w:w="1492" w:type="dxa"/>
            <w:noWrap/>
            <w:vAlign w:val="center"/>
          </w:tcPr>
          <w:p w14:paraId="4ED54E5E">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Warning Signs</w:t>
            </w:r>
          </w:p>
        </w:tc>
        <w:tc>
          <w:tcPr>
            <w:tcW w:w="907" w:type="dxa"/>
            <w:noWrap/>
            <w:vAlign w:val="center"/>
          </w:tcPr>
          <w:p w14:paraId="682C5CD7">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2</w:t>
            </w:r>
          </w:p>
        </w:tc>
        <w:tc>
          <w:tcPr>
            <w:tcW w:w="1066" w:type="dxa"/>
            <w:noWrap/>
            <w:vAlign w:val="center"/>
          </w:tcPr>
          <w:p w14:paraId="08F28524">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6%</w:t>
            </w:r>
          </w:p>
        </w:tc>
        <w:tc>
          <w:tcPr>
            <w:tcW w:w="915" w:type="dxa"/>
            <w:noWrap/>
            <w:vAlign w:val="center"/>
          </w:tcPr>
          <w:p w14:paraId="5AEA722B">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noWrap/>
            <w:vAlign w:val="center"/>
          </w:tcPr>
          <w:p w14:paraId="6F2ACF62">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 meters</w:t>
            </w:r>
          </w:p>
        </w:tc>
        <w:tc>
          <w:tcPr>
            <w:tcW w:w="2647" w:type="dxa"/>
            <w:vMerge w:val="continue"/>
            <w:vAlign w:val="center"/>
          </w:tcPr>
          <w:p w14:paraId="5862D4CB">
            <w:pPr>
              <w:snapToGrid w:val="0"/>
              <w:ind w:left="0" w:leftChars="0" w:right="0" w:rightChars="0" w:firstLine="0" w:firstLineChars="0"/>
              <w:jc w:val="left"/>
              <w:rPr>
                <w:rFonts w:ascii="Times New Roman" w:hAnsi="Times New Roman" w:eastAsia="等线" w:cs="Times New Roman"/>
                <w:color w:val="000000"/>
                <w:kern w:val="0"/>
                <w:sz w:val="15"/>
                <w:szCs w:val="15"/>
              </w:rPr>
            </w:pPr>
          </w:p>
        </w:tc>
      </w:tr>
      <w:tr w14:paraId="547F7032">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917" w:type="dxa"/>
            <w:tcBorders>
              <w:bottom w:val="single" w:color="auto" w:sz="12" w:space="0"/>
            </w:tcBorders>
            <w:noWrap/>
            <w:vAlign w:val="center"/>
          </w:tcPr>
          <w:p w14:paraId="6D2D5D0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60</w:t>
            </w:r>
          </w:p>
        </w:tc>
        <w:tc>
          <w:tcPr>
            <w:tcW w:w="1492" w:type="dxa"/>
            <w:tcBorders>
              <w:bottom w:val="single" w:color="auto" w:sz="12" w:space="0"/>
            </w:tcBorders>
            <w:noWrap/>
            <w:vAlign w:val="center"/>
          </w:tcPr>
          <w:p w14:paraId="005803B6">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Guidance System</w:t>
            </w:r>
          </w:p>
        </w:tc>
        <w:tc>
          <w:tcPr>
            <w:tcW w:w="907" w:type="dxa"/>
            <w:tcBorders>
              <w:bottom w:val="single" w:color="auto" w:sz="12" w:space="0"/>
            </w:tcBorders>
            <w:noWrap/>
            <w:vAlign w:val="center"/>
          </w:tcPr>
          <w:p w14:paraId="4B9308F3">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3</w:t>
            </w:r>
          </w:p>
        </w:tc>
        <w:tc>
          <w:tcPr>
            <w:tcW w:w="1066" w:type="dxa"/>
            <w:tcBorders>
              <w:bottom w:val="single" w:color="auto" w:sz="12" w:space="0"/>
            </w:tcBorders>
            <w:noWrap/>
            <w:vAlign w:val="center"/>
          </w:tcPr>
          <w:p w14:paraId="62CB3615">
            <w:pPr>
              <w:snapToGrid w:val="0"/>
              <w:ind w:left="0" w:leftChars="0" w:right="0" w:rightChars="0" w:firstLine="0" w:firstLineChars="0"/>
              <w:jc w:val="righ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7%</w:t>
            </w:r>
          </w:p>
        </w:tc>
        <w:tc>
          <w:tcPr>
            <w:tcW w:w="915" w:type="dxa"/>
            <w:tcBorders>
              <w:bottom w:val="single" w:color="auto" w:sz="12" w:space="0"/>
            </w:tcBorders>
            <w:noWrap/>
            <w:vAlign w:val="center"/>
          </w:tcPr>
          <w:p w14:paraId="28E6A9C2">
            <w:pPr>
              <w:snapToGrid w:val="0"/>
              <w:ind w:left="0" w:leftChars="0" w:right="0" w:rightChars="0" w:firstLine="0" w:firstLineChars="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Yes</w:t>
            </w:r>
          </w:p>
        </w:tc>
        <w:tc>
          <w:tcPr>
            <w:tcW w:w="1481" w:type="dxa"/>
            <w:tcBorders>
              <w:bottom w:val="single" w:color="auto" w:sz="12" w:space="0"/>
            </w:tcBorders>
            <w:noWrap/>
            <w:vAlign w:val="center"/>
          </w:tcPr>
          <w:p w14:paraId="340B410F">
            <w:pPr>
              <w:snapToGrid w:val="0"/>
              <w:ind w:left="0" w:leftChars="0" w:right="0" w:rightChars="0" w:firstLine="0" w:firstLineChars="0"/>
              <w:jc w:val="center"/>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4 meters</w:t>
            </w:r>
          </w:p>
        </w:tc>
        <w:tc>
          <w:tcPr>
            <w:tcW w:w="2647" w:type="dxa"/>
            <w:vMerge w:val="continue"/>
            <w:tcBorders>
              <w:bottom w:val="single" w:color="auto" w:sz="12" w:space="0"/>
            </w:tcBorders>
            <w:vAlign w:val="center"/>
          </w:tcPr>
          <w:p w14:paraId="2ECB9E2A">
            <w:pPr>
              <w:snapToGrid w:val="0"/>
              <w:ind w:left="0" w:leftChars="0" w:right="0" w:rightChars="0" w:firstLine="0" w:firstLineChars="0"/>
              <w:jc w:val="left"/>
              <w:rPr>
                <w:rFonts w:ascii="Times New Roman" w:hAnsi="Times New Roman" w:eastAsia="等线" w:cs="Times New Roman"/>
                <w:color w:val="000000"/>
                <w:kern w:val="0"/>
                <w:sz w:val="15"/>
                <w:szCs w:val="15"/>
              </w:rPr>
            </w:pPr>
          </w:p>
        </w:tc>
      </w:tr>
      <w:tr w14:paraId="7792B9C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jc w:val="center"/>
        </w:trPr>
        <w:tc>
          <w:tcPr>
            <w:tcW w:w="2647" w:type="dxa"/>
            <w:gridSpan w:val="7"/>
            <w:tcBorders>
              <w:top w:val="single" w:color="auto" w:sz="12" w:space="0"/>
              <w:bottom w:val="single" w:color="auto" w:sz="12" w:space="0"/>
            </w:tcBorders>
            <w:noWrap/>
            <w:vAlign w:val="center"/>
          </w:tcPr>
          <w:p w14:paraId="38001E2F">
            <w:pPr>
              <w:snapToGrid w:val="0"/>
              <w:ind w:left="0" w:leftChars="0" w:right="0" w:rightChars="0" w:firstLine="0" w:firstLineChars="0"/>
              <w:jc w:val="center"/>
              <w:rPr>
                <w:rFonts w:ascii="Times New Roman" w:hAnsi="Times New Roman" w:eastAsia="等线" w:cs="Times New Roman"/>
                <w:color w:val="000000"/>
                <w:kern w:val="0"/>
                <w:sz w:val="15"/>
                <w:szCs w:val="15"/>
              </w:rPr>
            </w:pPr>
            <w:r>
              <w:rPr>
                <w:rFonts w:ascii="Times New Roman" w:hAnsi="Times New Roman" w:cs="Times New Roman"/>
                <w:sz w:val="18"/>
                <w:szCs w:val="18"/>
              </w:rPr>
              <w:t>Note: Signage dimensions were estimated after measurement with a tape measure, and distances were measured by pacing.</w:t>
            </w:r>
          </w:p>
        </w:tc>
      </w:tr>
      <w:bookmarkEnd w:id="1"/>
    </w:tbl>
    <w:p w14:paraId="71AE3B4D">
      <w:pPr>
        <w:rPr>
          <w:rFonts w:ascii="Times New Roman" w:hAnsi="Times New Roman" w:cs="Times New Roman"/>
          <w:b/>
          <w:bCs/>
          <w:sz w:val="28"/>
          <w:szCs w:val="28"/>
        </w:rPr>
      </w:pPr>
      <w:r>
        <w:rPr>
          <w:rFonts w:ascii="Times New Roman" w:hAnsi="Times New Roman" w:cs="Times New Roman"/>
        </w:rPr>
        <w:drawing>
          <wp:anchor distT="0" distB="0" distL="0" distR="0" simplePos="0" relativeHeight="251659264" behindDoc="0" locked="0" layoutInCell="1" allowOverlap="1">
            <wp:simplePos x="0" y="0"/>
            <wp:positionH relativeFrom="column">
              <wp:posOffset>-125730</wp:posOffset>
            </wp:positionH>
            <wp:positionV relativeFrom="paragraph">
              <wp:posOffset>393700</wp:posOffset>
            </wp:positionV>
            <wp:extent cx="5295265" cy="3823335"/>
            <wp:effectExtent l="0" t="0" r="635" b="12065"/>
            <wp:wrapTopAndBottom/>
            <wp:docPr id="1870475003" name="图片 2" descr="图形用户界面,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75003" name="图片 2" descr="图形用户界面, 网站&#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304943" cy="3830380"/>
                    </a:xfrm>
                    <a:prstGeom prst="rect">
                      <a:avLst/>
                    </a:prstGeom>
                    <a:noFill/>
                    <a:ln>
                      <a:noFill/>
                    </a:ln>
                  </pic:spPr>
                </pic:pic>
              </a:graphicData>
            </a:graphic>
          </wp:anchor>
        </w:drawing>
      </w:r>
    </w:p>
    <w:p w14:paraId="4425F175">
      <w:pPr>
        <w:jc w:val="center"/>
        <w:rPr>
          <w:rFonts w:ascii="Times New Roman" w:hAnsi="Times New Roman" w:cs="Times New Roman"/>
        </w:rPr>
      </w:pPr>
      <w:r>
        <w:rPr>
          <w:rFonts w:ascii="Times New Roman" w:hAnsi="Times New Roman" w:cs="Times New Roman"/>
          <w:b/>
          <w:bCs/>
        </w:rPr>
        <w:t>Fig. A.</w:t>
      </w:r>
      <w:r>
        <w:rPr>
          <w:rFonts w:hint="eastAsia" w:ascii="Times New Roman" w:hAnsi="Times New Roman" w:cs="Times New Roman"/>
          <w:b/>
          <w:bCs/>
        </w:rPr>
        <w:t>4</w:t>
      </w:r>
      <w:r>
        <w:rPr>
          <w:rFonts w:ascii="Times New Roman" w:hAnsi="Times New Roman" w:cs="Times New Roman"/>
          <w:b/>
          <w:bCs/>
        </w:rPr>
        <w:t>.</w:t>
      </w:r>
      <w:r>
        <w:rPr>
          <w:rFonts w:ascii="Times New Roman" w:hAnsi="Times New Roman" w:cs="Times New Roman"/>
        </w:rPr>
        <w:t xml:space="preserve"> Legend Explanation (</w:t>
      </w:r>
      <w:r>
        <w:rPr>
          <w:rFonts w:ascii="Times New Roman" w:hAnsi="Times New Roman" w:cs="Times New Roman"/>
          <w:i/>
          <w:iCs/>
        </w:rPr>
        <w:t>A is the original image, B is the modified image.</w:t>
      </w:r>
      <w:r>
        <w:rPr>
          <w:rFonts w:ascii="Times New Roman" w:hAnsi="Times New Roman" w:cs="Times New Roman"/>
        </w:rPr>
        <w:t>)</w:t>
      </w:r>
    </w:p>
    <w:p w14:paraId="7EACF256">
      <w:pPr>
        <w:spacing w:line="360" w:lineRule="auto"/>
        <w:jc w:val="center"/>
        <w:rPr>
          <w:rFonts w:hint="eastAsia"/>
        </w:rPr>
      </w:pPr>
      <w:r>
        <w:drawing>
          <wp:inline distT="0" distB="0" distL="0" distR="0">
            <wp:extent cx="5213985" cy="5844540"/>
            <wp:effectExtent l="0" t="0" r="5715" b="3810"/>
            <wp:docPr id="1610735815" name="图片 1" descr="图片包含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35815" name="图片 1" descr="图片包含 工程绘图&#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39473" cy="5873178"/>
                    </a:xfrm>
                    <a:prstGeom prst="rect">
                      <a:avLst/>
                    </a:prstGeom>
                    <a:noFill/>
                    <a:ln>
                      <a:noFill/>
                    </a:ln>
                  </pic:spPr>
                </pic:pic>
              </a:graphicData>
            </a:graphic>
          </wp:inline>
        </w:drawing>
      </w:r>
    </w:p>
    <w:p w14:paraId="4BD9CF78">
      <w:pPr>
        <w:spacing w:line="360" w:lineRule="auto"/>
        <w:rPr>
          <w:rFonts w:ascii="Times New Roman" w:hAnsi="Times New Roman" w:cs="Times New Roman"/>
        </w:rPr>
      </w:pPr>
      <w:r>
        <w:rPr>
          <w:rFonts w:ascii="Times New Roman" w:hAnsi="Times New Roman" w:cs="Times New Roman"/>
          <w:b/>
          <w:bCs/>
        </w:rPr>
        <w:t>Fig.A.</w:t>
      </w:r>
      <w:r>
        <w:rPr>
          <w:rFonts w:hint="eastAsia" w:ascii="Times New Roman" w:hAnsi="Times New Roman" w:cs="Times New Roman"/>
          <w:b/>
          <w:bCs/>
        </w:rPr>
        <w:t>5</w:t>
      </w:r>
      <w:r>
        <w:rPr>
          <w:rFonts w:ascii="Times New Roman" w:hAnsi="Times New Roman" w:cs="Times New Roman"/>
          <w:b/>
          <w:bCs/>
        </w:rPr>
        <w:t>.</w:t>
      </w:r>
      <w:r>
        <w:rPr>
          <w:rFonts w:ascii="Times New Roman" w:hAnsi="Times New Roman" w:cs="Times New Roman"/>
        </w:rPr>
        <w:t xml:space="preserve"> Analysis of the stele and surrounding non-cultural elements in the Slender West Lake Scenic Area </w:t>
      </w:r>
      <w:r>
        <w:rPr>
          <w:rFonts w:ascii="Times New Roman" w:hAnsi="Times New Roman" w:cs="Times New Roman"/>
          <w:i/>
          <w:iCs/>
        </w:rPr>
        <w:t>(A is the original image, B is the analysis image, C is the proposed effect image.</w:t>
      </w:r>
      <w:r>
        <w:rPr>
          <w:rFonts w:ascii="Times New Roman" w:hAnsi="Times New Roman" w:cs="Times New Roman"/>
        </w:rPr>
        <w:t>)</w:t>
      </w:r>
    </w:p>
    <w:p w14:paraId="7DF8FCBE">
      <w:pPr>
        <w:rPr>
          <w:rFonts w:ascii="Times New Roman" w:hAnsi="Times New Roman" w:cs="Times New Roman"/>
          <w:b/>
          <w:bCs/>
        </w:rPr>
      </w:pPr>
    </w:p>
    <w:p w14:paraId="5404F02C">
      <w:pPr>
        <w:jc w:val="center"/>
        <w:rPr>
          <w:rFonts w:hint="eastAsia"/>
        </w:rPr>
      </w:pPr>
      <w:r>
        <w:drawing>
          <wp:inline distT="0" distB="0" distL="0" distR="0">
            <wp:extent cx="5196840" cy="6201410"/>
            <wp:effectExtent l="0" t="0" r="3810" b="8890"/>
            <wp:docPr id="2114548442" name="图片 3"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48442" name="图片 3" descr="图片包含 图示&#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29300" cy="6240175"/>
                    </a:xfrm>
                    <a:prstGeom prst="rect">
                      <a:avLst/>
                    </a:prstGeom>
                    <a:noFill/>
                    <a:ln>
                      <a:noFill/>
                    </a:ln>
                  </pic:spPr>
                </pic:pic>
              </a:graphicData>
            </a:graphic>
          </wp:inline>
        </w:drawing>
      </w:r>
    </w:p>
    <w:p w14:paraId="5C7E983B">
      <w:pPr>
        <w:rPr>
          <w:rFonts w:ascii="Times New Roman" w:hAnsi="Times New Roman" w:cs="Times New Roman"/>
        </w:rPr>
      </w:pPr>
      <w:r>
        <w:rPr>
          <w:rFonts w:ascii="Times New Roman" w:hAnsi="Times New Roman" w:cs="Times New Roman"/>
          <w:b/>
          <w:bCs/>
        </w:rPr>
        <w:t>Fig.A.6.</w:t>
      </w:r>
      <w:r>
        <w:rPr>
          <w:rFonts w:ascii="Times New Roman" w:hAnsi="Times New Roman" w:cs="Times New Roman"/>
        </w:rPr>
        <w:t xml:space="preserve"> Diagram illustrating grouping by color harmony </w:t>
      </w:r>
      <w:bookmarkStart w:id="3" w:name="OLE_LINK9"/>
      <w:r>
        <w:rPr>
          <w:rFonts w:ascii="Times New Roman" w:hAnsi="Times New Roman" w:cs="Times New Roman"/>
        </w:rPr>
        <w:t>(</w:t>
      </w:r>
      <w:bookmarkEnd w:id="3"/>
      <w:r>
        <w:rPr>
          <w:rFonts w:ascii="Times New Roman" w:hAnsi="Times New Roman" w:cs="Times New Roman"/>
          <w:i/>
          <w:iCs/>
        </w:rPr>
        <w:t>A–C show color disharmony, while D–F show color harmony.</w:t>
      </w:r>
      <w:r>
        <w:rPr>
          <w:rFonts w:ascii="Times New Roman" w:hAnsi="Times New Roman" w:cs="Times New Roman"/>
        </w:rPr>
        <w:t>)</w:t>
      </w:r>
    </w:p>
    <w:p w14:paraId="7FA2FDE0">
      <w:pPr>
        <w:rPr>
          <w:rFonts w:ascii="Times New Roman" w:hAnsi="Times New Roman" w:cs="Times New Roman"/>
          <w:b/>
          <w:bCs/>
        </w:rPr>
      </w:pPr>
    </w:p>
    <w:p w14:paraId="2AF2708A">
      <w:pPr>
        <w:rPr>
          <w:rFonts w:ascii="Times New Roman" w:hAnsi="Times New Roman" w:cs="Times New Roman"/>
          <w:b/>
          <w:bCs/>
        </w:rPr>
      </w:pPr>
    </w:p>
    <w:p w14:paraId="31D422D8">
      <w:pPr>
        <w:jc w:val="center"/>
        <w:rPr>
          <w:rFonts w:hint="eastAsia"/>
        </w:rPr>
      </w:pPr>
      <w:r>
        <w:drawing>
          <wp:inline distT="0" distB="0" distL="0" distR="0">
            <wp:extent cx="5215255" cy="4134485"/>
            <wp:effectExtent l="0" t="0" r="4445" b="0"/>
            <wp:docPr id="214747301" name="图片 2" descr="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7301" name="图片 2" descr="工程绘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38262" cy="4152893"/>
                    </a:xfrm>
                    <a:prstGeom prst="rect">
                      <a:avLst/>
                    </a:prstGeom>
                    <a:noFill/>
                    <a:ln>
                      <a:noFill/>
                    </a:ln>
                  </pic:spPr>
                </pic:pic>
              </a:graphicData>
            </a:graphic>
          </wp:inline>
        </w:drawing>
      </w:r>
    </w:p>
    <w:p w14:paraId="3249819A">
      <w:pPr>
        <w:spacing w:line="360" w:lineRule="auto"/>
        <w:rPr>
          <w:rFonts w:ascii="Times New Roman" w:hAnsi="Times New Roman" w:cs="Times New Roman"/>
        </w:rPr>
      </w:pPr>
      <w:r>
        <w:rPr>
          <w:rFonts w:ascii="Times New Roman" w:hAnsi="Times New Roman" w:cs="Times New Roman"/>
          <w:b/>
          <w:bCs/>
        </w:rPr>
        <w:t>Fig.</w:t>
      </w:r>
      <w:r>
        <w:rPr>
          <w:rFonts w:hint="eastAsia" w:ascii="Times New Roman" w:hAnsi="Times New Roman" w:cs="Times New Roman"/>
          <w:b/>
          <w:bCs/>
        </w:rPr>
        <w:t>A.7</w:t>
      </w:r>
      <w:r>
        <w:rPr>
          <w:rFonts w:ascii="Times New Roman" w:hAnsi="Times New Roman" w:cs="Times New Roman"/>
          <w:b/>
          <w:bCs/>
        </w:rPr>
        <w:t xml:space="preserve">. </w:t>
      </w:r>
      <w:r>
        <w:rPr>
          <w:rFonts w:ascii="Times New Roman" w:hAnsi="Times New Roman" w:cs="Times New Roman"/>
        </w:rPr>
        <w:t>Analysis of the entrance signage at Wenfeng Pagoda in the Haohe Scenic Area (</w:t>
      </w:r>
      <w:r>
        <w:rPr>
          <w:rFonts w:ascii="Times New Roman" w:hAnsi="Times New Roman" w:cs="Times New Roman"/>
          <w:i/>
          <w:iCs/>
        </w:rPr>
        <w:t>A is the original image, B is the analysis image, C is the proposed effect image</w:t>
      </w:r>
      <w:r>
        <w:rPr>
          <w:rFonts w:ascii="Times New Roman" w:hAnsi="Times New Roman" w:cs="Times New Roman"/>
        </w:rPr>
        <w:t>.)</w:t>
      </w:r>
    </w:p>
    <w:p w14:paraId="5D6937EA">
      <w:pPr>
        <w:spacing w:line="360" w:lineRule="auto"/>
        <w:rPr>
          <w:rFonts w:ascii="Times New Roman" w:hAnsi="Times New Roman" w:cs="Times New Roman"/>
        </w:rPr>
      </w:pPr>
    </w:p>
    <w:p w14:paraId="2945E7F3">
      <w:pPr>
        <w:spacing w:line="360" w:lineRule="auto"/>
        <w:rPr>
          <w:rFonts w:ascii="Times New Roman" w:hAnsi="Times New Roman" w:cs="Times New Roman"/>
        </w:rPr>
      </w:pPr>
      <w:bookmarkStart w:id="7" w:name="_GoBack"/>
      <w:bookmarkEnd w:id="7"/>
    </w:p>
    <w:p w14:paraId="2734B251">
      <w:pPr>
        <w:spacing w:line="360" w:lineRule="auto"/>
        <w:rPr>
          <w:rFonts w:ascii="Times New Roman" w:hAnsi="Times New Roman" w:cs="Times New Roman"/>
        </w:rPr>
      </w:pPr>
    </w:p>
    <w:p w14:paraId="221BE013">
      <w:pPr>
        <w:spacing w:line="360" w:lineRule="auto"/>
        <w:rPr>
          <w:rFonts w:ascii="Times New Roman" w:hAnsi="Times New Roman" w:cs="Times New Roman"/>
        </w:rPr>
      </w:pPr>
    </w:p>
    <w:p w14:paraId="3B5BD072">
      <w:pPr>
        <w:spacing w:line="360" w:lineRule="auto"/>
        <w:rPr>
          <w:rFonts w:ascii="Times New Roman" w:hAnsi="Times New Roman" w:cs="Times New Roman"/>
        </w:rPr>
      </w:pPr>
    </w:p>
    <w:p w14:paraId="77E34BA1">
      <w:pPr>
        <w:spacing w:line="360" w:lineRule="auto"/>
        <w:rPr>
          <w:rFonts w:ascii="Times New Roman" w:hAnsi="Times New Roman" w:cs="Times New Roman"/>
        </w:rPr>
      </w:pPr>
    </w:p>
    <w:p w14:paraId="07E6B06A">
      <w:pPr>
        <w:spacing w:line="360" w:lineRule="auto"/>
        <w:rPr>
          <w:rFonts w:ascii="Times New Roman" w:hAnsi="Times New Roman" w:cs="Times New Roman"/>
        </w:rPr>
      </w:pPr>
    </w:p>
    <w:p w14:paraId="04981F2F">
      <w:pPr>
        <w:spacing w:line="360" w:lineRule="auto"/>
        <w:rPr>
          <w:rFonts w:ascii="Times New Roman" w:hAnsi="Times New Roman" w:cs="Times New Roman"/>
        </w:rPr>
      </w:pPr>
    </w:p>
    <w:p w14:paraId="693A4263">
      <w:pPr>
        <w:spacing w:line="360" w:lineRule="auto"/>
        <w:rPr>
          <w:rFonts w:ascii="Times New Roman" w:hAnsi="Times New Roman" w:cs="Times New Roman"/>
        </w:rPr>
      </w:pPr>
    </w:p>
    <w:p w14:paraId="71AE9E5B">
      <w:pPr>
        <w:spacing w:line="360" w:lineRule="auto"/>
        <w:rPr>
          <w:rFonts w:ascii="Times New Roman" w:hAnsi="Times New Roman" w:cs="Times New Roman"/>
        </w:rPr>
      </w:pPr>
    </w:p>
    <w:p w14:paraId="755770DD">
      <w:pPr>
        <w:spacing w:line="360" w:lineRule="auto"/>
        <w:rPr>
          <w:rFonts w:ascii="Times New Roman" w:hAnsi="Times New Roman" w:cs="Times New Roman"/>
        </w:rPr>
      </w:pPr>
    </w:p>
    <w:p w14:paraId="0E80F311">
      <w:pPr>
        <w:spacing w:line="360" w:lineRule="auto"/>
        <w:rPr>
          <w:rFonts w:ascii="Times New Roman" w:hAnsi="Times New Roman" w:cs="Times New Roman"/>
        </w:rPr>
      </w:pPr>
    </w:p>
    <w:p w14:paraId="15C6B0D1">
      <w:pPr>
        <w:spacing w:line="360" w:lineRule="auto"/>
        <w:rPr>
          <w:rFonts w:hint="eastAsia" w:ascii="Times New Roman" w:hAnsi="Times New Roman" w:cs="Times New Roman"/>
        </w:rPr>
      </w:pPr>
    </w:p>
    <w:p w14:paraId="7600D73C">
      <w:pPr>
        <w:rPr>
          <w:rFonts w:ascii="Times New Roman" w:hAnsi="Times New Roman" w:cs="Times New Roman"/>
          <w:b/>
          <w:bCs/>
        </w:rPr>
      </w:pPr>
    </w:p>
    <w:p w14:paraId="1F1511C7">
      <w:pPr>
        <w:rPr>
          <w:rFonts w:ascii="Times New Roman" w:hAnsi="Times New Roman" w:cs="Times New Roman"/>
          <w:b/>
          <w:bCs/>
        </w:rPr>
      </w:pPr>
      <w:r>
        <w:rPr>
          <w:rFonts w:ascii="Times New Roman" w:hAnsi="Times New Roman" w:cs="Times New Roman"/>
          <w:b/>
          <w:bCs/>
        </w:rPr>
        <w:t>Table A.</w:t>
      </w:r>
      <w:r>
        <w:rPr>
          <w:rFonts w:hint="eastAsia" w:ascii="Times New Roman" w:hAnsi="Times New Roman" w:cs="Times New Roman"/>
          <w:b/>
          <w:bCs/>
        </w:rPr>
        <w:t>3</w:t>
      </w:r>
      <w:r>
        <w:rPr>
          <w:rFonts w:ascii="Times New Roman" w:hAnsi="Times New Roman" w:cs="Times New Roman"/>
          <w:b/>
          <w:bCs/>
        </w:rPr>
        <w:t xml:space="preserve"> </w:t>
      </w:r>
      <w:r>
        <w:rPr>
          <w:rFonts w:ascii="Times New Roman" w:hAnsi="Times New Roman" w:cs="Times New Roman"/>
        </w:rPr>
        <w:t>Interview survey questions</w:t>
      </w:r>
    </w:p>
    <w:tbl>
      <w:tblPr>
        <w:tblStyle w:val="1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96" w:type="dxa"/>
          <w:bottom w:w="45" w:type="dxa"/>
          <w:right w:w="96" w:type="dxa"/>
        </w:tblCellMar>
      </w:tblPr>
      <w:tblGrid>
        <w:gridCol w:w="2236"/>
        <w:gridCol w:w="1396"/>
        <w:gridCol w:w="4571"/>
      </w:tblGrid>
      <w:tr w14:paraId="3620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339" w:hRule="atLeast"/>
          <w:tblHeader/>
          <w:jc w:val="center"/>
        </w:trPr>
        <w:tc>
          <w:tcPr>
            <w:tcW w:w="1363" w:type="pct"/>
            <w:tcBorders>
              <w:top w:val="single" w:color="auto" w:sz="12" w:space="0"/>
              <w:left w:val="nil"/>
              <w:bottom w:val="single" w:color="auto" w:sz="4" w:space="0"/>
              <w:right w:val="nil"/>
            </w:tcBorders>
            <w:vAlign w:val="center"/>
          </w:tcPr>
          <w:p w14:paraId="0657B698">
            <w:pPr>
              <w:spacing w:after="16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Categories</w:t>
            </w:r>
          </w:p>
        </w:tc>
        <w:tc>
          <w:tcPr>
            <w:tcW w:w="851" w:type="pct"/>
            <w:tcBorders>
              <w:top w:val="single" w:color="auto" w:sz="12" w:space="0"/>
              <w:left w:val="nil"/>
              <w:bottom w:val="single" w:color="auto" w:sz="4" w:space="0"/>
              <w:right w:val="nil"/>
            </w:tcBorders>
            <w:vAlign w:val="center"/>
          </w:tcPr>
          <w:p w14:paraId="6E049AA4">
            <w:pPr>
              <w:spacing w:after="16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Classification</w:t>
            </w:r>
          </w:p>
        </w:tc>
        <w:tc>
          <w:tcPr>
            <w:tcW w:w="2786" w:type="pct"/>
            <w:tcBorders>
              <w:top w:val="single" w:color="auto" w:sz="12" w:space="0"/>
              <w:left w:val="nil"/>
              <w:bottom w:val="single" w:color="auto" w:sz="4" w:space="0"/>
              <w:right w:val="nil"/>
            </w:tcBorders>
            <w:vAlign w:val="center"/>
          </w:tcPr>
          <w:p w14:paraId="41AD72F9">
            <w:pPr>
              <w:spacing w:after="16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Question Title</w:t>
            </w:r>
          </w:p>
        </w:tc>
      </w:tr>
      <w:tr w14:paraId="1D19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642" w:hRule="atLeast"/>
          <w:jc w:val="center"/>
        </w:trPr>
        <w:tc>
          <w:tcPr>
            <w:tcW w:w="1363" w:type="pct"/>
            <w:vMerge w:val="restart"/>
            <w:tcBorders>
              <w:top w:val="single" w:color="auto" w:sz="4" w:space="0"/>
              <w:left w:val="nil"/>
              <w:bottom w:val="single" w:color="auto" w:sz="4" w:space="0"/>
              <w:right w:val="nil"/>
            </w:tcBorders>
            <w:vAlign w:val="center"/>
          </w:tcPr>
          <w:p w14:paraId="1C056C5A">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Attitudes towards visitor reviews: Q1-Q2</w:t>
            </w:r>
          </w:p>
          <w:p w14:paraId="171A759D">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The relationship between Visual interference elements and visitors’ experience: Q3, Q4, Q7, Q8</w:t>
            </w:r>
          </w:p>
          <w:p w14:paraId="6D1ED55C">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Industry developments and issues: Q5, Q6</w:t>
            </w:r>
          </w:p>
        </w:tc>
        <w:tc>
          <w:tcPr>
            <w:tcW w:w="851" w:type="pct"/>
            <w:vMerge w:val="restart"/>
            <w:tcBorders>
              <w:top w:val="single" w:color="auto" w:sz="4" w:space="0"/>
              <w:left w:val="nil"/>
              <w:right w:val="nil"/>
            </w:tcBorders>
            <w:vAlign w:val="center"/>
          </w:tcPr>
          <w:p w14:paraId="52EC15A5">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Common questions</w:t>
            </w:r>
          </w:p>
        </w:tc>
        <w:tc>
          <w:tcPr>
            <w:tcW w:w="2786" w:type="pct"/>
            <w:tcBorders>
              <w:top w:val="single" w:color="auto" w:sz="4" w:space="0"/>
              <w:left w:val="nil"/>
              <w:bottom w:val="single" w:color="auto" w:sz="4" w:space="0"/>
              <w:right w:val="nil"/>
            </w:tcBorders>
            <w:vAlign w:val="center"/>
          </w:tcPr>
          <w:p w14:paraId="46073215">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Q1: Do you pay attention to the visitor experience of classical gardens? Is the result satisfactory?</w:t>
            </w:r>
          </w:p>
        </w:tc>
      </w:tr>
      <w:tr w14:paraId="7659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1132" w:hRule="atLeast"/>
          <w:jc w:val="center"/>
        </w:trPr>
        <w:tc>
          <w:tcPr>
            <w:tcW w:w="1363" w:type="pct"/>
            <w:vMerge w:val="continue"/>
            <w:tcBorders>
              <w:top w:val="single" w:color="auto" w:sz="4" w:space="0"/>
              <w:left w:val="nil"/>
              <w:bottom w:val="single" w:color="auto" w:sz="4" w:space="0"/>
              <w:right w:val="nil"/>
            </w:tcBorders>
            <w:vAlign w:val="center"/>
          </w:tcPr>
          <w:p w14:paraId="6AC5C1D7">
            <w:pPr>
              <w:spacing w:after="160"/>
              <w:jc w:val="left"/>
              <w:rPr>
                <w:rFonts w:ascii="Times New Roman" w:hAnsi="Times New Roman" w:eastAsia="等线" w:cs="Times New Roman"/>
                <w:kern w:val="0"/>
                <w:sz w:val="18"/>
                <w:szCs w:val="18"/>
              </w:rPr>
            </w:pPr>
          </w:p>
        </w:tc>
        <w:tc>
          <w:tcPr>
            <w:tcW w:w="851" w:type="pct"/>
            <w:vMerge w:val="continue"/>
            <w:tcBorders>
              <w:left w:val="nil"/>
              <w:right w:val="nil"/>
            </w:tcBorders>
            <w:vAlign w:val="center"/>
          </w:tcPr>
          <w:p w14:paraId="3FAA3C35">
            <w:pPr>
              <w:spacing w:after="160"/>
              <w:jc w:val="left"/>
              <w:rPr>
                <w:rFonts w:ascii="Times New Roman" w:hAnsi="Times New Roman" w:eastAsia="等线" w:cs="Times New Roman"/>
                <w:kern w:val="0"/>
                <w:sz w:val="18"/>
                <w:szCs w:val="18"/>
              </w:rPr>
            </w:pPr>
          </w:p>
        </w:tc>
        <w:tc>
          <w:tcPr>
            <w:tcW w:w="2786" w:type="pct"/>
            <w:tcBorders>
              <w:top w:val="single" w:color="auto" w:sz="4" w:space="0"/>
              <w:left w:val="nil"/>
              <w:bottom w:val="single" w:color="auto" w:sz="4" w:space="0"/>
              <w:right w:val="nil"/>
            </w:tcBorders>
            <w:vAlign w:val="center"/>
          </w:tcPr>
          <w:p w14:paraId="00D494B3">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Q2: For gardens with rich historical and cultural heritage, what aspects of evaluations from visitors and online reviews do you most expect to receive? What aspects of negative reviews do you care about the most?</w:t>
            </w:r>
          </w:p>
        </w:tc>
      </w:tr>
      <w:tr w14:paraId="434B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363" w:type="pct"/>
            <w:vMerge w:val="continue"/>
            <w:tcBorders>
              <w:top w:val="single" w:color="auto" w:sz="4" w:space="0"/>
              <w:left w:val="nil"/>
              <w:bottom w:val="single" w:color="auto" w:sz="4" w:space="0"/>
              <w:right w:val="nil"/>
            </w:tcBorders>
            <w:vAlign w:val="center"/>
          </w:tcPr>
          <w:p w14:paraId="5A66AA37">
            <w:pPr>
              <w:spacing w:after="160"/>
              <w:jc w:val="left"/>
              <w:rPr>
                <w:rFonts w:ascii="Times New Roman" w:hAnsi="Times New Roman" w:eastAsia="等线" w:cs="Times New Roman"/>
                <w:kern w:val="0"/>
                <w:sz w:val="18"/>
                <w:szCs w:val="18"/>
              </w:rPr>
            </w:pPr>
          </w:p>
        </w:tc>
        <w:tc>
          <w:tcPr>
            <w:tcW w:w="851" w:type="pct"/>
            <w:vMerge w:val="continue"/>
            <w:tcBorders>
              <w:left w:val="nil"/>
              <w:right w:val="nil"/>
            </w:tcBorders>
            <w:vAlign w:val="center"/>
          </w:tcPr>
          <w:p w14:paraId="2F9CF432">
            <w:pPr>
              <w:spacing w:after="160"/>
              <w:jc w:val="left"/>
              <w:rPr>
                <w:rFonts w:ascii="Times New Roman" w:hAnsi="Times New Roman" w:eastAsia="等线" w:cs="Times New Roman"/>
                <w:kern w:val="0"/>
                <w:sz w:val="18"/>
                <w:szCs w:val="18"/>
              </w:rPr>
            </w:pPr>
          </w:p>
        </w:tc>
        <w:tc>
          <w:tcPr>
            <w:tcW w:w="2786" w:type="pct"/>
            <w:tcBorders>
              <w:top w:val="single" w:color="auto" w:sz="4" w:space="0"/>
              <w:left w:val="nil"/>
              <w:bottom w:val="single" w:color="auto" w:sz="4" w:space="0"/>
              <w:right w:val="nil"/>
            </w:tcBorders>
            <w:vAlign w:val="center"/>
          </w:tcPr>
          <w:p w14:paraId="3350F170">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Q3: Currently, there are a large number of guide signs, commercial advertisements, and warning slogans in classical gardens. Have these elements had a significant impact on visitors' ways of visiting and experiencing? What are the main aspects most severely affected in your opinion?</w:t>
            </w:r>
          </w:p>
        </w:tc>
      </w:tr>
      <w:tr w14:paraId="01C1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363" w:type="pct"/>
            <w:vMerge w:val="continue"/>
            <w:tcBorders>
              <w:top w:val="single" w:color="auto" w:sz="4" w:space="0"/>
              <w:left w:val="nil"/>
              <w:bottom w:val="single" w:color="auto" w:sz="4" w:space="0"/>
              <w:right w:val="nil"/>
            </w:tcBorders>
            <w:vAlign w:val="center"/>
          </w:tcPr>
          <w:p w14:paraId="376DD414">
            <w:pPr>
              <w:spacing w:after="160"/>
              <w:jc w:val="left"/>
              <w:rPr>
                <w:rFonts w:ascii="Times New Roman" w:hAnsi="Times New Roman" w:eastAsia="等线" w:cs="Times New Roman"/>
                <w:kern w:val="0"/>
                <w:sz w:val="18"/>
                <w:szCs w:val="18"/>
              </w:rPr>
            </w:pPr>
          </w:p>
        </w:tc>
        <w:tc>
          <w:tcPr>
            <w:tcW w:w="851" w:type="pct"/>
            <w:vMerge w:val="continue"/>
            <w:tcBorders>
              <w:left w:val="nil"/>
              <w:bottom w:val="single" w:color="auto" w:sz="4" w:space="0"/>
              <w:right w:val="nil"/>
            </w:tcBorders>
            <w:vAlign w:val="center"/>
          </w:tcPr>
          <w:p w14:paraId="0B6DC308">
            <w:pPr>
              <w:spacing w:after="160"/>
              <w:jc w:val="left"/>
              <w:rPr>
                <w:rFonts w:ascii="Times New Roman" w:hAnsi="Times New Roman" w:eastAsia="等线" w:cs="Times New Roman"/>
                <w:kern w:val="0"/>
                <w:sz w:val="18"/>
                <w:szCs w:val="18"/>
              </w:rPr>
            </w:pPr>
          </w:p>
        </w:tc>
        <w:tc>
          <w:tcPr>
            <w:tcW w:w="2786" w:type="pct"/>
            <w:tcBorders>
              <w:top w:val="single" w:color="auto" w:sz="4" w:space="0"/>
              <w:left w:val="nil"/>
              <w:bottom w:val="single" w:color="auto" w:sz="4" w:space="0"/>
              <w:right w:val="nil"/>
            </w:tcBorders>
            <w:vAlign w:val="center"/>
          </w:tcPr>
          <w:p w14:paraId="0CDFD37D">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Q4: Could you please elaborate on what the interference dimensions of these visual elements are?</w:t>
            </w:r>
          </w:p>
        </w:tc>
      </w:tr>
      <w:tr w14:paraId="2377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1363" w:type="pct"/>
            <w:vMerge w:val="continue"/>
            <w:tcBorders>
              <w:top w:val="single" w:color="auto" w:sz="4" w:space="0"/>
              <w:left w:val="nil"/>
              <w:bottom w:val="single" w:color="auto" w:sz="4" w:space="0"/>
              <w:right w:val="nil"/>
            </w:tcBorders>
            <w:vAlign w:val="center"/>
          </w:tcPr>
          <w:p w14:paraId="69939E90">
            <w:pPr>
              <w:spacing w:after="160"/>
              <w:jc w:val="left"/>
              <w:rPr>
                <w:rFonts w:ascii="Times New Roman" w:hAnsi="Times New Roman" w:eastAsia="等线" w:cs="Times New Roman"/>
                <w:kern w:val="0"/>
                <w:sz w:val="18"/>
                <w:szCs w:val="18"/>
              </w:rPr>
            </w:pPr>
          </w:p>
        </w:tc>
        <w:tc>
          <w:tcPr>
            <w:tcW w:w="851" w:type="pct"/>
            <w:vMerge w:val="restart"/>
            <w:tcBorders>
              <w:top w:val="single" w:color="auto" w:sz="4" w:space="0"/>
              <w:left w:val="nil"/>
              <w:right w:val="nil"/>
            </w:tcBorders>
            <w:vAlign w:val="center"/>
          </w:tcPr>
          <w:p w14:paraId="5F36EA55">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Managers-only questions</w:t>
            </w:r>
          </w:p>
        </w:tc>
        <w:tc>
          <w:tcPr>
            <w:tcW w:w="2786" w:type="pct"/>
            <w:tcBorders>
              <w:top w:val="single" w:color="auto" w:sz="4" w:space="0"/>
              <w:left w:val="nil"/>
              <w:bottom w:val="single" w:color="auto" w:sz="4" w:space="0"/>
              <w:right w:val="nil"/>
            </w:tcBorders>
            <w:vAlign w:val="center"/>
          </w:tcPr>
          <w:p w14:paraId="58C89E90">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Q5: What is your view on the necessity of setting up these elements? What role do they play in garden management?</w:t>
            </w:r>
          </w:p>
        </w:tc>
      </w:tr>
      <w:tr w14:paraId="7370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363" w:type="pct"/>
            <w:vMerge w:val="continue"/>
            <w:tcBorders>
              <w:top w:val="single" w:color="auto" w:sz="4" w:space="0"/>
              <w:left w:val="nil"/>
              <w:bottom w:val="single" w:color="auto" w:sz="4" w:space="0"/>
              <w:right w:val="nil"/>
            </w:tcBorders>
            <w:vAlign w:val="center"/>
          </w:tcPr>
          <w:p w14:paraId="46D090D0">
            <w:pPr>
              <w:spacing w:after="160"/>
              <w:jc w:val="left"/>
              <w:rPr>
                <w:rFonts w:ascii="Times New Roman" w:hAnsi="Times New Roman" w:eastAsia="等线" w:cs="Times New Roman"/>
                <w:kern w:val="0"/>
                <w:sz w:val="18"/>
                <w:szCs w:val="18"/>
              </w:rPr>
            </w:pPr>
          </w:p>
        </w:tc>
        <w:tc>
          <w:tcPr>
            <w:tcW w:w="851" w:type="pct"/>
            <w:vMerge w:val="continue"/>
            <w:tcBorders>
              <w:left w:val="nil"/>
              <w:bottom w:val="single" w:color="auto" w:sz="4" w:space="0"/>
              <w:right w:val="nil"/>
            </w:tcBorders>
            <w:vAlign w:val="center"/>
          </w:tcPr>
          <w:p w14:paraId="4A506702">
            <w:pPr>
              <w:spacing w:after="160"/>
              <w:jc w:val="left"/>
              <w:rPr>
                <w:rFonts w:ascii="Times New Roman" w:hAnsi="Times New Roman" w:eastAsia="等线" w:cs="Times New Roman"/>
                <w:kern w:val="0"/>
                <w:sz w:val="18"/>
                <w:szCs w:val="18"/>
              </w:rPr>
            </w:pPr>
          </w:p>
        </w:tc>
        <w:tc>
          <w:tcPr>
            <w:tcW w:w="2786" w:type="pct"/>
            <w:tcBorders>
              <w:top w:val="single" w:color="auto" w:sz="4" w:space="0"/>
              <w:left w:val="nil"/>
              <w:bottom w:val="single" w:color="auto" w:sz="4" w:space="0"/>
              <w:right w:val="nil"/>
            </w:tcBorders>
            <w:vAlign w:val="center"/>
          </w:tcPr>
          <w:p w14:paraId="098CA3B4">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Q6: As a manager, do you anticipate new changes or reforms in the presentation methods of these guide systems, warning slogans, and commercial advertisements in the next five years?</w:t>
            </w:r>
          </w:p>
        </w:tc>
      </w:tr>
      <w:tr w14:paraId="0FE4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363" w:type="pct"/>
            <w:vMerge w:val="continue"/>
            <w:tcBorders>
              <w:top w:val="single" w:color="auto" w:sz="4" w:space="0"/>
              <w:left w:val="nil"/>
              <w:bottom w:val="single" w:color="auto" w:sz="4" w:space="0"/>
              <w:right w:val="nil"/>
            </w:tcBorders>
            <w:vAlign w:val="center"/>
          </w:tcPr>
          <w:p w14:paraId="4B69FE43">
            <w:pPr>
              <w:spacing w:after="160"/>
              <w:jc w:val="left"/>
              <w:rPr>
                <w:rFonts w:ascii="Times New Roman" w:hAnsi="Times New Roman" w:eastAsia="等线" w:cs="Times New Roman"/>
                <w:kern w:val="0"/>
                <w:sz w:val="18"/>
                <w:szCs w:val="18"/>
              </w:rPr>
            </w:pPr>
          </w:p>
        </w:tc>
        <w:tc>
          <w:tcPr>
            <w:tcW w:w="851" w:type="pct"/>
            <w:vMerge w:val="restart"/>
            <w:tcBorders>
              <w:top w:val="single" w:color="auto" w:sz="4" w:space="0"/>
              <w:left w:val="nil"/>
              <w:right w:val="nil"/>
            </w:tcBorders>
            <w:vAlign w:val="center"/>
          </w:tcPr>
          <w:p w14:paraId="3C4C2C94">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Designers-only questions</w:t>
            </w:r>
          </w:p>
        </w:tc>
        <w:tc>
          <w:tcPr>
            <w:tcW w:w="2786" w:type="pct"/>
            <w:tcBorders>
              <w:top w:val="single" w:color="auto" w:sz="4" w:space="0"/>
              <w:left w:val="nil"/>
              <w:bottom w:val="single" w:color="auto" w:sz="4" w:space="0"/>
              <w:right w:val="nil"/>
            </w:tcBorders>
            <w:vAlign w:val="center"/>
          </w:tcPr>
          <w:p w14:paraId="5156F43E">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Q7: What do you think is the biggest difficulty in designing these elements? What are the design priorities?</w:t>
            </w:r>
          </w:p>
        </w:tc>
      </w:tr>
      <w:tr w14:paraId="6606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jc w:val="center"/>
        </w:trPr>
        <w:tc>
          <w:tcPr>
            <w:tcW w:w="1363" w:type="pct"/>
            <w:vMerge w:val="continue"/>
            <w:tcBorders>
              <w:top w:val="single" w:color="auto" w:sz="4" w:space="0"/>
              <w:left w:val="nil"/>
              <w:bottom w:val="single" w:color="auto" w:sz="12" w:space="0"/>
              <w:right w:val="nil"/>
            </w:tcBorders>
            <w:vAlign w:val="center"/>
          </w:tcPr>
          <w:p w14:paraId="5A1204FC">
            <w:pPr>
              <w:spacing w:after="160"/>
              <w:jc w:val="left"/>
              <w:rPr>
                <w:rFonts w:ascii="Times New Roman" w:hAnsi="Times New Roman" w:eastAsia="等线" w:cs="Times New Roman"/>
                <w:kern w:val="0"/>
                <w:sz w:val="18"/>
                <w:szCs w:val="18"/>
              </w:rPr>
            </w:pPr>
          </w:p>
        </w:tc>
        <w:tc>
          <w:tcPr>
            <w:tcW w:w="851" w:type="pct"/>
            <w:vMerge w:val="continue"/>
            <w:tcBorders>
              <w:left w:val="nil"/>
              <w:bottom w:val="single" w:color="auto" w:sz="12" w:space="0"/>
              <w:right w:val="nil"/>
            </w:tcBorders>
            <w:vAlign w:val="center"/>
          </w:tcPr>
          <w:p w14:paraId="00562C11">
            <w:pPr>
              <w:spacing w:after="160"/>
              <w:jc w:val="left"/>
              <w:rPr>
                <w:rFonts w:ascii="Times New Roman" w:hAnsi="Times New Roman" w:eastAsia="等线" w:cs="Times New Roman"/>
                <w:kern w:val="0"/>
                <w:sz w:val="18"/>
                <w:szCs w:val="18"/>
              </w:rPr>
            </w:pPr>
          </w:p>
        </w:tc>
        <w:tc>
          <w:tcPr>
            <w:tcW w:w="2786" w:type="pct"/>
            <w:tcBorders>
              <w:top w:val="single" w:color="auto" w:sz="4" w:space="0"/>
              <w:left w:val="nil"/>
              <w:bottom w:val="single" w:color="auto" w:sz="12" w:space="0"/>
              <w:right w:val="nil"/>
            </w:tcBorders>
            <w:vAlign w:val="center"/>
          </w:tcPr>
          <w:p w14:paraId="04E5269A">
            <w:pPr>
              <w:spacing w:after="16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 xml:space="preserve">Q8: </w:t>
            </w:r>
            <w:bookmarkStart w:id="4" w:name="OLE_LINK22"/>
            <w:r>
              <w:rPr>
                <w:rFonts w:ascii="Times New Roman" w:hAnsi="Times New Roman" w:eastAsia="等线" w:cs="Times New Roman"/>
                <w:kern w:val="0"/>
                <w:sz w:val="18"/>
                <w:szCs w:val="18"/>
              </w:rPr>
              <w:t>As a designer, what aspects of feedback from visitors regarding the aforementioned visual interference elements do you most hope to receive?</w:t>
            </w:r>
            <w:bookmarkEnd w:id="4"/>
          </w:p>
        </w:tc>
      </w:tr>
    </w:tbl>
    <w:p w14:paraId="24298118">
      <w:pPr>
        <w:jc w:val="center"/>
        <w:rPr>
          <w:rFonts w:ascii="Times New Roman" w:hAnsi="Times New Roman" w:cs="Times New Roman"/>
        </w:rPr>
      </w:pPr>
    </w:p>
    <w:p w14:paraId="674A321C">
      <w:pPr>
        <w:tabs>
          <w:tab w:val="center" w:pos="4153"/>
          <w:tab w:val="left" w:pos="6780"/>
        </w:tabs>
        <w:rPr>
          <w:rFonts w:ascii="Times New Roman" w:hAnsi="Times New Roman" w:cs="Times New Roman"/>
          <w:b/>
          <w:bCs/>
        </w:rPr>
        <w:sectPr>
          <w:pgSz w:w="11906" w:h="16838"/>
          <w:pgMar w:top="1440" w:right="1800" w:bottom="1440" w:left="1800" w:header="851" w:footer="992" w:gutter="0"/>
          <w:cols w:space="425" w:num="1"/>
          <w:docGrid w:type="lines" w:linePitch="312" w:charSpace="0"/>
        </w:sectPr>
      </w:pPr>
    </w:p>
    <w:p w14:paraId="24714573">
      <w:pPr>
        <w:rPr>
          <w:rFonts w:ascii="Times New Roman" w:hAnsi="Times New Roman" w:cs="Times New Roman"/>
          <w:b/>
          <w:bCs/>
        </w:rPr>
      </w:pPr>
      <w:r>
        <w:rPr>
          <w:rFonts w:ascii="Times New Roman" w:hAnsi="Times New Roman" w:cs="Times New Roman"/>
          <w:b/>
          <w:bCs/>
        </w:rPr>
        <w:t>Table A.</w:t>
      </w:r>
      <w:r>
        <w:rPr>
          <w:rFonts w:hint="eastAsia" w:ascii="Times New Roman" w:hAnsi="Times New Roman" w:cs="Times New Roman"/>
          <w:b/>
          <w:bCs/>
        </w:rPr>
        <w:t>4</w:t>
      </w:r>
      <w:r>
        <w:rPr>
          <w:rFonts w:ascii="Times New Roman" w:hAnsi="Times New Roman" w:cs="Times New Roman"/>
          <w:b/>
          <w:bCs/>
        </w:rPr>
        <w:t xml:space="preserve"> </w:t>
      </w:r>
      <w:r>
        <w:rPr>
          <w:rFonts w:ascii="Times New Roman" w:hAnsi="Times New Roman" w:cs="Times New Roman"/>
        </w:rPr>
        <w:t>Interview Table for Managers</w:t>
      </w:r>
    </w:p>
    <w:tbl>
      <w:tblPr>
        <w:tblStyle w:val="18"/>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0" w:type="dxa"/>
          <w:left w:w="128" w:type="dxa"/>
          <w:bottom w:w="80" w:type="dxa"/>
          <w:right w:w="128" w:type="dxa"/>
        </w:tblCellMar>
      </w:tblPr>
      <w:tblGrid>
        <w:gridCol w:w="1666"/>
        <w:gridCol w:w="2239"/>
        <w:gridCol w:w="2612"/>
        <w:gridCol w:w="1789"/>
      </w:tblGrid>
      <w:tr w14:paraId="7929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tblHeader/>
          <w:jc w:val="center"/>
        </w:trPr>
        <w:tc>
          <w:tcPr>
            <w:tcW w:w="1554" w:type="dxa"/>
            <w:tcBorders>
              <w:top w:val="single" w:color="auto" w:sz="12" w:space="0"/>
              <w:left w:val="nil"/>
              <w:bottom w:val="single" w:color="auto" w:sz="4" w:space="0"/>
              <w:right w:val="nil"/>
            </w:tcBorders>
            <w:vAlign w:val="center"/>
          </w:tcPr>
          <w:p w14:paraId="2882081F">
            <w:pPr>
              <w:snapToGrid w:val="0"/>
              <w:ind w:left="0" w:leftChars="0" w:right="0" w:rightChars="0"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Category</w:t>
            </w:r>
          </w:p>
        </w:tc>
        <w:tc>
          <w:tcPr>
            <w:tcW w:w="2285" w:type="dxa"/>
            <w:tcBorders>
              <w:top w:val="single" w:color="auto" w:sz="12" w:space="0"/>
              <w:left w:val="nil"/>
              <w:bottom w:val="single" w:color="auto" w:sz="4" w:space="0"/>
              <w:right w:val="nil"/>
            </w:tcBorders>
            <w:vAlign w:val="center"/>
          </w:tcPr>
          <w:p w14:paraId="1F7E61B5">
            <w:pPr>
              <w:snapToGrid w:val="0"/>
              <w:ind w:left="0" w:leftChars="0" w:right="0" w:rightChars="0"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Summary of Responses</w:t>
            </w:r>
          </w:p>
        </w:tc>
        <w:tc>
          <w:tcPr>
            <w:tcW w:w="2667" w:type="dxa"/>
            <w:tcBorders>
              <w:top w:val="single" w:color="auto" w:sz="12" w:space="0"/>
              <w:left w:val="nil"/>
              <w:bottom w:val="single" w:color="auto" w:sz="4" w:space="0"/>
              <w:right w:val="nil"/>
            </w:tcBorders>
            <w:vAlign w:val="center"/>
          </w:tcPr>
          <w:p w14:paraId="4E772B6E">
            <w:pPr>
              <w:snapToGrid w:val="0"/>
              <w:ind w:left="0" w:leftChars="0" w:right="0" w:rightChars="0"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Consensus View</w:t>
            </w:r>
          </w:p>
        </w:tc>
        <w:tc>
          <w:tcPr>
            <w:tcW w:w="1800" w:type="dxa"/>
            <w:tcBorders>
              <w:top w:val="single" w:color="auto" w:sz="12" w:space="0"/>
              <w:left w:val="nil"/>
              <w:bottom w:val="single" w:color="auto" w:sz="4" w:space="0"/>
              <w:right w:val="nil"/>
            </w:tcBorders>
            <w:vAlign w:val="center"/>
          </w:tcPr>
          <w:p w14:paraId="4CC9EA29">
            <w:pPr>
              <w:snapToGrid w:val="0"/>
              <w:ind w:left="0" w:leftChars="0" w:right="0" w:rightChars="0" w:firstLine="0" w:firstLineChars="0"/>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Individual View</w:t>
            </w:r>
          </w:p>
        </w:tc>
      </w:tr>
      <w:tr w14:paraId="0B5F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554" w:type="dxa"/>
            <w:tcBorders>
              <w:top w:val="single" w:color="auto" w:sz="4" w:space="0"/>
              <w:left w:val="nil"/>
              <w:bottom w:val="single" w:color="auto" w:sz="4" w:space="0"/>
              <w:right w:val="nil"/>
            </w:tcBorders>
            <w:vAlign w:val="center"/>
          </w:tcPr>
          <w:p w14:paraId="35055E5C">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Common Questions</w:t>
            </w:r>
          </w:p>
        </w:tc>
        <w:tc>
          <w:tcPr>
            <w:tcW w:w="2285" w:type="dxa"/>
            <w:tcBorders>
              <w:top w:val="single" w:color="auto" w:sz="4" w:space="0"/>
              <w:left w:val="nil"/>
              <w:bottom w:val="single" w:color="auto" w:sz="4" w:space="0"/>
              <w:right w:val="nil"/>
            </w:tcBorders>
            <w:vAlign w:val="center"/>
          </w:tcPr>
          <w:p w14:paraId="2A01AEE3">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 A1: Yes. But I feel the feedback obtained is rather limited.</w:t>
            </w:r>
          </w:p>
          <w:p w14:paraId="1D9F0E89">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A2: Yes. The quantity and quality of feedback need improvement.</w:t>
            </w:r>
          </w:p>
          <w:p w14:paraId="79FD6FF6">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A3: Same as above</w:t>
            </w:r>
          </w:p>
          <w:p w14:paraId="0ABD3A8A">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Q2: A1: Expectation: Overall historical and cultural atmosphere. </w:t>
            </w:r>
          </w:p>
          <w:p w14:paraId="187B7183">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Negative aspects: Whether commercial elements affect the experience. </w:t>
            </w:r>
          </w:p>
          <w:p w14:paraId="52BE7CF7">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A2: Expectation: Historical and cultural display methods. </w:t>
            </w:r>
          </w:p>
          <w:p w14:paraId="70CCE96B">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Negative aspects: Whether the guide is clear. </w:t>
            </w:r>
          </w:p>
          <w:p w14:paraId="002397F9">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A3: Expectation: Same as above.</w:t>
            </w:r>
          </w:p>
          <w:p w14:paraId="7089E6B9">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Negative aspects: Whether there are potential safety hazards. </w:t>
            </w:r>
          </w:p>
          <w:p w14:paraId="75653B0B">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Q3: A1: Yes. The historical atmosphere is damaged.</w:t>
            </w:r>
          </w:p>
          <w:p w14:paraId="47971C8B">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A2: Yes. It distracts attention from scenery and culture.</w:t>
            </w:r>
          </w:p>
          <w:p w14:paraId="0B2ECA9B">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A3: Yes. The overall impression is overly commercialized.</w:t>
            </w:r>
          </w:p>
          <w:p w14:paraId="1D1F4213">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Q4: A1: Quantity, color, tone.</w:t>
            </w:r>
          </w:p>
          <w:p w14:paraId="53369B5B">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A2: Spatial shape, style.</w:t>
            </w:r>
          </w:p>
          <w:p w14:paraId="70F2E4B2">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A3: Information hierarchy, context.</w:t>
            </w:r>
          </w:p>
        </w:tc>
        <w:tc>
          <w:tcPr>
            <w:tcW w:w="2667" w:type="dxa"/>
            <w:tcBorders>
              <w:top w:val="single" w:color="auto" w:sz="4" w:space="0"/>
              <w:left w:val="nil"/>
              <w:bottom w:val="single" w:color="auto" w:sz="4" w:space="0"/>
              <w:right w:val="nil"/>
            </w:tcBorders>
            <w:vAlign w:val="center"/>
          </w:tcPr>
          <w:p w14:paraId="313C7D6C">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 Visitor experience surveys have been conducted, but they are incomplete.</w:t>
            </w:r>
          </w:p>
          <w:p w14:paraId="78A45C57">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Q2: Expect visitors’ evaluations related to the garden’s historical culture; care about negative reviews regarding commerce, guidance, and safety hazards. </w:t>
            </w:r>
          </w:p>
          <w:p w14:paraId="54777A14">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Q3: These elements have a significant impact on visitor experience, affecting aspects like historical atmosphere and attention.</w:t>
            </w:r>
          </w:p>
          <w:p w14:paraId="06933081">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Q4: The interference dimensions of visual elements include quantity, color, shape, space, information hierarchy, and context.</w:t>
            </w:r>
          </w:p>
        </w:tc>
        <w:tc>
          <w:tcPr>
            <w:tcW w:w="1800" w:type="dxa"/>
            <w:tcBorders>
              <w:top w:val="single" w:color="auto" w:sz="4" w:space="0"/>
              <w:left w:val="nil"/>
              <w:bottom w:val="single" w:color="auto" w:sz="4" w:space="0"/>
              <w:right w:val="nil"/>
            </w:tcBorders>
            <w:vAlign w:val="center"/>
          </w:tcPr>
          <w:p w14:paraId="57B8732B">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 Only focus on negative feedback comments.</w:t>
            </w:r>
          </w:p>
          <w:p w14:paraId="5A271C33">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 Create a historical atmosphere.</w:t>
            </w:r>
          </w:p>
          <w:p w14:paraId="2971B9BA">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Q3: Distracts attention, with slight impacts.</w:t>
            </w:r>
          </w:p>
          <w:p w14:paraId="0AEEEF50">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Q4: Aspects of quantity, volume, and spatial density distribution.</w:t>
            </w:r>
          </w:p>
        </w:tc>
      </w:tr>
      <w:tr w14:paraId="2FFE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554" w:type="dxa"/>
            <w:tcBorders>
              <w:top w:val="single" w:color="auto" w:sz="4" w:space="0"/>
              <w:left w:val="nil"/>
              <w:bottom w:val="single" w:color="auto" w:sz="12" w:space="0"/>
              <w:right w:val="nil"/>
            </w:tcBorders>
            <w:vAlign w:val="center"/>
          </w:tcPr>
          <w:p w14:paraId="6A153900">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Manager-Exclusive Questions</w:t>
            </w:r>
          </w:p>
        </w:tc>
        <w:tc>
          <w:tcPr>
            <w:tcW w:w="2285" w:type="dxa"/>
            <w:tcBorders>
              <w:top w:val="single" w:color="auto" w:sz="4" w:space="0"/>
              <w:left w:val="nil"/>
              <w:bottom w:val="single" w:color="auto" w:sz="12" w:space="0"/>
              <w:right w:val="nil"/>
            </w:tcBorders>
            <w:vAlign w:val="center"/>
          </w:tcPr>
          <w:p w14:paraId="4B38AE15">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Q5: A1: Necessary. It provides economic support.</w:t>
            </w:r>
          </w:p>
          <w:p w14:paraId="587B49D9">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A2: Necessary. It helps establish order.</w:t>
            </w:r>
          </w:p>
          <w:p w14:paraId="0CCCEB18">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A3: Necessary. It conveys cultural information.</w:t>
            </w:r>
          </w:p>
          <w:p w14:paraId="2C63A25B">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Q6: A1: Yes. It will be intelligent and more concealed in form.</w:t>
            </w:r>
          </w:p>
          <w:p w14:paraId="05583E1A">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A2: Yes. It will be more aesthetic, unified in style, use eco-friendly materials, and have artistic modeling.</w:t>
            </w:r>
          </w:p>
          <w:p w14:paraId="25531209">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A3: Probably yes. Reduce quantity while improving quality, and implement precise delivery.</w:t>
            </w:r>
          </w:p>
        </w:tc>
        <w:tc>
          <w:tcPr>
            <w:tcW w:w="2667" w:type="dxa"/>
            <w:tcBorders>
              <w:top w:val="single" w:color="auto" w:sz="4" w:space="0"/>
              <w:left w:val="nil"/>
              <w:bottom w:val="single" w:color="auto" w:sz="12" w:space="0"/>
              <w:right w:val="nil"/>
            </w:tcBorders>
            <w:vAlign w:val="center"/>
          </w:tcPr>
          <w:p w14:paraId="7EE7ABA6">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Q5: Guide signs, commercial advertisements, and warning slogans are necessary; they play roles in visiting, safety, and operation.</w:t>
            </w:r>
          </w:p>
          <w:p w14:paraId="18B0EAFB">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Q6: It is expected that the presentation methods of guide systems, commercial advertisements, and warning slogans will change—becoming more intelligent, and integrating culture and environmental protection.</w:t>
            </w:r>
          </w:p>
        </w:tc>
        <w:tc>
          <w:tcPr>
            <w:tcW w:w="1800" w:type="dxa"/>
            <w:tcBorders>
              <w:top w:val="single" w:color="auto" w:sz="4" w:space="0"/>
              <w:left w:val="nil"/>
              <w:bottom w:val="single" w:color="auto" w:sz="12" w:space="0"/>
              <w:right w:val="nil"/>
            </w:tcBorders>
            <w:vAlign w:val="center"/>
          </w:tcPr>
          <w:p w14:paraId="56335368">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 None.</w:t>
            </w:r>
          </w:p>
          <w:p w14:paraId="0A13ADC7">
            <w:pPr>
              <w:snapToGrid w:val="0"/>
              <w:ind w:left="0" w:leftChars="0" w:right="0" w:rightChars="0" w:firstLine="0" w:firstLineChars="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 Focus on intellectualization.</w:t>
            </w:r>
          </w:p>
        </w:tc>
      </w:tr>
    </w:tbl>
    <w:p w14:paraId="4C0802EE">
      <w:pPr>
        <w:rPr>
          <w:rFonts w:ascii="Times New Roman" w:hAnsi="Times New Roman" w:cs="Times New Roman"/>
          <w:b/>
          <w:bCs/>
        </w:rPr>
      </w:pPr>
    </w:p>
    <w:p w14:paraId="6A65335C">
      <w:pPr>
        <w:rPr>
          <w:rFonts w:ascii="Times New Roman" w:hAnsi="Times New Roman" w:cs="Times New Roman"/>
          <w:b/>
          <w:bCs/>
        </w:rPr>
      </w:pPr>
    </w:p>
    <w:p w14:paraId="22EAC664">
      <w:pPr>
        <w:rPr>
          <w:rFonts w:ascii="Times New Roman" w:hAnsi="Times New Roman" w:cs="Times New Roman"/>
          <w:b/>
          <w:bCs/>
        </w:rPr>
      </w:pPr>
    </w:p>
    <w:p w14:paraId="19BE5AA5">
      <w:pPr>
        <w:rPr>
          <w:rFonts w:ascii="Times New Roman" w:hAnsi="Times New Roman" w:cs="Times New Roman"/>
          <w:b/>
          <w:bCs/>
        </w:rPr>
      </w:pPr>
    </w:p>
    <w:p w14:paraId="47703487">
      <w:pPr>
        <w:rPr>
          <w:rFonts w:ascii="Times New Roman" w:hAnsi="Times New Roman" w:cs="Times New Roman"/>
          <w:b/>
          <w:bCs/>
        </w:rPr>
      </w:pPr>
      <w:r>
        <w:rPr>
          <w:rFonts w:ascii="Times New Roman" w:hAnsi="Times New Roman" w:cs="Times New Roman"/>
          <w:b/>
          <w:bCs/>
        </w:rPr>
        <w:t>Table A.</w:t>
      </w:r>
      <w:r>
        <w:rPr>
          <w:rFonts w:hint="eastAsia" w:ascii="Times New Roman" w:hAnsi="Times New Roman" w:cs="Times New Roman"/>
          <w:b/>
          <w:bCs/>
        </w:rPr>
        <w:t>5</w:t>
      </w:r>
      <w:r>
        <w:rPr>
          <w:rFonts w:ascii="Times New Roman" w:hAnsi="Times New Roman" w:cs="Times New Roman"/>
          <w:b/>
          <w:bCs/>
        </w:rPr>
        <w:t xml:space="preserve"> </w:t>
      </w:r>
      <w:r>
        <w:rPr>
          <w:rFonts w:ascii="Times New Roman" w:hAnsi="Times New Roman" w:cs="Times New Roman"/>
        </w:rPr>
        <w:t>Interview Table for Designers</w:t>
      </w:r>
    </w:p>
    <w:tbl>
      <w:tblPr>
        <w:tblStyle w:val="18"/>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0" w:type="dxa"/>
          <w:left w:w="128" w:type="dxa"/>
          <w:bottom w:w="80" w:type="dxa"/>
          <w:right w:w="128" w:type="dxa"/>
        </w:tblCellMar>
      </w:tblPr>
      <w:tblGrid>
        <w:gridCol w:w="1017"/>
        <w:gridCol w:w="3543"/>
        <w:gridCol w:w="2307"/>
        <w:gridCol w:w="1730"/>
      </w:tblGrid>
      <w:tr w14:paraId="5A80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tblHeader/>
          <w:jc w:val="center"/>
        </w:trPr>
        <w:tc>
          <w:tcPr>
            <w:tcW w:w="1017" w:type="dxa"/>
            <w:tcBorders>
              <w:top w:val="single" w:color="auto" w:sz="12" w:space="0"/>
              <w:left w:val="nil"/>
              <w:bottom w:val="single" w:color="auto" w:sz="4" w:space="0"/>
              <w:right w:val="nil"/>
            </w:tcBorders>
            <w:vAlign w:val="center"/>
          </w:tcPr>
          <w:p w14:paraId="369BEC4C">
            <w:pPr>
              <w:snapToGrid w:val="0"/>
              <w:ind w:left="0" w:leftChars="0" w:right="0" w:rightChars="0" w:firstLine="0" w:firstLineChars="0"/>
              <w:jc w:val="center"/>
              <w:rPr>
                <w:rFonts w:ascii="Times New Roman" w:hAnsi="Times New Roman" w:eastAsia="等线" w:cs="Times New Roman"/>
                <w:b/>
                <w:kern w:val="0"/>
                <w:sz w:val="18"/>
                <w:szCs w:val="18"/>
              </w:rPr>
            </w:pPr>
            <w:r>
              <w:rPr>
                <w:rFonts w:ascii="Times New Roman" w:hAnsi="Times New Roman" w:eastAsia="等线" w:cs="Times New Roman"/>
                <w:b/>
                <w:kern w:val="0"/>
                <w:sz w:val="18"/>
                <w:szCs w:val="18"/>
              </w:rPr>
              <w:t>Category</w:t>
            </w:r>
          </w:p>
        </w:tc>
        <w:tc>
          <w:tcPr>
            <w:tcW w:w="3543" w:type="dxa"/>
            <w:tcBorders>
              <w:top w:val="single" w:color="auto" w:sz="12" w:space="0"/>
              <w:left w:val="nil"/>
              <w:bottom w:val="single" w:color="auto" w:sz="4" w:space="0"/>
              <w:right w:val="nil"/>
            </w:tcBorders>
            <w:vAlign w:val="center"/>
          </w:tcPr>
          <w:p w14:paraId="16C4DD81">
            <w:pPr>
              <w:snapToGrid w:val="0"/>
              <w:ind w:left="0" w:leftChars="0" w:right="0" w:rightChars="0" w:firstLine="0" w:firstLineChars="0"/>
              <w:jc w:val="center"/>
              <w:rPr>
                <w:rFonts w:ascii="Times New Roman" w:hAnsi="Times New Roman" w:eastAsia="等线" w:cs="Times New Roman"/>
                <w:b/>
                <w:kern w:val="0"/>
                <w:sz w:val="18"/>
                <w:szCs w:val="18"/>
              </w:rPr>
            </w:pPr>
            <w:r>
              <w:rPr>
                <w:rFonts w:ascii="Times New Roman" w:hAnsi="Times New Roman" w:eastAsia="等线" w:cs="Times New Roman"/>
                <w:b/>
                <w:kern w:val="0"/>
                <w:sz w:val="18"/>
                <w:szCs w:val="18"/>
              </w:rPr>
              <w:t>Summary of Responses</w:t>
            </w:r>
          </w:p>
        </w:tc>
        <w:tc>
          <w:tcPr>
            <w:tcW w:w="2307" w:type="dxa"/>
            <w:tcBorders>
              <w:top w:val="single" w:color="auto" w:sz="12" w:space="0"/>
              <w:left w:val="nil"/>
              <w:bottom w:val="single" w:color="auto" w:sz="4" w:space="0"/>
              <w:right w:val="nil"/>
            </w:tcBorders>
            <w:vAlign w:val="center"/>
          </w:tcPr>
          <w:p w14:paraId="197252B1">
            <w:pPr>
              <w:snapToGrid w:val="0"/>
              <w:ind w:left="0" w:leftChars="0" w:right="0" w:rightChars="0" w:firstLine="0" w:firstLineChars="0"/>
              <w:jc w:val="center"/>
              <w:rPr>
                <w:rFonts w:ascii="Times New Roman" w:hAnsi="Times New Roman" w:eastAsia="等线" w:cs="Times New Roman"/>
                <w:b/>
                <w:kern w:val="0"/>
                <w:sz w:val="18"/>
                <w:szCs w:val="18"/>
              </w:rPr>
            </w:pPr>
            <w:r>
              <w:rPr>
                <w:rFonts w:ascii="Times New Roman" w:hAnsi="Times New Roman" w:eastAsia="等线" w:cs="Times New Roman"/>
                <w:b/>
                <w:kern w:val="0"/>
                <w:sz w:val="18"/>
                <w:szCs w:val="18"/>
              </w:rPr>
              <w:t>Consensus View</w:t>
            </w:r>
          </w:p>
        </w:tc>
        <w:tc>
          <w:tcPr>
            <w:tcW w:w="1730" w:type="dxa"/>
            <w:tcBorders>
              <w:top w:val="single" w:color="auto" w:sz="12" w:space="0"/>
              <w:left w:val="nil"/>
              <w:bottom w:val="single" w:color="auto" w:sz="4" w:space="0"/>
              <w:right w:val="nil"/>
            </w:tcBorders>
            <w:vAlign w:val="center"/>
          </w:tcPr>
          <w:p w14:paraId="51DB05F3">
            <w:pPr>
              <w:snapToGrid w:val="0"/>
              <w:ind w:left="0" w:leftChars="0" w:right="0" w:rightChars="0" w:firstLine="0" w:firstLineChars="0"/>
              <w:jc w:val="center"/>
              <w:rPr>
                <w:rFonts w:ascii="Times New Roman" w:hAnsi="Times New Roman" w:eastAsia="等线" w:cs="Times New Roman"/>
                <w:b/>
                <w:kern w:val="0"/>
                <w:sz w:val="18"/>
                <w:szCs w:val="18"/>
              </w:rPr>
            </w:pPr>
            <w:r>
              <w:rPr>
                <w:rFonts w:ascii="Times New Roman" w:hAnsi="Times New Roman" w:eastAsia="等线" w:cs="Times New Roman"/>
                <w:b/>
                <w:kern w:val="0"/>
                <w:sz w:val="18"/>
                <w:szCs w:val="18"/>
              </w:rPr>
              <w:t>Individual View</w:t>
            </w:r>
          </w:p>
        </w:tc>
      </w:tr>
      <w:tr w14:paraId="06C5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017" w:type="dxa"/>
            <w:tcBorders>
              <w:top w:val="single" w:color="auto" w:sz="4" w:space="0"/>
              <w:left w:val="nil"/>
              <w:bottom w:val="single" w:color="auto" w:sz="4" w:space="0"/>
              <w:right w:val="nil"/>
            </w:tcBorders>
            <w:vAlign w:val="center"/>
          </w:tcPr>
          <w:p w14:paraId="7F076DF2">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Common Questions</w:t>
            </w:r>
          </w:p>
        </w:tc>
        <w:tc>
          <w:tcPr>
            <w:tcW w:w="3543" w:type="dxa"/>
            <w:tcBorders>
              <w:top w:val="single" w:color="auto" w:sz="4" w:space="0"/>
              <w:left w:val="nil"/>
              <w:bottom w:val="single" w:color="auto" w:sz="4" w:space="0"/>
              <w:right w:val="nil"/>
            </w:tcBorders>
            <w:vAlign w:val="center"/>
          </w:tcPr>
          <w:p w14:paraId="5B11DC5E">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Q1: B1: Yes. Not satisfied; visitor experience needs improvement.</w:t>
            </w:r>
          </w:p>
          <w:p w14:paraId="573FDAF0">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B2: Yes. Failed to meet expected results.</w:t>
            </w:r>
          </w:p>
          <w:p w14:paraId="47BF0C64">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B3: Same as above</w:t>
            </w:r>
          </w:p>
          <w:p w14:paraId="074B450E">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 xml:space="preserve">Q2: B1: Expectation: Integration degree of visual elements with historical culture. </w:t>
            </w:r>
          </w:p>
          <w:p w14:paraId="6DA4CCB3">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Negative aspects: Inconsistent design of visual elements.</w:t>
            </w:r>
          </w:p>
          <w:p w14:paraId="664DEC15">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B2: Expectation: Whether visual elements conform to historical and cultural ambiance.</w:t>
            </w:r>
          </w:p>
          <w:p w14:paraId="5666C19C">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Negative aspects: Visual elements damage the aesthetic feeling of the garden.</w:t>
            </w:r>
          </w:p>
          <w:p w14:paraId="3F1E71A9">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 xml:space="preserve">B3: Expectation: Visual elements convey historical and cultural information. </w:t>
            </w:r>
          </w:p>
          <w:p w14:paraId="0DFB4121">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Negative aspects: Visual interference experience.</w:t>
            </w:r>
          </w:p>
          <w:p w14:paraId="7AFE5591">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Q3: B1: Yes. Immersive experience.</w:t>
            </w:r>
          </w:p>
          <w:p w14:paraId="0A259FEE">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B2: Yes. Destroys the overall visual perception.</w:t>
            </w:r>
          </w:p>
          <w:p w14:paraId="60751180">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B3: Yes. Interferes with the effective transmission of cultural information.</w:t>
            </w:r>
          </w:p>
          <w:p w14:paraId="062D4381">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Q4: B1: Quantity and volume.</w:t>
            </w:r>
          </w:p>
          <w:p w14:paraId="118363D6">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B2: Color and tone.</w:t>
            </w:r>
          </w:p>
          <w:p w14:paraId="7899D684">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B3: Information hierarchy, text tone.</w:t>
            </w:r>
          </w:p>
        </w:tc>
        <w:tc>
          <w:tcPr>
            <w:tcW w:w="2307" w:type="dxa"/>
            <w:tcBorders>
              <w:top w:val="single" w:color="auto" w:sz="4" w:space="0"/>
              <w:left w:val="nil"/>
              <w:bottom w:val="single" w:color="auto" w:sz="4" w:space="0"/>
              <w:right w:val="nil"/>
            </w:tcBorders>
            <w:vAlign w:val="center"/>
          </w:tcPr>
          <w:p w14:paraId="40C7749F">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Q1: Pay attention to visitor experience; the result is unsatisfactory.</w:t>
            </w:r>
          </w:p>
          <w:p w14:paraId="3ED1DC8A">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Q2: Expect visitors’ evaluations on the integration of visual elements with historical culture; care about negative reviews related to visual element design, aesthetic feeling, and interference.</w:t>
            </w:r>
          </w:p>
          <w:p w14:paraId="14067FBD">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Q3: These elements have a significant impact on visitor experience, affecting immersive experience, visual aesthetic feeling, cultural understanding, etc.</w:t>
            </w:r>
          </w:p>
          <w:p w14:paraId="585F34D3">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Q4: The interference dimensions of visual elements include quantity, shape, space, information hierarchy, context, etc.</w:t>
            </w:r>
          </w:p>
        </w:tc>
        <w:tc>
          <w:tcPr>
            <w:tcW w:w="1730" w:type="dxa"/>
            <w:tcBorders>
              <w:top w:val="single" w:color="auto" w:sz="4" w:space="0"/>
              <w:left w:val="nil"/>
              <w:bottom w:val="single" w:color="auto" w:sz="4" w:space="0"/>
              <w:right w:val="nil"/>
            </w:tcBorders>
            <w:vAlign w:val="center"/>
          </w:tcPr>
          <w:p w14:paraId="577A6136">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Q1: None.</w:t>
            </w:r>
          </w:p>
          <w:p w14:paraId="0CF0374D">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Q2: Aspect of element design.</w:t>
            </w:r>
          </w:p>
          <w:p w14:paraId="768640EA">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Q3: None.</w:t>
            </w:r>
          </w:p>
          <w:p w14:paraId="177536D7">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Q4: Aspect related to color.</w:t>
            </w:r>
          </w:p>
        </w:tc>
      </w:tr>
      <w:tr w14:paraId="3C02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0" w:type="dxa"/>
            <w:left w:w="128" w:type="dxa"/>
            <w:bottom w:w="80" w:type="dxa"/>
            <w:right w:w="128" w:type="dxa"/>
          </w:tblCellMar>
        </w:tblPrEx>
        <w:trPr>
          <w:trHeight w:val="0" w:hRule="atLeast"/>
          <w:jc w:val="center"/>
        </w:trPr>
        <w:tc>
          <w:tcPr>
            <w:tcW w:w="1017" w:type="dxa"/>
            <w:tcBorders>
              <w:top w:val="single" w:color="auto" w:sz="4" w:space="0"/>
              <w:left w:val="nil"/>
              <w:bottom w:val="single" w:color="auto" w:sz="12" w:space="0"/>
              <w:right w:val="nil"/>
            </w:tcBorders>
            <w:vAlign w:val="center"/>
          </w:tcPr>
          <w:p w14:paraId="626174A1">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Designer-Exclusive Questions</w:t>
            </w:r>
          </w:p>
        </w:tc>
        <w:tc>
          <w:tcPr>
            <w:tcW w:w="3543" w:type="dxa"/>
            <w:tcBorders>
              <w:top w:val="single" w:color="auto" w:sz="4" w:space="0"/>
              <w:left w:val="nil"/>
              <w:bottom w:val="single" w:color="auto" w:sz="12" w:space="0"/>
              <w:right w:val="nil"/>
            </w:tcBorders>
            <w:vAlign w:val="center"/>
          </w:tcPr>
          <w:p w14:paraId="4FC4242C">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Q7: B1: Difficulty: Meeting functional needs while highly aligning elements with the garden’s historical and cultural requirements.</w:t>
            </w:r>
          </w:p>
          <w:p w14:paraId="32AC841A">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Priority: Integrate visual elements into the garden and convey information clearly.</w:t>
            </w:r>
          </w:p>
          <w:p w14:paraId="1F54A44D">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B2: Difficulty: Balancing design and management.</w:t>
            </w:r>
          </w:p>
          <w:p w14:paraId="0D2FE30F">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Priority: Spatial position and volume, coordination.</w:t>
            </w:r>
          </w:p>
          <w:p w14:paraId="01267C10">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 xml:space="preserve">B3: Difficulty: Avoiding a sense of disharmony. </w:t>
            </w:r>
          </w:p>
          <w:p w14:paraId="3C721B79">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Priority: Enhance cultural connotation and artistic aesthetic feeling.</w:t>
            </w:r>
          </w:p>
          <w:p w14:paraId="0094CA80">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Q8: B1: Matching degree of shape and style, color coordination degree.</w:t>
            </w:r>
          </w:p>
          <w:p w14:paraId="672951C3">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B2: Spatial layout, clarity of information transmission.</w:t>
            </w:r>
          </w:p>
          <w:p w14:paraId="373287B3">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B3: Visual elements that cause specific interference experiences.</w:t>
            </w:r>
          </w:p>
        </w:tc>
        <w:tc>
          <w:tcPr>
            <w:tcW w:w="2307" w:type="dxa"/>
            <w:tcBorders>
              <w:top w:val="single" w:color="auto" w:sz="4" w:space="0"/>
              <w:left w:val="nil"/>
              <w:bottom w:val="single" w:color="auto" w:sz="12" w:space="0"/>
              <w:right w:val="nil"/>
            </w:tcBorders>
            <w:vAlign w:val="center"/>
          </w:tcPr>
          <w:p w14:paraId="288CA583">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Q7: The biggest difficulty is aligning visual elements with the style of classical gardens, balancing function and style, etc.; design priorities include integrating elements into the garden, conveying information clearly, and controlling space coordination, etc.</w:t>
            </w:r>
          </w:p>
          <w:p w14:paraId="36B65102">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Q8: Hope to receive visitors’ feedback on visual element modeling, color, spatial layout, information transmission, etc.</w:t>
            </w:r>
          </w:p>
        </w:tc>
        <w:tc>
          <w:tcPr>
            <w:tcW w:w="1730" w:type="dxa"/>
            <w:tcBorders>
              <w:top w:val="single" w:color="auto" w:sz="4" w:space="0"/>
              <w:left w:val="nil"/>
              <w:bottom w:val="single" w:color="auto" w:sz="12" w:space="0"/>
              <w:right w:val="nil"/>
            </w:tcBorders>
            <w:vAlign w:val="center"/>
          </w:tcPr>
          <w:p w14:paraId="0B4E78F8">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Q7: None.</w:t>
            </w:r>
          </w:p>
          <w:p w14:paraId="5C838142">
            <w:pPr>
              <w:snapToGrid w:val="0"/>
              <w:ind w:left="0" w:leftChars="0" w:right="0" w:rightChars="0" w:firstLine="0" w:firstLineChars="0"/>
              <w:jc w:val="left"/>
              <w:rPr>
                <w:rFonts w:ascii="Times New Roman" w:hAnsi="Times New Roman" w:eastAsia="等线" w:cs="Times New Roman"/>
                <w:kern w:val="0"/>
                <w:sz w:val="18"/>
                <w:szCs w:val="18"/>
              </w:rPr>
            </w:pPr>
            <w:r>
              <w:rPr>
                <w:rFonts w:ascii="Times New Roman" w:hAnsi="Times New Roman" w:eastAsia="等线" w:cs="Times New Roman"/>
                <w:kern w:val="0"/>
                <w:sz w:val="18"/>
                <w:szCs w:val="18"/>
              </w:rPr>
              <w:t>Q8: None.</w:t>
            </w:r>
          </w:p>
        </w:tc>
      </w:tr>
    </w:tbl>
    <w:p w14:paraId="4BAF2D73">
      <w:pPr>
        <w:rPr>
          <w:rFonts w:ascii="Times New Roman" w:hAnsi="Times New Roman" w:cs="Times New Roman"/>
        </w:rPr>
      </w:pPr>
    </w:p>
    <w:p w14:paraId="1A6F7716">
      <w:pPr>
        <w:jc w:val="center"/>
        <w:rPr>
          <w:rFonts w:ascii="Times New Roman" w:hAnsi="Times New Roman" w:cs="Times New Roman"/>
        </w:rPr>
      </w:pPr>
      <w:r>
        <w:rPr>
          <w:rFonts w:ascii="Times New Roman" w:hAnsi="Times New Roman" w:cs="Times New Roman"/>
        </w:rPr>
        <w:drawing>
          <wp:inline distT="0" distB="0" distL="0" distR="0">
            <wp:extent cx="5891530" cy="5891530"/>
            <wp:effectExtent l="0" t="0" r="0" b="0"/>
            <wp:docPr id="120255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5378"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01006" cy="5901006"/>
                    </a:xfrm>
                    <a:prstGeom prst="rect">
                      <a:avLst/>
                    </a:prstGeom>
                    <a:noFill/>
                    <a:ln>
                      <a:noFill/>
                    </a:ln>
                  </pic:spPr>
                </pic:pic>
              </a:graphicData>
            </a:graphic>
          </wp:inline>
        </w:drawing>
      </w:r>
    </w:p>
    <w:p w14:paraId="41384675">
      <w:pPr>
        <w:jc w:val="center"/>
        <w:rPr>
          <w:rFonts w:ascii="Times New Roman" w:hAnsi="Times New Roman" w:eastAsia="宋体" w:cs="Times New Roman"/>
          <w:b/>
          <w:bCs/>
        </w:rPr>
      </w:pPr>
      <w:r>
        <w:rPr>
          <w:rFonts w:ascii="Times New Roman" w:hAnsi="Times New Roman" w:eastAsia="宋体" w:cs="Times New Roman"/>
          <w:b/>
          <w:bCs/>
        </w:rPr>
        <w:t>Fig.A.</w:t>
      </w:r>
      <w:r>
        <w:rPr>
          <w:rFonts w:hint="eastAsia" w:ascii="Times New Roman" w:hAnsi="Times New Roman" w:eastAsia="宋体" w:cs="Times New Roman"/>
          <w:b/>
          <w:bCs/>
        </w:rPr>
        <w:t>8</w:t>
      </w:r>
      <w:r>
        <w:rPr>
          <w:rFonts w:ascii="Times New Roman" w:hAnsi="Times New Roman" w:eastAsia="宋体" w:cs="Times New Roman"/>
          <w:b/>
          <w:bCs/>
        </w:rPr>
        <w:t xml:space="preserve">. </w:t>
      </w:r>
      <w:r>
        <w:rPr>
          <w:rFonts w:ascii="Times New Roman" w:hAnsi="Times New Roman" w:eastAsia="宋体" w:cs="Times New Roman"/>
        </w:rPr>
        <w:t>Framework and procedures of the evaluation system</w:t>
      </w:r>
    </w:p>
    <w:p w14:paraId="26F3CA93">
      <w:pPr>
        <w:rPr>
          <w:rFonts w:ascii="Times New Roman" w:hAnsi="Times New Roman" w:cs="Times New Roman"/>
        </w:rPr>
      </w:pPr>
    </w:p>
    <w:p w14:paraId="71AF3B99">
      <w:pPr>
        <w:rPr>
          <w:rFonts w:ascii="Times New Roman" w:hAnsi="Times New Roman" w:cs="Times New Roman"/>
        </w:rPr>
      </w:pPr>
    </w:p>
    <w:p w14:paraId="0973D712">
      <w:pPr>
        <w:rPr>
          <w:rFonts w:ascii="Times New Roman" w:hAnsi="Times New Roman" w:cs="Times New Roman"/>
        </w:rPr>
      </w:pPr>
    </w:p>
    <w:p w14:paraId="734A4450">
      <w:pPr>
        <w:rPr>
          <w:rFonts w:ascii="Times New Roman" w:hAnsi="Times New Roman" w:cs="Times New Roman"/>
        </w:rPr>
      </w:pPr>
    </w:p>
    <w:p w14:paraId="4BAB826E">
      <w:pPr>
        <w:rPr>
          <w:rFonts w:ascii="Times New Roman" w:hAnsi="Times New Roman" w:cs="Times New Roman"/>
        </w:rPr>
      </w:pPr>
    </w:p>
    <w:p w14:paraId="41B38803">
      <w:pPr>
        <w:rPr>
          <w:rFonts w:ascii="Times New Roman" w:hAnsi="Times New Roman" w:cs="Times New Roman"/>
        </w:rPr>
      </w:pPr>
    </w:p>
    <w:p w14:paraId="231A8606">
      <w:pPr>
        <w:rPr>
          <w:rFonts w:ascii="Times New Roman" w:hAnsi="Times New Roman" w:cs="Times New Roman"/>
        </w:rPr>
      </w:pPr>
    </w:p>
    <w:p w14:paraId="513E80B4">
      <w:pPr>
        <w:rPr>
          <w:rFonts w:ascii="Times New Roman" w:hAnsi="Times New Roman" w:cs="Times New Roman"/>
        </w:rPr>
      </w:pPr>
    </w:p>
    <w:p w14:paraId="5467D347">
      <w:pPr>
        <w:rPr>
          <w:rFonts w:ascii="Times New Roman" w:hAnsi="Times New Roman" w:cs="Times New Roman"/>
        </w:rPr>
      </w:pPr>
    </w:p>
    <w:p w14:paraId="0DFD7FA1">
      <w:pPr>
        <w:rPr>
          <w:rFonts w:ascii="Times New Roman" w:hAnsi="Times New Roman" w:cs="Times New Roman"/>
        </w:rPr>
      </w:pPr>
    </w:p>
    <w:p w14:paraId="472F33AB">
      <w:pPr>
        <w:rPr>
          <w:rFonts w:ascii="Times New Roman" w:hAnsi="Times New Roman" w:cs="Times New Roman"/>
        </w:rPr>
      </w:pPr>
    </w:p>
    <w:p w14:paraId="6A8E4062">
      <w:pPr>
        <w:rPr>
          <w:rFonts w:ascii="Times New Roman" w:hAnsi="Times New Roman" w:cs="Times New Roman"/>
        </w:rPr>
      </w:pPr>
    </w:p>
    <w:p w14:paraId="6E48EDB4">
      <w:pPr>
        <w:rPr>
          <w:rFonts w:ascii="Times New Roman" w:hAnsi="Times New Roman" w:cs="Times New Roman"/>
        </w:rPr>
      </w:pPr>
    </w:p>
    <w:p w14:paraId="7ED40720">
      <w:pPr>
        <w:tabs>
          <w:tab w:val="center" w:pos="4153"/>
          <w:tab w:val="left" w:pos="6780"/>
        </w:tabs>
        <w:rPr>
          <w:rFonts w:ascii="Times New Roman" w:hAnsi="Times New Roman" w:cs="Times New Roman"/>
          <w:b/>
          <w:bCs/>
        </w:rPr>
      </w:pPr>
      <w:r>
        <w:rPr>
          <w:rFonts w:ascii="Times New Roman" w:hAnsi="Times New Roman" w:cs="Times New Roman"/>
          <w:b/>
          <w:bCs/>
        </w:rPr>
        <w:t>Table A.</w:t>
      </w:r>
      <w:r>
        <w:rPr>
          <w:rFonts w:hint="eastAsia" w:ascii="Times New Roman" w:hAnsi="Times New Roman" w:cs="Times New Roman"/>
          <w:b/>
          <w:bCs/>
        </w:rPr>
        <w:t>6</w:t>
      </w:r>
      <w:r>
        <w:rPr>
          <w:rFonts w:ascii="Times New Roman" w:hAnsi="Times New Roman" w:cs="Times New Roman"/>
          <w:b/>
          <w:bCs/>
        </w:rPr>
        <w:t xml:space="preserve"> </w:t>
      </w:r>
      <w:r>
        <w:rPr>
          <w:rFonts w:ascii="Times New Roman" w:hAnsi="Times New Roman" w:cs="Times New Roman"/>
        </w:rPr>
        <w:t>Questionnaire survey</w:t>
      </w:r>
      <w:r>
        <w:rPr>
          <w:rFonts w:ascii="Times New Roman" w:hAnsi="Times New Roman" w:cs="Times New Roman"/>
        </w:rPr>
        <w:tab/>
      </w:r>
    </w:p>
    <w:tbl>
      <w:tblPr>
        <w:tblStyle w:val="18"/>
        <w:tblW w:w="8306" w:type="dxa"/>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859"/>
        <w:gridCol w:w="1662"/>
        <w:gridCol w:w="4785"/>
      </w:tblGrid>
      <w:tr w14:paraId="56141D32">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tblHeader/>
          <w:jc w:val="center"/>
        </w:trPr>
        <w:tc>
          <w:tcPr>
            <w:tcW w:w="3521" w:type="dxa"/>
            <w:gridSpan w:val="2"/>
            <w:vAlign w:val="center"/>
          </w:tcPr>
          <w:p w14:paraId="272256D4">
            <w:pPr>
              <w:snapToGrid w:val="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Categories</w:t>
            </w:r>
          </w:p>
        </w:tc>
        <w:tc>
          <w:tcPr>
            <w:tcW w:w="4785" w:type="dxa"/>
            <w:vAlign w:val="center"/>
          </w:tcPr>
          <w:p w14:paraId="6B69D4C3">
            <w:pPr>
              <w:snapToGrid w:val="0"/>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Question Title</w:t>
            </w:r>
          </w:p>
        </w:tc>
      </w:tr>
      <w:tr w14:paraId="0B2FB26D">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21" w:type="dxa"/>
            <w:gridSpan w:val="2"/>
            <w:vMerge w:val="restart"/>
            <w:vAlign w:val="center"/>
          </w:tcPr>
          <w:p w14:paraId="5CB0F7C8">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Basic information of tourists: Q1-Q5</w:t>
            </w:r>
          </w:p>
        </w:tc>
        <w:tc>
          <w:tcPr>
            <w:tcW w:w="4785" w:type="dxa"/>
            <w:vAlign w:val="center"/>
          </w:tcPr>
          <w:p w14:paraId="0C1E8DB9">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 Is this your first visit to this heritage site?</w:t>
            </w:r>
          </w:p>
        </w:tc>
      </w:tr>
      <w:tr w14:paraId="3B76727D">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21" w:type="dxa"/>
            <w:gridSpan w:val="2"/>
            <w:vMerge w:val="continue"/>
            <w:vAlign w:val="center"/>
          </w:tcPr>
          <w:p w14:paraId="3FDCA643">
            <w:pPr>
              <w:snapToGrid w:val="0"/>
              <w:jc w:val="left"/>
              <w:rPr>
                <w:rFonts w:ascii="Times New Roman" w:hAnsi="Times New Roman" w:eastAsia="宋体" w:cs="Times New Roman"/>
                <w:kern w:val="0"/>
                <w:sz w:val="18"/>
                <w:szCs w:val="18"/>
              </w:rPr>
            </w:pPr>
          </w:p>
        </w:tc>
        <w:tc>
          <w:tcPr>
            <w:tcW w:w="4785" w:type="dxa"/>
            <w:vAlign w:val="center"/>
          </w:tcPr>
          <w:p w14:paraId="0EE327B1">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 How familiar are you with the history and culture of this heritage site? On a scale of 1 to 5, how would you rate your knowledge?</w:t>
            </w:r>
          </w:p>
        </w:tc>
      </w:tr>
      <w:tr w14:paraId="3DCB0098">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21" w:type="dxa"/>
            <w:gridSpan w:val="2"/>
            <w:vMerge w:val="continue"/>
            <w:vAlign w:val="center"/>
          </w:tcPr>
          <w:p w14:paraId="4A13004C">
            <w:pPr>
              <w:snapToGrid w:val="0"/>
              <w:jc w:val="left"/>
              <w:rPr>
                <w:rFonts w:ascii="Times New Roman" w:hAnsi="Times New Roman" w:eastAsia="宋体" w:cs="Times New Roman"/>
                <w:kern w:val="0"/>
                <w:sz w:val="18"/>
                <w:szCs w:val="18"/>
              </w:rPr>
            </w:pPr>
          </w:p>
        </w:tc>
        <w:tc>
          <w:tcPr>
            <w:tcW w:w="4785" w:type="dxa"/>
            <w:vAlign w:val="center"/>
          </w:tcPr>
          <w:p w14:paraId="55FF4A1C">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Q3: What is your main purpose for visiting today? (Multiple choices allowed)</w:t>
            </w:r>
          </w:p>
        </w:tc>
      </w:tr>
      <w:tr w14:paraId="177CEBF3">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21" w:type="dxa"/>
            <w:gridSpan w:val="2"/>
            <w:vMerge w:val="continue"/>
            <w:vAlign w:val="center"/>
          </w:tcPr>
          <w:p w14:paraId="2FE29AB1">
            <w:pPr>
              <w:snapToGrid w:val="0"/>
              <w:jc w:val="left"/>
              <w:rPr>
                <w:rFonts w:ascii="Times New Roman" w:hAnsi="Times New Roman" w:eastAsia="宋体" w:cs="Times New Roman"/>
                <w:kern w:val="0"/>
                <w:sz w:val="18"/>
                <w:szCs w:val="18"/>
              </w:rPr>
            </w:pPr>
          </w:p>
        </w:tc>
        <w:tc>
          <w:tcPr>
            <w:tcW w:w="4785" w:type="dxa"/>
            <w:vAlign w:val="center"/>
          </w:tcPr>
          <w:p w14:paraId="2355391E">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Q4: How long do you plan to stay here?</w:t>
            </w:r>
          </w:p>
        </w:tc>
      </w:tr>
      <w:tr w14:paraId="5DAFDCD8">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21" w:type="dxa"/>
            <w:gridSpan w:val="2"/>
            <w:vMerge w:val="continue"/>
            <w:vAlign w:val="center"/>
          </w:tcPr>
          <w:p w14:paraId="2E7477A9">
            <w:pPr>
              <w:snapToGrid w:val="0"/>
              <w:jc w:val="left"/>
              <w:rPr>
                <w:rFonts w:ascii="Times New Roman" w:hAnsi="Times New Roman" w:eastAsia="宋体" w:cs="Times New Roman"/>
                <w:kern w:val="0"/>
                <w:sz w:val="18"/>
                <w:szCs w:val="18"/>
              </w:rPr>
            </w:pPr>
          </w:p>
        </w:tc>
        <w:tc>
          <w:tcPr>
            <w:tcW w:w="4785" w:type="dxa"/>
            <w:vAlign w:val="center"/>
          </w:tcPr>
          <w:p w14:paraId="451F5294">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Q5: Which specific site/location are you evaluating currently?</w:t>
            </w:r>
          </w:p>
        </w:tc>
      </w:tr>
      <w:tr w14:paraId="4551FC9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restart"/>
            <w:vAlign w:val="center"/>
          </w:tcPr>
          <w:p w14:paraId="3EB82595">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The impact of the six major factors of visual interference elements on cultural understanding and cultural perception: Q6-Q17</w:t>
            </w:r>
          </w:p>
        </w:tc>
        <w:tc>
          <w:tcPr>
            <w:tcW w:w="1662" w:type="dxa"/>
            <w:vMerge w:val="restart"/>
            <w:vAlign w:val="center"/>
          </w:tcPr>
          <w:p w14:paraId="39869A2C">
            <w:pPr>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Quantity/Scale</w:t>
            </w:r>
          </w:p>
        </w:tc>
        <w:tc>
          <w:tcPr>
            <w:tcW w:w="4785" w:type="dxa"/>
            <w:vAlign w:val="center"/>
          </w:tcPr>
          <w:p w14:paraId="7BD56A0A">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Q6: There are too many signs/panels unrelated to the culture here, which distract my attention.</w:t>
            </w:r>
          </w:p>
        </w:tc>
      </w:tr>
      <w:tr w14:paraId="201654C9">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7554098A">
            <w:pPr>
              <w:snapToGrid w:val="0"/>
              <w:jc w:val="left"/>
              <w:rPr>
                <w:rFonts w:ascii="Times New Roman" w:hAnsi="Times New Roman" w:eastAsia="宋体" w:cs="Times New Roman"/>
                <w:kern w:val="0"/>
                <w:sz w:val="18"/>
                <w:szCs w:val="18"/>
              </w:rPr>
            </w:pPr>
          </w:p>
        </w:tc>
        <w:tc>
          <w:tcPr>
            <w:tcW w:w="1662" w:type="dxa"/>
            <w:vMerge w:val="continue"/>
            <w:vAlign w:val="center"/>
          </w:tcPr>
          <w:p w14:paraId="33FEE76C">
            <w:pPr>
              <w:snapToGrid w:val="0"/>
              <w:jc w:val="center"/>
              <w:rPr>
                <w:rFonts w:ascii="Times New Roman" w:hAnsi="Times New Roman" w:eastAsia="宋体" w:cs="Times New Roman"/>
                <w:kern w:val="0"/>
                <w:sz w:val="18"/>
                <w:szCs w:val="18"/>
              </w:rPr>
            </w:pPr>
          </w:p>
        </w:tc>
        <w:tc>
          <w:tcPr>
            <w:tcW w:w="4785" w:type="dxa"/>
            <w:vAlign w:val="center"/>
          </w:tcPr>
          <w:p w14:paraId="5500F07A">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Q7: Some signs/facilities are too large, obscuring key cultural information.</w:t>
            </w:r>
          </w:p>
        </w:tc>
      </w:tr>
      <w:tr w14:paraId="6739531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13BF5C0B">
            <w:pPr>
              <w:snapToGrid w:val="0"/>
              <w:jc w:val="left"/>
              <w:rPr>
                <w:rFonts w:ascii="Times New Roman" w:hAnsi="Times New Roman" w:eastAsia="宋体" w:cs="Times New Roman"/>
                <w:kern w:val="0"/>
                <w:sz w:val="18"/>
                <w:szCs w:val="18"/>
              </w:rPr>
            </w:pPr>
          </w:p>
        </w:tc>
        <w:tc>
          <w:tcPr>
            <w:tcW w:w="1662" w:type="dxa"/>
            <w:vMerge w:val="restart"/>
            <w:vAlign w:val="center"/>
          </w:tcPr>
          <w:p w14:paraId="2F3ACE3D">
            <w:pPr>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Shape/Symbol salience</w:t>
            </w:r>
          </w:p>
        </w:tc>
        <w:tc>
          <w:tcPr>
            <w:tcW w:w="4785" w:type="dxa"/>
            <w:vAlign w:val="center"/>
          </w:tcPr>
          <w:p w14:paraId="7E06D57F">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Q8: The design of certain signs/installations is too eye-catching, interrupting the perception of the traditional landscape.</w:t>
            </w:r>
          </w:p>
        </w:tc>
      </w:tr>
      <w:tr w14:paraId="53F4138A">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1D3546D7">
            <w:pPr>
              <w:snapToGrid w:val="0"/>
              <w:jc w:val="left"/>
              <w:rPr>
                <w:rFonts w:ascii="Times New Roman" w:hAnsi="Times New Roman" w:eastAsia="宋体" w:cs="Times New Roman"/>
                <w:kern w:val="0"/>
                <w:sz w:val="18"/>
                <w:szCs w:val="18"/>
              </w:rPr>
            </w:pPr>
          </w:p>
        </w:tc>
        <w:tc>
          <w:tcPr>
            <w:tcW w:w="1662" w:type="dxa"/>
            <w:vMerge w:val="continue"/>
            <w:vAlign w:val="center"/>
          </w:tcPr>
          <w:p w14:paraId="1FEB6366">
            <w:pPr>
              <w:snapToGrid w:val="0"/>
              <w:jc w:val="center"/>
              <w:rPr>
                <w:rFonts w:ascii="Times New Roman" w:hAnsi="Times New Roman" w:eastAsia="宋体" w:cs="Times New Roman"/>
                <w:kern w:val="0"/>
                <w:sz w:val="18"/>
                <w:szCs w:val="18"/>
              </w:rPr>
            </w:pPr>
          </w:p>
        </w:tc>
        <w:tc>
          <w:tcPr>
            <w:tcW w:w="4785" w:type="dxa"/>
            <w:vAlign w:val="center"/>
          </w:tcPr>
          <w:p w14:paraId="245109DC">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Q9: The style of the icons/graphics on site is inconsistent with traditional patterns, which breaks my immersion.</w:t>
            </w:r>
          </w:p>
        </w:tc>
      </w:tr>
      <w:tr w14:paraId="449F2C08">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559E6E12">
            <w:pPr>
              <w:snapToGrid w:val="0"/>
              <w:jc w:val="left"/>
              <w:rPr>
                <w:rFonts w:ascii="Times New Roman" w:hAnsi="Times New Roman" w:eastAsia="宋体" w:cs="Times New Roman"/>
                <w:kern w:val="0"/>
                <w:sz w:val="18"/>
                <w:szCs w:val="18"/>
              </w:rPr>
            </w:pPr>
          </w:p>
        </w:tc>
        <w:tc>
          <w:tcPr>
            <w:tcW w:w="1662" w:type="dxa"/>
            <w:vMerge w:val="restart"/>
            <w:vAlign w:val="center"/>
          </w:tcPr>
          <w:p w14:paraId="39F199AE">
            <w:pPr>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Information hierarchy/Priority</w:t>
            </w:r>
          </w:p>
        </w:tc>
        <w:tc>
          <w:tcPr>
            <w:tcW w:w="4785" w:type="dxa"/>
            <w:vAlign w:val="center"/>
          </w:tcPr>
          <w:p w14:paraId="04A18CB2">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Q10: Directional, warning, and explanatory information are mixed together, making the hierarchy unclear.</w:t>
            </w:r>
          </w:p>
        </w:tc>
      </w:tr>
      <w:tr w14:paraId="1CF203C2">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2968FE8F">
            <w:pPr>
              <w:snapToGrid w:val="0"/>
              <w:jc w:val="left"/>
              <w:rPr>
                <w:rFonts w:ascii="Times New Roman" w:hAnsi="Times New Roman" w:eastAsia="宋体" w:cs="Times New Roman"/>
                <w:kern w:val="0"/>
                <w:sz w:val="18"/>
                <w:szCs w:val="18"/>
              </w:rPr>
            </w:pPr>
          </w:p>
        </w:tc>
        <w:tc>
          <w:tcPr>
            <w:tcW w:w="1662" w:type="dxa"/>
            <w:vMerge w:val="continue"/>
            <w:vAlign w:val="center"/>
          </w:tcPr>
          <w:p w14:paraId="3BFA6AA6">
            <w:pPr>
              <w:snapToGrid w:val="0"/>
              <w:jc w:val="center"/>
              <w:rPr>
                <w:rFonts w:ascii="Times New Roman" w:hAnsi="Times New Roman" w:eastAsia="宋体" w:cs="Times New Roman"/>
                <w:kern w:val="0"/>
                <w:sz w:val="18"/>
                <w:szCs w:val="18"/>
              </w:rPr>
            </w:pPr>
          </w:p>
        </w:tc>
        <w:tc>
          <w:tcPr>
            <w:tcW w:w="4785" w:type="dxa"/>
            <w:vAlign w:val="center"/>
          </w:tcPr>
          <w:p w14:paraId="10DA2CB6">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Q11: The existing information is presented with clear hierarchy, helping me understand the key cultural points.</w:t>
            </w:r>
          </w:p>
        </w:tc>
      </w:tr>
      <w:tr w14:paraId="3F6CF888">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0B86E174">
            <w:pPr>
              <w:snapToGrid w:val="0"/>
              <w:jc w:val="left"/>
              <w:rPr>
                <w:rFonts w:ascii="Times New Roman" w:hAnsi="Times New Roman" w:eastAsia="宋体" w:cs="Times New Roman"/>
                <w:kern w:val="0"/>
                <w:sz w:val="18"/>
                <w:szCs w:val="18"/>
              </w:rPr>
            </w:pPr>
          </w:p>
        </w:tc>
        <w:tc>
          <w:tcPr>
            <w:tcW w:w="1662" w:type="dxa"/>
            <w:vMerge w:val="restart"/>
            <w:vAlign w:val="center"/>
          </w:tcPr>
          <w:p w14:paraId="5083C68D">
            <w:pPr>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Color discordance</w:t>
            </w:r>
          </w:p>
        </w:tc>
        <w:tc>
          <w:tcPr>
            <w:tcW w:w="4785" w:type="dxa"/>
            <w:vAlign w:val="center"/>
          </w:tcPr>
          <w:p w14:paraId="6A64FDE4">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Q12: The colors of some signs/installations are too bright or reflective, disrupting the overall color tone.</w:t>
            </w:r>
          </w:p>
        </w:tc>
      </w:tr>
      <w:tr w14:paraId="0FDC20D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5287580A">
            <w:pPr>
              <w:snapToGrid w:val="0"/>
              <w:jc w:val="left"/>
              <w:rPr>
                <w:rFonts w:ascii="Times New Roman" w:hAnsi="Times New Roman" w:eastAsia="宋体" w:cs="Times New Roman"/>
                <w:kern w:val="0"/>
                <w:sz w:val="18"/>
                <w:szCs w:val="18"/>
              </w:rPr>
            </w:pPr>
          </w:p>
        </w:tc>
        <w:tc>
          <w:tcPr>
            <w:tcW w:w="1662" w:type="dxa"/>
            <w:vMerge w:val="continue"/>
            <w:vAlign w:val="center"/>
          </w:tcPr>
          <w:p w14:paraId="2D496148">
            <w:pPr>
              <w:snapToGrid w:val="0"/>
              <w:jc w:val="center"/>
              <w:rPr>
                <w:rFonts w:ascii="Times New Roman" w:hAnsi="Times New Roman" w:eastAsia="宋体" w:cs="Times New Roman"/>
                <w:kern w:val="0"/>
                <w:sz w:val="18"/>
                <w:szCs w:val="18"/>
              </w:rPr>
            </w:pPr>
          </w:p>
        </w:tc>
        <w:tc>
          <w:tcPr>
            <w:tcW w:w="4785" w:type="dxa"/>
            <w:vAlign w:val="center"/>
          </w:tcPr>
          <w:p w14:paraId="7325E557">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Q13: These colors do not match my expectations of the traditional colors for this heritage site.</w:t>
            </w:r>
          </w:p>
        </w:tc>
      </w:tr>
      <w:tr w14:paraId="5C25ADA7">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0AE375C0">
            <w:pPr>
              <w:snapToGrid w:val="0"/>
              <w:jc w:val="left"/>
              <w:rPr>
                <w:rFonts w:ascii="Times New Roman" w:hAnsi="Times New Roman" w:eastAsia="宋体" w:cs="Times New Roman"/>
                <w:kern w:val="0"/>
                <w:sz w:val="18"/>
                <w:szCs w:val="18"/>
              </w:rPr>
            </w:pPr>
          </w:p>
        </w:tc>
        <w:tc>
          <w:tcPr>
            <w:tcW w:w="1662" w:type="dxa"/>
            <w:vMerge w:val="restart"/>
            <w:vAlign w:val="center"/>
          </w:tcPr>
          <w:p w14:paraId="53290457">
            <w:pPr>
              <w:wordWrap w:val="0"/>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Spatial intrusion/Occlusion</w:t>
            </w:r>
          </w:p>
        </w:tc>
        <w:tc>
          <w:tcPr>
            <w:tcW w:w="4785" w:type="dxa"/>
            <w:vAlign w:val="center"/>
          </w:tcPr>
          <w:p w14:paraId="67986348">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Q14: Irrelevant elements appear within key sightlines/main axes/framed views, affecting appreciation.</w:t>
            </w:r>
          </w:p>
        </w:tc>
      </w:tr>
      <w:tr w14:paraId="3635ECC3">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2C83BA1C">
            <w:pPr>
              <w:snapToGrid w:val="0"/>
              <w:jc w:val="left"/>
              <w:rPr>
                <w:rFonts w:ascii="Times New Roman" w:hAnsi="Times New Roman" w:eastAsia="宋体" w:cs="Times New Roman"/>
                <w:kern w:val="0"/>
                <w:sz w:val="18"/>
                <w:szCs w:val="18"/>
              </w:rPr>
            </w:pPr>
          </w:p>
        </w:tc>
        <w:tc>
          <w:tcPr>
            <w:tcW w:w="1662" w:type="dxa"/>
            <w:vMerge w:val="continue"/>
            <w:vAlign w:val="center"/>
          </w:tcPr>
          <w:p w14:paraId="548780DD">
            <w:pPr>
              <w:snapToGrid w:val="0"/>
              <w:jc w:val="center"/>
              <w:rPr>
                <w:rFonts w:ascii="Times New Roman" w:hAnsi="Times New Roman" w:eastAsia="宋体" w:cs="Times New Roman"/>
                <w:kern w:val="0"/>
                <w:sz w:val="18"/>
                <w:szCs w:val="18"/>
              </w:rPr>
            </w:pPr>
          </w:p>
        </w:tc>
        <w:tc>
          <w:tcPr>
            <w:tcW w:w="4785" w:type="dxa"/>
            <w:vAlign w:val="center"/>
          </w:tcPr>
          <w:p w14:paraId="6D677D11">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Q15: These elements are too close to the core features or at an inappropriate height, causing obstruction.</w:t>
            </w:r>
          </w:p>
        </w:tc>
      </w:tr>
      <w:tr w14:paraId="127AEA7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4DC8CAC8">
            <w:pPr>
              <w:snapToGrid w:val="0"/>
              <w:jc w:val="left"/>
              <w:rPr>
                <w:rFonts w:ascii="Times New Roman" w:hAnsi="Times New Roman" w:eastAsia="宋体" w:cs="Times New Roman"/>
                <w:kern w:val="0"/>
                <w:sz w:val="18"/>
                <w:szCs w:val="18"/>
              </w:rPr>
            </w:pPr>
          </w:p>
        </w:tc>
        <w:tc>
          <w:tcPr>
            <w:tcW w:w="1662" w:type="dxa"/>
            <w:vMerge w:val="restart"/>
            <w:vAlign w:val="center"/>
          </w:tcPr>
          <w:p w14:paraId="2B18419C">
            <w:pPr>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Contextual consistency</w:t>
            </w:r>
          </w:p>
        </w:tc>
        <w:tc>
          <w:tcPr>
            <w:tcW w:w="4785" w:type="dxa"/>
            <w:vAlign w:val="center"/>
          </w:tcPr>
          <w:p w14:paraId="5C99C72D">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Q16: The wording/translations/tone of the signage are not appropriate for the context, affecting my understanding of the historical information.</w:t>
            </w:r>
          </w:p>
        </w:tc>
      </w:tr>
      <w:tr w14:paraId="2901B3A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10814D91">
            <w:pPr>
              <w:snapToGrid w:val="0"/>
              <w:jc w:val="left"/>
              <w:rPr>
                <w:rFonts w:ascii="Times New Roman" w:hAnsi="Times New Roman" w:eastAsia="宋体" w:cs="Times New Roman"/>
                <w:kern w:val="0"/>
                <w:sz w:val="18"/>
                <w:szCs w:val="18"/>
              </w:rPr>
            </w:pPr>
          </w:p>
        </w:tc>
        <w:tc>
          <w:tcPr>
            <w:tcW w:w="1662" w:type="dxa"/>
            <w:vMerge w:val="continue"/>
            <w:vAlign w:val="center"/>
          </w:tcPr>
          <w:p w14:paraId="4B897CF5">
            <w:pPr>
              <w:snapToGrid w:val="0"/>
              <w:jc w:val="center"/>
              <w:rPr>
                <w:rFonts w:ascii="Times New Roman" w:hAnsi="Times New Roman" w:eastAsia="宋体" w:cs="Times New Roman"/>
                <w:kern w:val="0"/>
                <w:sz w:val="18"/>
                <w:szCs w:val="18"/>
              </w:rPr>
            </w:pPr>
          </w:p>
        </w:tc>
        <w:tc>
          <w:tcPr>
            <w:tcW w:w="4785" w:type="dxa"/>
            <w:vAlign w:val="center"/>
          </w:tcPr>
          <w:p w14:paraId="748B8F34">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Q17: The cultural expression in the explanations and icons is appropriate and consistent with the site's character.</w:t>
            </w:r>
          </w:p>
        </w:tc>
      </w:tr>
      <w:tr w14:paraId="43E7380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restart"/>
            <w:vAlign w:val="center"/>
          </w:tcPr>
          <w:p w14:paraId="4156E25E">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Tourists' evaluations of cultural understanding, cultural perception, and immersive experience: Q18-Q27</w:t>
            </w:r>
          </w:p>
        </w:tc>
        <w:tc>
          <w:tcPr>
            <w:tcW w:w="1662" w:type="dxa"/>
            <w:vMerge w:val="restart"/>
            <w:vAlign w:val="center"/>
          </w:tcPr>
          <w:p w14:paraId="3D3706EA">
            <w:pPr>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Cultural understanding (CU)</w:t>
            </w:r>
          </w:p>
        </w:tc>
        <w:tc>
          <w:tcPr>
            <w:tcW w:w="4785" w:type="dxa"/>
            <w:vAlign w:val="center"/>
          </w:tcPr>
          <w:p w14:paraId="031125E3">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Q18: I can accurately grasp the historical semantics and symbolic meanings presented here.</w:t>
            </w:r>
          </w:p>
        </w:tc>
      </w:tr>
      <w:tr w14:paraId="32DFC80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185C3D3C">
            <w:pPr>
              <w:snapToGrid w:val="0"/>
              <w:jc w:val="left"/>
              <w:rPr>
                <w:rFonts w:ascii="Times New Roman" w:hAnsi="Times New Roman" w:eastAsia="宋体" w:cs="Times New Roman"/>
                <w:kern w:val="0"/>
                <w:sz w:val="18"/>
                <w:szCs w:val="18"/>
              </w:rPr>
            </w:pPr>
          </w:p>
        </w:tc>
        <w:tc>
          <w:tcPr>
            <w:tcW w:w="1662" w:type="dxa"/>
            <w:vMerge w:val="continue"/>
            <w:vAlign w:val="center"/>
          </w:tcPr>
          <w:p w14:paraId="25A5DA20">
            <w:pPr>
              <w:snapToGrid w:val="0"/>
              <w:jc w:val="center"/>
              <w:rPr>
                <w:rFonts w:ascii="Times New Roman" w:hAnsi="Times New Roman" w:eastAsia="宋体" w:cs="Times New Roman"/>
                <w:kern w:val="0"/>
                <w:sz w:val="18"/>
                <w:szCs w:val="18"/>
              </w:rPr>
            </w:pPr>
          </w:p>
        </w:tc>
        <w:tc>
          <w:tcPr>
            <w:tcW w:w="4785" w:type="dxa"/>
            <w:vAlign w:val="center"/>
          </w:tcPr>
          <w:p w14:paraId="66ADC15C">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Q19: I can follow a clear narrative thread to understand the cultural theme of this landscape.</w:t>
            </w:r>
          </w:p>
        </w:tc>
      </w:tr>
      <w:tr w14:paraId="5292B8C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4E0A8E90">
            <w:pPr>
              <w:snapToGrid w:val="0"/>
              <w:jc w:val="left"/>
              <w:rPr>
                <w:rFonts w:ascii="Times New Roman" w:hAnsi="Times New Roman" w:eastAsia="宋体" w:cs="Times New Roman"/>
                <w:kern w:val="0"/>
                <w:sz w:val="18"/>
                <w:szCs w:val="18"/>
              </w:rPr>
            </w:pPr>
          </w:p>
        </w:tc>
        <w:tc>
          <w:tcPr>
            <w:tcW w:w="1662" w:type="dxa"/>
            <w:vMerge w:val="continue"/>
            <w:vAlign w:val="center"/>
          </w:tcPr>
          <w:p w14:paraId="060BFD1D">
            <w:pPr>
              <w:snapToGrid w:val="0"/>
              <w:jc w:val="center"/>
              <w:rPr>
                <w:rFonts w:ascii="Times New Roman" w:hAnsi="Times New Roman" w:eastAsia="宋体" w:cs="Times New Roman"/>
                <w:kern w:val="0"/>
                <w:sz w:val="18"/>
                <w:szCs w:val="18"/>
              </w:rPr>
            </w:pPr>
          </w:p>
        </w:tc>
        <w:tc>
          <w:tcPr>
            <w:tcW w:w="4785" w:type="dxa"/>
            <w:vAlign w:val="center"/>
          </w:tcPr>
          <w:p w14:paraId="14F9EA00">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Q20: The on-site information does not cause me ambiguity or misinterpretation.</w:t>
            </w:r>
          </w:p>
        </w:tc>
      </w:tr>
      <w:tr w14:paraId="1103918A">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61C7554D">
            <w:pPr>
              <w:snapToGrid w:val="0"/>
              <w:jc w:val="left"/>
              <w:rPr>
                <w:rFonts w:ascii="Times New Roman" w:hAnsi="Times New Roman" w:eastAsia="宋体" w:cs="Times New Roman"/>
                <w:kern w:val="0"/>
                <w:sz w:val="18"/>
                <w:szCs w:val="18"/>
              </w:rPr>
            </w:pPr>
          </w:p>
        </w:tc>
        <w:tc>
          <w:tcPr>
            <w:tcW w:w="1662" w:type="dxa"/>
            <w:vMerge w:val="restart"/>
            <w:vAlign w:val="center"/>
          </w:tcPr>
          <w:p w14:paraId="37204EDA">
            <w:pPr>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Cultural perception (CP)</w:t>
            </w:r>
          </w:p>
        </w:tc>
        <w:tc>
          <w:tcPr>
            <w:tcW w:w="4785" w:type="dxa"/>
            <w:vAlign w:val="center"/>
          </w:tcPr>
          <w:p w14:paraId="6D7DDFE7">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Q21: I feel the cultural atmosphere is unified and internally consistent.</w:t>
            </w:r>
          </w:p>
        </w:tc>
      </w:tr>
      <w:tr w14:paraId="361BA57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50F30EE8">
            <w:pPr>
              <w:snapToGrid w:val="0"/>
              <w:jc w:val="left"/>
              <w:rPr>
                <w:rFonts w:ascii="Times New Roman" w:hAnsi="Times New Roman" w:eastAsia="宋体" w:cs="Times New Roman"/>
                <w:kern w:val="0"/>
                <w:sz w:val="18"/>
                <w:szCs w:val="18"/>
              </w:rPr>
            </w:pPr>
          </w:p>
        </w:tc>
        <w:tc>
          <w:tcPr>
            <w:tcW w:w="1662" w:type="dxa"/>
            <w:vMerge w:val="continue"/>
            <w:vAlign w:val="center"/>
          </w:tcPr>
          <w:p w14:paraId="178FC7D4">
            <w:pPr>
              <w:snapToGrid w:val="0"/>
              <w:jc w:val="center"/>
              <w:rPr>
                <w:rFonts w:ascii="Times New Roman" w:hAnsi="Times New Roman" w:eastAsia="宋体" w:cs="Times New Roman"/>
                <w:kern w:val="0"/>
                <w:sz w:val="18"/>
                <w:szCs w:val="18"/>
              </w:rPr>
            </w:pPr>
          </w:p>
        </w:tc>
        <w:tc>
          <w:tcPr>
            <w:tcW w:w="4785" w:type="dxa"/>
            <w:vAlign w:val="center"/>
          </w:tcPr>
          <w:p w14:paraId="01F1D8ED">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Q22: The spirit of the place / artistic conception is clearly expressed, making it easy for me to form an overall impression.</w:t>
            </w:r>
          </w:p>
        </w:tc>
      </w:tr>
      <w:tr w14:paraId="3412345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5DA75D89">
            <w:pPr>
              <w:snapToGrid w:val="0"/>
              <w:jc w:val="left"/>
              <w:rPr>
                <w:rFonts w:ascii="Times New Roman" w:hAnsi="Times New Roman" w:eastAsia="宋体" w:cs="Times New Roman"/>
                <w:kern w:val="0"/>
                <w:sz w:val="18"/>
                <w:szCs w:val="18"/>
              </w:rPr>
            </w:pPr>
          </w:p>
        </w:tc>
        <w:tc>
          <w:tcPr>
            <w:tcW w:w="1662" w:type="dxa"/>
            <w:vMerge w:val="continue"/>
            <w:vAlign w:val="center"/>
          </w:tcPr>
          <w:p w14:paraId="78BC2E0D">
            <w:pPr>
              <w:snapToGrid w:val="0"/>
              <w:jc w:val="center"/>
              <w:rPr>
                <w:rFonts w:ascii="Times New Roman" w:hAnsi="Times New Roman" w:eastAsia="宋体" w:cs="Times New Roman"/>
                <w:kern w:val="0"/>
                <w:sz w:val="18"/>
                <w:szCs w:val="18"/>
              </w:rPr>
            </w:pPr>
          </w:p>
        </w:tc>
        <w:tc>
          <w:tcPr>
            <w:tcW w:w="4785" w:type="dxa"/>
            <w:vAlign w:val="center"/>
          </w:tcPr>
          <w:p w14:paraId="663FAE65">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Q23: The visual language is harmonious with the environment, without a noticeable sense of incongruity.</w:t>
            </w:r>
          </w:p>
        </w:tc>
      </w:tr>
      <w:tr w14:paraId="69987895">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PrEx>
        <w:trPr>
          <w:jc w:val="center"/>
        </w:trPr>
        <w:tc>
          <w:tcPr>
            <w:tcW w:w="1859" w:type="dxa"/>
            <w:vMerge w:val="continue"/>
            <w:vAlign w:val="center"/>
          </w:tcPr>
          <w:p w14:paraId="396E59FA">
            <w:pPr>
              <w:snapToGrid w:val="0"/>
              <w:jc w:val="left"/>
              <w:rPr>
                <w:rFonts w:ascii="Times New Roman" w:hAnsi="Times New Roman" w:eastAsia="宋体" w:cs="Times New Roman"/>
                <w:kern w:val="0"/>
                <w:sz w:val="18"/>
                <w:szCs w:val="18"/>
              </w:rPr>
            </w:pPr>
          </w:p>
        </w:tc>
        <w:tc>
          <w:tcPr>
            <w:tcW w:w="1662" w:type="dxa"/>
            <w:vMerge w:val="restart"/>
            <w:vAlign w:val="center"/>
          </w:tcPr>
          <w:p w14:paraId="597E8F08">
            <w:pPr>
              <w:snapToGrid w:val="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Immersion (IM)</w:t>
            </w:r>
          </w:p>
        </w:tc>
        <w:tc>
          <w:tcPr>
            <w:tcW w:w="4785" w:type="dxa"/>
            <w:vAlign w:val="center"/>
          </w:tcPr>
          <w:p w14:paraId="6741FD1F">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Q24: I remain focused during my viewing and am not easily interrupted.</w:t>
            </w:r>
          </w:p>
        </w:tc>
      </w:tr>
      <w:tr w14:paraId="5A1CD71A">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1956E2AB">
            <w:pPr>
              <w:snapToGrid w:val="0"/>
              <w:jc w:val="left"/>
              <w:rPr>
                <w:rFonts w:ascii="Times New Roman" w:hAnsi="Times New Roman" w:eastAsia="宋体" w:cs="Times New Roman"/>
                <w:kern w:val="0"/>
                <w:sz w:val="18"/>
                <w:szCs w:val="18"/>
              </w:rPr>
            </w:pPr>
          </w:p>
        </w:tc>
        <w:tc>
          <w:tcPr>
            <w:tcW w:w="1662" w:type="dxa"/>
            <w:vMerge w:val="continue"/>
            <w:vAlign w:val="center"/>
          </w:tcPr>
          <w:p w14:paraId="35427B3C">
            <w:pPr>
              <w:snapToGrid w:val="0"/>
              <w:jc w:val="center"/>
              <w:rPr>
                <w:rFonts w:ascii="Times New Roman" w:hAnsi="Times New Roman" w:eastAsia="宋体" w:cs="Times New Roman"/>
                <w:kern w:val="0"/>
                <w:sz w:val="18"/>
                <w:szCs w:val="18"/>
              </w:rPr>
            </w:pPr>
          </w:p>
        </w:tc>
        <w:tc>
          <w:tcPr>
            <w:tcW w:w="4785" w:type="dxa"/>
            <w:vAlign w:val="center"/>
          </w:tcPr>
          <w:p w14:paraId="527E80B7">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Q25: I can easily imagine myself in the relevant historical context.</w:t>
            </w:r>
          </w:p>
        </w:tc>
      </w:tr>
      <w:tr w14:paraId="3599A84D">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1F74EC7F">
            <w:pPr>
              <w:snapToGrid w:val="0"/>
              <w:jc w:val="left"/>
              <w:rPr>
                <w:rFonts w:ascii="Times New Roman" w:hAnsi="Times New Roman" w:eastAsia="宋体" w:cs="Times New Roman"/>
                <w:kern w:val="0"/>
                <w:sz w:val="18"/>
                <w:szCs w:val="18"/>
              </w:rPr>
            </w:pPr>
          </w:p>
        </w:tc>
        <w:tc>
          <w:tcPr>
            <w:tcW w:w="1662" w:type="dxa"/>
            <w:vMerge w:val="continue"/>
            <w:vAlign w:val="center"/>
          </w:tcPr>
          <w:p w14:paraId="63A174C3">
            <w:pPr>
              <w:snapToGrid w:val="0"/>
              <w:jc w:val="center"/>
              <w:rPr>
                <w:rFonts w:ascii="Times New Roman" w:hAnsi="Times New Roman" w:eastAsia="宋体" w:cs="Times New Roman"/>
                <w:kern w:val="0"/>
                <w:sz w:val="18"/>
                <w:szCs w:val="18"/>
              </w:rPr>
            </w:pPr>
          </w:p>
        </w:tc>
        <w:tc>
          <w:tcPr>
            <w:tcW w:w="4785" w:type="dxa"/>
            <w:vAlign w:val="center"/>
          </w:tcPr>
          <w:p w14:paraId="4409589F">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Q26: Modern functional elements do not significantly disrupt my sense of presence/immersion.</w:t>
            </w:r>
          </w:p>
        </w:tc>
      </w:tr>
      <w:tr w14:paraId="1343C0B6">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1859" w:type="dxa"/>
            <w:vMerge w:val="continue"/>
            <w:vAlign w:val="center"/>
          </w:tcPr>
          <w:p w14:paraId="62DA51F6">
            <w:pPr>
              <w:snapToGrid w:val="0"/>
              <w:jc w:val="left"/>
              <w:rPr>
                <w:rFonts w:ascii="Times New Roman" w:hAnsi="Times New Roman" w:eastAsia="宋体" w:cs="Times New Roman"/>
                <w:kern w:val="0"/>
                <w:sz w:val="18"/>
                <w:szCs w:val="18"/>
              </w:rPr>
            </w:pPr>
          </w:p>
        </w:tc>
        <w:tc>
          <w:tcPr>
            <w:tcW w:w="1662" w:type="dxa"/>
            <w:vMerge w:val="continue"/>
            <w:vAlign w:val="center"/>
          </w:tcPr>
          <w:p w14:paraId="6C8728D9">
            <w:pPr>
              <w:snapToGrid w:val="0"/>
              <w:jc w:val="center"/>
              <w:rPr>
                <w:rFonts w:ascii="Times New Roman" w:hAnsi="Times New Roman" w:eastAsia="宋体" w:cs="Times New Roman"/>
                <w:kern w:val="0"/>
                <w:sz w:val="18"/>
                <w:szCs w:val="18"/>
              </w:rPr>
            </w:pPr>
          </w:p>
        </w:tc>
        <w:tc>
          <w:tcPr>
            <w:tcW w:w="4785" w:type="dxa"/>
            <w:vAlign w:val="center"/>
          </w:tcPr>
          <w:p w14:paraId="18370EE9">
            <w:pPr>
              <w:snapToGrid w:val="0"/>
              <w:jc w:val="left"/>
              <w:rPr>
                <w:rFonts w:ascii="Times New Roman" w:hAnsi="Times New Roman" w:eastAsia="宋体" w:cs="Times New Roman"/>
                <w:kern w:val="0"/>
                <w:sz w:val="18"/>
                <w:szCs w:val="18"/>
              </w:rPr>
            </w:pPr>
            <w:r>
              <w:rPr>
                <w:rFonts w:ascii="Times New Roman" w:hAnsi="Times New Roman" w:eastAsia="宋体" w:cs="Times New Roman"/>
                <w:kern w:val="0"/>
                <w:sz w:val="18"/>
                <w:szCs w:val="18"/>
              </w:rPr>
              <w:t>Q27: Overall, I feel engaged and willing to stay longer.</w:t>
            </w:r>
          </w:p>
        </w:tc>
      </w:tr>
    </w:tbl>
    <w:p w14:paraId="2944C535">
      <w:pPr>
        <w:rPr>
          <w:rFonts w:ascii="Times New Roman" w:hAnsi="Times New Roman" w:cs="Times New Roman"/>
        </w:rPr>
      </w:pPr>
    </w:p>
    <w:p w14:paraId="4E4E59D8">
      <w:pPr>
        <w:rPr>
          <w:rFonts w:ascii="Times New Roman" w:hAnsi="Times New Roman" w:cs="Times New Roman"/>
        </w:rPr>
      </w:pPr>
    </w:p>
    <w:p w14:paraId="2ED99A46">
      <w:pPr>
        <w:rPr>
          <w:rFonts w:ascii="Times New Roman" w:hAnsi="Times New Roman" w:cs="Times New Roman"/>
        </w:rPr>
      </w:pPr>
    </w:p>
    <w:p w14:paraId="6D002AFF">
      <w:pPr>
        <w:rPr>
          <w:rFonts w:ascii="Times New Roman" w:hAnsi="Times New Roman" w:cs="Times New Roman"/>
        </w:rPr>
      </w:pPr>
    </w:p>
    <w:p w14:paraId="3A7E61FD">
      <w:pPr>
        <w:rPr>
          <w:rFonts w:ascii="Times New Roman" w:hAnsi="Times New Roman" w:cs="Times New Roman"/>
        </w:rPr>
      </w:pPr>
    </w:p>
    <w:p w14:paraId="1D81E960">
      <w:pPr>
        <w:rPr>
          <w:rFonts w:ascii="Times New Roman" w:hAnsi="Times New Roman" w:cs="Times New Roman"/>
        </w:rPr>
      </w:pPr>
    </w:p>
    <w:p w14:paraId="1BE2BFC6">
      <w:pPr>
        <w:rPr>
          <w:rFonts w:ascii="Times New Roman" w:hAnsi="Times New Roman" w:cs="Times New Roman"/>
          <w:b/>
          <w:bCs/>
        </w:rPr>
      </w:pPr>
      <w:r>
        <w:rPr>
          <w:rFonts w:ascii="Times New Roman" w:hAnsi="Times New Roman" w:cs="Times New Roman"/>
          <w:b/>
          <w:bCs/>
        </w:rPr>
        <w:t>Table A.</w:t>
      </w:r>
      <w:r>
        <w:rPr>
          <w:rFonts w:hint="eastAsia" w:ascii="Times New Roman" w:hAnsi="Times New Roman" w:cs="Times New Roman"/>
          <w:b/>
          <w:bCs/>
        </w:rPr>
        <w:t>7</w:t>
      </w:r>
      <w:r>
        <w:rPr>
          <w:rFonts w:ascii="Times New Roman" w:hAnsi="Times New Roman" w:cs="Times New Roman"/>
          <w:b/>
          <w:bCs/>
        </w:rPr>
        <w:t xml:space="preserve"> </w:t>
      </w:r>
    </w:p>
    <w:p w14:paraId="64E3D5BC">
      <w:pPr>
        <w:rPr>
          <w:rFonts w:ascii="Times New Roman" w:hAnsi="Times New Roman" w:cs="Times New Roman"/>
        </w:rPr>
      </w:pPr>
      <w:r>
        <w:rPr>
          <w:rFonts w:ascii="Times New Roman" w:hAnsi="Times New Roman" w:cs="Times New Roman"/>
        </w:rPr>
        <w:t>Cronbach’s α reliability results for each dimension and the overall scale</w:t>
      </w:r>
    </w:p>
    <w:tbl>
      <w:tblPr>
        <w:tblStyle w:val="18"/>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92"/>
        <w:gridCol w:w="2493"/>
        <w:gridCol w:w="2221"/>
      </w:tblGrid>
      <w:tr w14:paraId="1096EA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blHeader/>
          <w:jc w:val="center"/>
        </w:trPr>
        <w:tc>
          <w:tcPr>
            <w:tcW w:w="2162" w:type="pct"/>
            <w:tcBorders>
              <w:top w:val="single" w:color="000000" w:sz="12" w:space="0"/>
              <w:bottom w:val="single" w:color="000000" w:sz="4" w:space="0"/>
            </w:tcBorders>
            <w:vAlign w:val="center"/>
          </w:tcPr>
          <w:p w14:paraId="138B8017">
            <w:pPr>
              <w:jc w:val="center"/>
              <w:rPr>
                <w:rFonts w:ascii="Times New Roman" w:hAnsi="Times New Roman" w:eastAsia="等线" w:cs="Times New Roman"/>
                <w:b/>
                <w:bCs/>
                <w:sz w:val="18"/>
                <w:szCs w:val="18"/>
              </w:rPr>
            </w:pPr>
            <w:r>
              <w:rPr>
                <w:rFonts w:ascii="Times New Roman" w:hAnsi="Times New Roman" w:eastAsia="等线" w:cs="Times New Roman"/>
                <w:b/>
                <w:bCs/>
                <w:sz w:val="18"/>
                <w:szCs w:val="18"/>
              </w:rPr>
              <w:t>Dimension</w:t>
            </w:r>
          </w:p>
        </w:tc>
        <w:tc>
          <w:tcPr>
            <w:tcW w:w="1501" w:type="pct"/>
            <w:tcBorders>
              <w:top w:val="single" w:color="000000" w:sz="12" w:space="0"/>
              <w:bottom w:val="single" w:color="000000" w:sz="4" w:space="0"/>
            </w:tcBorders>
            <w:vAlign w:val="center"/>
          </w:tcPr>
          <w:p w14:paraId="69BDB052">
            <w:pPr>
              <w:jc w:val="center"/>
              <w:rPr>
                <w:rFonts w:ascii="Times New Roman" w:hAnsi="Times New Roman" w:eastAsia="等线" w:cs="Times New Roman"/>
                <w:b/>
                <w:bCs/>
                <w:sz w:val="18"/>
                <w:szCs w:val="18"/>
              </w:rPr>
            </w:pPr>
            <w:r>
              <w:rPr>
                <w:rFonts w:ascii="Times New Roman" w:hAnsi="Times New Roman" w:eastAsia="等线" w:cs="Times New Roman"/>
                <w:b/>
                <w:bCs/>
                <w:sz w:val="18"/>
                <w:szCs w:val="18"/>
              </w:rPr>
              <w:t>Scope of Questions</w:t>
            </w:r>
          </w:p>
        </w:tc>
        <w:tc>
          <w:tcPr>
            <w:tcW w:w="1338" w:type="pct"/>
            <w:tcBorders>
              <w:top w:val="single" w:color="000000" w:sz="12" w:space="0"/>
              <w:bottom w:val="single" w:color="000000" w:sz="4" w:space="0"/>
            </w:tcBorders>
            <w:vAlign w:val="center"/>
          </w:tcPr>
          <w:p w14:paraId="2D221BF2">
            <w:pPr>
              <w:jc w:val="center"/>
              <w:rPr>
                <w:rFonts w:ascii="Times New Roman" w:hAnsi="Times New Roman" w:eastAsia="等线" w:cs="Times New Roman"/>
                <w:b/>
                <w:bCs/>
                <w:sz w:val="18"/>
                <w:szCs w:val="18"/>
              </w:rPr>
            </w:pPr>
            <w:r>
              <w:rPr>
                <w:rFonts w:ascii="Times New Roman" w:hAnsi="Times New Roman" w:eastAsia="等线" w:cs="Times New Roman"/>
                <w:b/>
                <w:bCs/>
                <w:color w:val="000000"/>
                <w:kern w:val="0"/>
                <w:sz w:val="18"/>
                <w:szCs w:val="18"/>
                <w:lang w:bidi="ar"/>
              </w:rPr>
              <w:t>Cronbach’s α</w:t>
            </w:r>
          </w:p>
        </w:tc>
      </w:tr>
      <w:tr w14:paraId="49175F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4" w:space="0"/>
            </w:tcBorders>
            <w:vAlign w:val="center"/>
          </w:tcPr>
          <w:p w14:paraId="08BABD27">
            <w:pPr>
              <w:jc w:val="left"/>
              <w:rPr>
                <w:rFonts w:ascii="Times New Roman" w:hAnsi="Times New Roman" w:eastAsia="等线" w:cs="Times New Roman"/>
                <w:sz w:val="18"/>
                <w:szCs w:val="18"/>
              </w:rPr>
            </w:pPr>
            <w:r>
              <w:rPr>
                <w:rFonts w:ascii="Times New Roman" w:hAnsi="Times New Roman" w:eastAsia="等线" w:cs="Times New Roman"/>
                <w:sz w:val="18"/>
                <w:szCs w:val="18"/>
              </w:rPr>
              <w:t>Quantity/Scale</w:t>
            </w:r>
          </w:p>
        </w:tc>
        <w:tc>
          <w:tcPr>
            <w:tcW w:w="1501" w:type="pct"/>
            <w:tcBorders>
              <w:top w:val="single" w:color="000000" w:sz="4" w:space="0"/>
              <w:bottom w:val="single" w:color="000000" w:sz="4" w:space="0"/>
            </w:tcBorders>
            <w:vAlign w:val="center"/>
          </w:tcPr>
          <w:p w14:paraId="7EF72C40">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Q6–Q7</w:t>
            </w:r>
          </w:p>
        </w:tc>
        <w:tc>
          <w:tcPr>
            <w:tcW w:w="1338" w:type="pct"/>
            <w:tcBorders>
              <w:top w:val="single" w:color="000000" w:sz="4" w:space="0"/>
              <w:bottom w:val="single" w:color="000000" w:sz="4" w:space="0"/>
            </w:tcBorders>
            <w:vAlign w:val="center"/>
          </w:tcPr>
          <w:p w14:paraId="6B697E18">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0.883</w:t>
            </w:r>
          </w:p>
        </w:tc>
      </w:tr>
      <w:tr w14:paraId="79F029F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4" w:space="0"/>
            </w:tcBorders>
            <w:vAlign w:val="center"/>
          </w:tcPr>
          <w:p w14:paraId="20C3D3EE">
            <w:pPr>
              <w:jc w:val="left"/>
              <w:rPr>
                <w:rFonts w:ascii="Times New Roman" w:hAnsi="Times New Roman" w:eastAsia="等线" w:cs="Times New Roman"/>
                <w:sz w:val="18"/>
                <w:szCs w:val="18"/>
              </w:rPr>
            </w:pPr>
            <w:r>
              <w:rPr>
                <w:rFonts w:ascii="Times New Roman" w:hAnsi="Times New Roman" w:eastAsia="等线" w:cs="Times New Roman"/>
                <w:sz w:val="18"/>
                <w:szCs w:val="18"/>
              </w:rPr>
              <w:t>Shape/Symbol salience</w:t>
            </w:r>
          </w:p>
        </w:tc>
        <w:tc>
          <w:tcPr>
            <w:tcW w:w="1501" w:type="pct"/>
            <w:tcBorders>
              <w:top w:val="single" w:color="000000" w:sz="4" w:space="0"/>
              <w:bottom w:val="single" w:color="000000" w:sz="4" w:space="0"/>
            </w:tcBorders>
            <w:vAlign w:val="center"/>
          </w:tcPr>
          <w:p w14:paraId="13A626BB">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Q8–Q9</w:t>
            </w:r>
          </w:p>
        </w:tc>
        <w:tc>
          <w:tcPr>
            <w:tcW w:w="1338" w:type="pct"/>
            <w:tcBorders>
              <w:top w:val="single" w:color="000000" w:sz="4" w:space="0"/>
              <w:bottom w:val="single" w:color="000000" w:sz="4" w:space="0"/>
            </w:tcBorders>
            <w:vAlign w:val="center"/>
          </w:tcPr>
          <w:p w14:paraId="6828A288">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0.873</w:t>
            </w:r>
          </w:p>
        </w:tc>
      </w:tr>
      <w:tr w14:paraId="0F91733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4" w:space="0"/>
            </w:tcBorders>
            <w:vAlign w:val="center"/>
          </w:tcPr>
          <w:p w14:paraId="0D881FBD">
            <w:pPr>
              <w:jc w:val="left"/>
              <w:rPr>
                <w:rFonts w:ascii="Times New Roman" w:hAnsi="Times New Roman" w:eastAsia="等线" w:cs="Times New Roman"/>
                <w:sz w:val="18"/>
                <w:szCs w:val="18"/>
              </w:rPr>
            </w:pPr>
            <w:r>
              <w:rPr>
                <w:rFonts w:ascii="Times New Roman" w:hAnsi="Times New Roman" w:eastAsia="等线" w:cs="Times New Roman"/>
                <w:sz w:val="18"/>
                <w:szCs w:val="18"/>
              </w:rPr>
              <w:t>Information hierarchy/Priority</w:t>
            </w:r>
          </w:p>
        </w:tc>
        <w:tc>
          <w:tcPr>
            <w:tcW w:w="1501" w:type="pct"/>
            <w:tcBorders>
              <w:top w:val="single" w:color="000000" w:sz="4" w:space="0"/>
              <w:bottom w:val="single" w:color="000000" w:sz="4" w:space="0"/>
            </w:tcBorders>
            <w:vAlign w:val="center"/>
          </w:tcPr>
          <w:p w14:paraId="3A365221">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Q10–Q11</w:t>
            </w:r>
          </w:p>
        </w:tc>
        <w:tc>
          <w:tcPr>
            <w:tcW w:w="1338" w:type="pct"/>
            <w:tcBorders>
              <w:top w:val="single" w:color="000000" w:sz="4" w:space="0"/>
              <w:bottom w:val="single" w:color="000000" w:sz="4" w:space="0"/>
            </w:tcBorders>
            <w:vAlign w:val="center"/>
          </w:tcPr>
          <w:p w14:paraId="50F985DE">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0.920</w:t>
            </w:r>
          </w:p>
        </w:tc>
      </w:tr>
      <w:tr w14:paraId="0B75AF3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4" w:space="0"/>
            </w:tcBorders>
            <w:vAlign w:val="center"/>
          </w:tcPr>
          <w:p w14:paraId="59FE999D">
            <w:pPr>
              <w:jc w:val="left"/>
              <w:rPr>
                <w:rFonts w:ascii="Times New Roman" w:hAnsi="Times New Roman" w:eastAsia="等线" w:cs="Times New Roman"/>
                <w:sz w:val="18"/>
                <w:szCs w:val="18"/>
              </w:rPr>
            </w:pPr>
            <w:r>
              <w:rPr>
                <w:rFonts w:ascii="Times New Roman" w:hAnsi="Times New Roman" w:eastAsia="等线" w:cs="Times New Roman"/>
                <w:sz w:val="18"/>
                <w:szCs w:val="18"/>
              </w:rPr>
              <w:t>Color discordance</w:t>
            </w:r>
          </w:p>
        </w:tc>
        <w:tc>
          <w:tcPr>
            <w:tcW w:w="1501" w:type="pct"/>
            <w:tcBorders>
              <w:top w:val="single" w:color="000000" w:sz="4" w:space="0"/>
              <w:bottom w:val="single" w:color="000000" w:sz="4" w:space="0"/>
            </w:tcBorders>
            <w:vAlign w:val="center"/>
          </w:tcPr>
          <w:p w14:paraId="17580D8E">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Q12–Q13</w:t>
            </w:r>
          </w:p>
        </w:tc>
        <w:tc>
          <w:tcPr>
            <w:tcW w:w="1338" w:type="pct"/>
            <w:tcBorders>
              <w:top w:val="single" w:color="000000" w:sz="4" w:space="0"/>
              <w:bottom w:val="single" w:color="000000" w:sz="4" w:space="0"/>
            </w:tcBorders>
            <w:vAlign w:val="center"/>
          </w:tcPr>
          <w:p w14:paraId="280CBB2F">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0.870</w:t>
            </w:r>
          </w:p>
        </w:tc>
      </w:tr>
      <w:tr w14:paraId="162D3C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4" w:space="0"/>
            </w:tcBorders>
            <w:vAlign w:val="center"/>
          </w:tcPr>
          <w:p w14:paraId="3CCF090D">
            <w:pPr>
              <w:jc w:val="left"/>
              <w:rPr>
                <w:rFonts w:ascii="Times New Roman" w:hAnsi="Times New Roman" w:eastAsia="等线" w:cs="Times New Roman"/>
                <w:sz w:val="18"/>
                <w:szCs w:val="18"/>
              </w:rPr>
            </w:pPr>
            <w:r>
              <w:rPr>
                <w:rFonts w:ascii="Times New Roman" w:hAnsi="Times New Roman" w:eastAsia="等线" w:cs="Times New Roman"/>
                <w:sz w:val="18"/>
                <w:szCs w:val="18"/>
              </w:rPr>
              <w:t>Spatial intrusion/Occlusion</w:t>
            </w:r>
          </w:p>
        </w:tc>
        <w:tc>
          <w:tcPr>
            <w:tcW w:w="1501" w:type="pct"/>
            <w:tcBorders>
              <w:top w:val="single" w:color="000000" w:sz="4" w:space="0"/>
              <w:bottom w:val="single" w:color="000000" w:sz="4" w:space="0"/>
            </w:tcBorders>
            <w:vAlign w:val="center"/>
          </w:tcPr>
          <w:p w14:paraId="6D9B032C">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Q14–Q15</w:t>
            </w:r>
          </w:p>
        </w:tc>
        <w:tc>
          <w:tcPr>
            <w:tcW w:w="1338" w:type="pct"/>
            <w:tcBorders>
              <w:top w:val="single" w:color="000000" w:sz="4" w:space="0"/>
              <w:bottom w:val="single" w:color="000000" w:sz="4" w:space="0"/>
            </w:tcBorders>
            <w:vAlign w:val="center"/>
          </w:tcPr>
          <w:p w14:paraId="6ED5ABD0">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0.890</w:t>
            </w:r>
          </w:p>
        </w:tc>
      </w:tr>
      <w:tr w14:paraId="7F0AA0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4" w:space="0"/>
            </w:tcBorders>
            <w:vAlign w:val="center"/>
          </w:tcPr>
          <w:p w14:paraId="6066AC4C">
            <w:pPr>
              <w:jc w:val="left"/>
              <w:rPr>
                <w:rFonts w:ascii="Times New Roman" w:hAnsi="Times New Roman" w:eastAsia="等线" w:cs="Times New Roman"/>
                <w:sz w:val="18"/>
                <w:szCs w:val="18"/>
              </w:rPr>
            </w:pPr>
            <w:r>
              <w:rPr>
                <w:rFonts w:ascii="Times New Roman" w:hAnsi="Times New Roman" w:eastAsia="等线" w:cs="Times New Roman"/>
                <w:sz w:val="18"/>
                <w:szCs w:val="18"/>
              </w:rPr>
              <w:t>Contextual consistency</w:t>
            </w:r>
          </w:p>
        </w:tc>
        <w:tc>
          <w:tcPr>
            <w:tcW w:w="1501" w:type="pct"/>
            <w:tcBorders>
              <w:top w:val="single" w:color="000000" w:sz="4" w:space="0"/>
              <w:bottom w:val="single" w:color="000000" w:sz="4" w:space="0"/>
            </w:tcBorders>
            <w:vAlign w:val="center"/>
          </w:tcPr>
          <w:p w14:paraId="5DECC210">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Q16–Q17</w:t>
            </w:r>
          </w:p>
        </w:tc>
        <w:tc>
          <w:tcPr>
            <w:tcW w:w="1338" w:type="pct"/>
            <w:tcBorders>
              <w:top w:val="single" w:color="000000" w:sz="4" w:space="0"/>
              <w:bottom w:val="single" w:color="000000" w:sz="4" w:space="0"/>
            </w:tcBorders>
            <w:vAlign w:val="center"/>
          </w:tcPr>
          <w:p w14:paraId="5EDDD393">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0.936</w:t>
            </w:r>
          </w:p>
        </w:tc>
      </w:tr>
      <w:tr w14:paraId="63F6502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4" w:space="0"/>
            </w:tcBorders>
            <w:vAlign w:val="center"/>
          </w:tcPr>
          <w:p w14:paraId="55BFBA2A">
            <w:pPr>
              <w:jc w:val="left"/>
              <w:rPr>
                <w:rFonts w:ascii="Times New Roman" w:hAnsi="Times New Roman" w:eastAsia="等线" w:cs="Times New Roman"/>
                <w:sz w:val="18"/>
                <w:szCs w:val="18"/>
              </w:rPr>
            </w:pPr>
            <w:r>
              <w:rPr>
                <w:rFonts w:ascii="Times New Roman" w:hAnsi="Times New Roman" w:eastAsia="等线" w:cs="Times New Roman"/>
                <w:sz w:val="18"/>
                <w:szCs w:val="18"/>
              </w:rPr>
              <w:t>Cultural understanding (CU)</w:t>
            </w:r>
          </w:p>
        </w:tc>
        <w:tc>
          <w:tcPr>
            <w:tcW w:w="1501" w:type="pct"/>
            <w:tcBorders>
              <w:top w:val="single" w:color="000000" w:sz="4" w:space="0"/>
              <w:bottom w:val="single" w:color="000000" w:sz="4" w:space="0"/>
            </w:tcBorders>
            <w:vAlign w:val="center"/>
          </w:tcPr>
          <w:p w14:paraId="3755BA18">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Q18–Q20</w:t>
            </w:r>
          </w:p>
        </w:tc>
        <w:tc>
          <w:tcPr>
            <w:tcW w:w="1338" w:type="pct"/>
            <w:tcBorders>
              <w:top w:val="single" w:color="000000" w:sz="4" w:space="0"/>
              <w:bottom w:val="single" w:color="000000" w:sz="4" w:space="0"/>
            </w:tcBorders>
            <w:vAlign w:val="center"/>
          </w:tcPr>
          <w:p w14:paraId="6ED10694">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0.827</w:t>
            </w:r>
          </w:p>
        </w:tc>
      </w:tr>
      <w:tr w14:paraId="027D901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4" w:space="0"/>
            </w:tcBorders>
            <w:vAlign w:val="center"/>
          </w:tcPr>
          <w:p w14:paraId="7B6CDF45">
            <w:pPr>
              <w:jc w:val="left"/>
              <w:rPr>
                <w:rFonts w:ascii="Times New Roman" w:hAnsi="Times New Roman" w:eastAsia="等线" w:cs="Times New Roman"/>
                <w:sz w:val="18"/>
                <w:szCs w:val="18"/>
              </w:rPr>
            </w:pPr>
            <w:r>
              <w:rPr>
                <w:rFonts w:ascii="Times New Roman" w:hAnsi="Times New Roman" w:eastAsia="等线" w:cs="Times New Roman"/>
                <w:sz w:val="18"/>
                <w:szCs w:val="18"/>
              </w:rPr>
              <w:t>Cultural perception (CP)</w:t>
            </w:r>
          </w:p>
        </w:tc>
        <w:tc>
          <w:tcPr>
            <w:tcW w:w="1501" w:type="pct"/>
            <w:tcBorders>
              <w:top w:val="single" w:color="000000" w:sz="4" w:space="0"/>
              <w:bottom w:val="single" w:color="000000" w:sz="4" w:space="0"/>
            </w:tcBorders>
            <w:vAlign w:val="center"/>
          </w:tcPr>
          <w:p w14:paraId="1ABE5FBE">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Q21–Q23</w:t>
            </w:r>
          </w:p>
        </w:tc>
        <w:tc>
          <w:tcPr>
            <w:tcW w:w="1338" w:type="pct"/>
            <w:tcBorders>
              <w:top w:val="single" w:color="000000" w:sz="4" w:space="0"/>
              <w:bottom w:val="single" w:color="000000" w:sz="4" w:space="0"/>
            </w:tcBorders>
            <w:vAlign w:val="center"/>
          </w:tcPr>
          <w:p w14:paraId="146BB14D">
            <w:pPr>
              <w:jc w:val="center"/>
              <w:rPr>
                <w:rFonts w:ascii="Times New Roman" w:hAnsi="Times New Roman" w:eastAsia="等线" w:cs="Times New Roman"/>
                <w:sz w:val="18"/>
                <w:szCs w:val="18"/>
              </w:rPr>
            </w:pPr>
            <w:r>
              <w:rPr>
                <w:rFonts w:ascii="Times New Roman" w:hAnsi="Times New Roman" w:eastAsia="等线" w:cs="Times New Roman"/>
                <w:color w:val="000000"/>
                <w:kern w:val="0"/>
                <w:sz w:val="18"/>
                <w:szCs w:val="18"/>
                <w:lang w:bidi="ar"/>
              </w:rPr>
              <w:t>0.926</w:t>
            </w:r>
          </w:p>
        </w:tc>
      </w:tr>
      <w:tr w14:paraId="6FF82C8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4" w:space="0"/>
            </w:tcBorders>
            <w:vAlign w:val="center"/>
          </w:tcPr>
          <w:p w14:paraId="260CC5C0">
            <w:pPr>
              <w:jc w:val="left"/>
              <w:rPr>
                <w:rFonts w:ascii="Times New Roman" w:hAnsi="Times New Roman" w:eastAsia="等线" w:cs="Times New Roman"/>
                <w:sz w:val="18"/>
                <w:szCs w:val="18"/>
              </w:rPr>
            </w:pPr>
            <w:r>
              <w:rPr>
                <w:rFonts w:ascii="Times New Roman" w:hAnsi="Times New Roman" w:eastAsia="等线" w:cs="Times New Roman"/>
                <w:sz w:val="18"/>
                <w:szCs w:val="18"/>
              </w:rPr>
              <w:t>Immersion (IM)</w:t>
            </w:r>
          </w:p>
        </w:tc>
        <w:tc>
          <w:tcPr>
            <w:tcW w:w="1501" w:type="pct"/>
            <w:tcBorders>
              <w:top w:val="single" w:color="000000" w:sz="4" w:space="0"/>
              <w:bottom w:val="single" w:color="000000" w:sz="4" w:space="0"/>
            </w:tcBorders>
            <w:vAlign w:val="center"/>
          </w:tcPr>
          <w:p w14:paraId="530B2DF8">
            <w:pPr>
              <w:jc w:val="center"/>
              <w:rPr>
                <w:rFonts w:ascii="Times New Roman" w:hAnsi="Times New Roman" w:eastAsia="等线" w:cs="Times New Roman"/>
                <w:color w:val="000000"/>
                <w:kern w:val="0"/>
                <w:sz w:val="18"/>
                <w:szCs w:val="18"/>
                <w:lang w:bidi="ar"/>
              </w:rPr>
            </w:pPr>
            <w:r>
              <w:rPr>
                <w:rFonts w:ascii="Times New Roman" w:hAnsi="Times New Roman" w:eastAsia="等线" w:cs="Times New Roman"/>
                <w:color w:val="000000"/>
                <w:kern w:val="0"/>
                <w:sz w:val="18"/>
                <w:szCs w:val="18"/>
                <w:lang w:bidi="ar"/>
              </w:rPr>
              <w:t>Q24–Q27</w:t>
            </w:r>
          </w:p>
        </w:tc>
        <w:tc>
          <w:tcPr>
            <w:tcW w:w="1338" w:type="pct"/>
            <w:tcBorders>
              <w:top w:val="single" w:color="000000" w:sz="4" w:space="0"/>
              <w:bottom w:val="single" w:color="000000" w:sz="4" w:space="0"/>
            </w:tcBorders>
            <w:vAlign w:val="center"/>
          </w:tcPr>
          <w:p w14:paraId="6EEF5E0E">
            <w:pPr>
              <w:jc w:val="center"/>
              <w:rPr>
                <w:rFonts w:ascii="Times New Roman" w:hAnsi="Times New Roman" w:eastAsia="等线" w:cs="Times New Roman"/>
                <w:color w:val="000000"/>
                <w:kern w:val="0"/>
                <w:sz w:val="18"/>
                <w:szCs w:val="18"/>
                <w:lang w:bidi="ar"/>
              </w:rPr>
            </w:pPr>
            <w:r>
              <w:rPr>
                <w:rFonts w:ascii="Times New Roman" w:hAnsi="Times New Roman" w:eastAsia="等线" w:cs="Times New Roman"/>
                <w:color w:val="000000"/>
                <w:kern w:val="0"/>
                <w:sz w:val="18"/>
                <w:szCs w:val="18"/>
                <w:lang w:bidi="ar"/>
              </w:rPr>
              <w:t>0.928</w:t>
            </w:r>
          </w:p>
        </w:tc>
      </w:tr>
      <w:tr w14:paraId="623727F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2" w:type="pct"/>
            <w:tcBorders>
              <w:top w:val="single" w:color="000000" w:sz="4" w:space="0"/>
              <w:bottom w:val="single" w:color="000000" w:sz="12" w:space="0"/>
            </w:tcBorders>
            <w:vAlign w:val="center"/>
          </w:tcPr>
          <w:p w14:paraId="1ED22BF7">
            <w:pPr>
              <w:jc w:val="left"/>
              <w:rPr>
                <w:rFonts w:ascii="Times New Roman" w:hAnsi="Times New Roman" w:eastAsia="等线" w:cs="Times New Roman"/>
                <w:sz w:val="18"/>
                <w:szCs w:val="18"/>
              </w:rPr>
            </w:pPr>
            <w:r>
              <w:rPr>
                <w:rFonts w:ascii="Times New Roman" w:hAnsi="Times New Roman" w:eastAsia="等线" w:cs="Times New Roman"/>
                <w:sz w:val="18"/>
                <w:szCs w:val="18"/>
              </w:rPr>
              <w:t>Total Quantity Table</w:t>
            </w:r>
          </w:p>
        </w:tc>
        <w:tc>
          <w:tcPr>
            <w:tcW w:w="1501" w:type="pct"/>
            <w:tcBorders>
              <w:top w:val="single" w:color="000000" w:sz="4" w:space="0"/>
              <w:bottom w:val="single" w:color="000000" w:sz="12" w:space="0"/>
            </w:tcBorders>
            <w:vAlign w:val="center"/>
          </w:tcPr>
          <w:p w14:paraId="7FED5740">
            <w:pPr>
              <w:jc w:val="center"/>
              <w:rPr>
                <w:rFonts w:ascii="Times New Roman" w:hAnsi="Times New Roman" w:eastAsia="等线" w:cs="Times New Roman"/>
                <w:color w:val="000000"/>
                <w:kern w:val="0"/>
                <w:sz w:val="18"/>
                <w:szCs w:val="18"/>
                <w:lang w:bidi="ar"/>
              </w:rPr>
            </w:pPr>
            <w:r>
              <w:rPr>
                <w:rFonts w:ascii="Times New Roman" w:hAnsi="Times New Roman" w:eastAsia="等线" w:cs="Times New Roman"/>
                <w:color w:val="000000"/>
                <w:kern w:val="0"/>
                <w:sz w:val="18"/>
                <w:szCs w:val="18"/>
                <w:lang w:bidi="ar"/>
              </w:rPr>
              <w:t>Q6–Q27</w:t>
            </w:r>
          </w:p>
        </w:tc>
        <w:tc>
          <w:tcPr>
            <w:tcW w:w="1338" w:type="pct"/>
            <w:tcBorders>
              <w:top w:val="single" w:color="000000" w:sz="4" w:space="0"/>
              <w:bottom w:val="single" w:color="000000" w:sz="12" w:space="0"/>
            </w:tcBorders>
            <w:vAlign w:val="center"/>
          </w:tcPr>
          <w:p w14:paraId="4F393F1D">
            <w:pPr>
              <w:jc w:val="center"/>
              <w:rPr>
                <w:rFonts w:ascii="Times New Roman" w:hAnsi="Times New Roman" w:eastAsia="等线" w:cs="Times New Roman"/>
                <w:color w:val="000000"/>
                <w:kern w:val="0"/>
                <w:sz w:val="18"/>
                <w:szCs w:val="18"/>
                <w:lang w:bidi="ar"/>
              </w:rPr>
            </w:pPr>
            <w:r>
              <w:rPr>
                <w:rFonts w:ascii="Times New Roman" w:hAnsi="Times New Roman" w:eastAsia="等线" w:cs="Times New Roman"/>
                <w:color w:val="000000"/>
                <w:kern w:val="0"/>
                <w:sz w:val="18"/>
                <w:szCs w:val="18"/>
                <w:lang w:bidi="ar"/>
              </w:rPr>
              <w:t>0.825</w:t>
            </w:r>
          </w:p>
        </w:tc>
      </w:tr>
    </w:tbl>
    <w:p w14:paraId="7904B579">
      <w:pPr>
        <w:rPr>
          <w:rFonts w:ascii="Times New Roman" w:hAnsi="Times New Roman" w:cs="Times New Roman"/>
        </w:rPr>
      </w:pPr>
    </w:p>
    <w:p w14:paraId="44B2CA22">
      <w:pPr>
        <w:rPr>
          <w:rFonts w:ascii="Times New Roman" w:hAnsi="Times New Roman" w:cs="Times New Roman"/>
          <w:b/>
          <w:bCs/>
        </w:rPr>
      </w:pPr>
      <w:r>
        <w:rPr>
          <w:rFonts w:ascii="Times New Roman" w:hAnsi="Times New Roman" w:cs="Times New Roman"/>
          <w:b/>
          <w:bCs/>
        </w:rPr>
        <w:t>Table A.</w:t>
      </w:r>
      <w:r>
        <w:rPr>
          <w:rFonts w:hint="eastAsia" w:ascii="Times New Roman" w:hAnsi="Times New Roman" w:cs="Times New Roman"/>
          <w:b/>
          <w:bCs/>
        </w:rPr>
        <w:t>8</w:t>
      </w:r>
      <w:r>
        <w:rPr>
          <w:rFonts w:ascii="Times New Roman" w:hAnsi="Times New Roman" w:cs="Times New Roman"/>
          <w:b/>
          <w:bCs/>
        </w:rPr>
        <w:t xml:space="preserve"> </w:t>
      </w:r>
      <w:r>
        <w:rPr>
          <w:rFonts w:ascii="Times New Roman" w:hAnsi="Times New Roman" w:cs="Times New Roman"/>
        </w:rPr>
        <w:t>KMO and Bartlett sphericity test results</w:t>
      </w:r>
    </w:p>
    <w:tbl>
      <w:tblPr>
        <w:tblStyle w:val="18"/>
        <w:tblW w:w="830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23"/>
        <w:gridCol w:w="1123"/>
        <w:gridCol w:w="2629"/>
        <w:gridCol w:w="2731"/>
      </w:tblGrid>
      <w:tr w14:paraId="35DDEA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1823" w:type="dxa"/>
            <w:tcBorders>
              <w:top w:val="single" w:color="000000" w:sz="12" w:space="0"/>
              <w:bottom w:val="single" w:color="000000" w:sz="4" w:space="0"/>
            </w:tcBorders>
            <w:vAlign w:val="center"/>
          </w:tcPr>
          <w:p w14:paraId="1A0158D7">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b/>
                <w:sz w:val="21"/>
                <w:szCs w:val="15"/>
              </w:rPr>
            </w:pPr>
            <w:r>
              <w:rPr>
                <w:rFonts w:hint="default" w:ascii="Times New Roman" w:hAnsi="Times New Roman" w:eastAsia="宋体" w:cs="Times New Roman"/>
                <w:b/>
                <w:bCs/>
                <w:kern w:val="0"/>
                <w:sz w:val="21"/>
                <w:szCs w:val="21"/>
                <w:lang w:val="en-US" w:eastAsia="zh-CN" w:bidi="ar"/>
              </w:rPr>
              <w:t>Test indicator</w:t>
            </w:r>
          </w:p>
        </w:tc>
        <w:tc>
          <w:tcPr>
            <w:tcW w:w="1123" w:type="dxa"/>
            <w:tcBorders>
              <w:top w:val="single" w:color="000000" w:sz="12" w:space="0"/>
              <w:bottom w:val="single" w:color="000000" w:sz="4" w:space="0"/>
            </w:tcBorders>
            <w:vAlign w:val="center"/>
          </w:tcPr>
          <w:p w14:paraId="40B9E574">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b/>
                <w:sz w:val="21"/>
                <w:szCs w:val="15"/>
              </w:rPr>
            </w:pPr>
            <w:r>
              <w:rPr>
                <w:rFonts w:hint="default" w:ascii="Times New Roman" w:hAnsi="Times New Roman" w:eastAsia="宋体" w:cs="Times New Roman"/>
                <w:b/>
                <w:bCs/>
                <w:kern w:val="0"/>
                <w:sz w:val="21"/>
                <w:szCs w:val="21"/>
                <w:lang w:val="en-US" w:eastAsia="zh-CN" w:bidi="ar"/>
              </w:rPr>
              <w:t>Value</w:t>
            </w:r>
          </w:p>
        </w:tc>
        <w:tc>
          <w:tcPr>
            <w:tcW w:w="2629" w:type="dxa"/>
            <w:tcBorders>
              <w:top w:val="single" w:color="000000" w:sz="12" w:space="0"/>
              <w:bottom w:val="single" w:color="000000" w:sz="4" w:space="0"/>
            </w:tcBorders>
            <w:vAlign w:val="center"/>
          </w:tcPr>
          <w:p w14:paraId="36A47992">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b/>
                <w:sz w:val="21"/>
                <w:szCs w:val="15"/>
              </w:rPr>
            </w:pPr>
            <w:r>
              <w:rPr>
                <w:rFonts w:hint="default" w:ascii="Times New Roman" w:hAnsi="Times New Roman" w:eastAsia="宋体" w:cs="Times New Roman"/>
                <w:b/>
                <w:bCs/>
                <w:kern w:val="0"/>
                <w:sz w:val="21"/>
                <w:szCs w:val="21"/>
                <w:lang w:val="en-US" w:eastAsia="zh-CN" w:bidi="ar"/>
              </w:rPr>
              <w:t>Criteria for judgment</w:t>
            </w:r>
          </w:p>
        </w:tc>
        <w:tc>
          <w:tcPr>
            <w:tcW w:w="2731" w:type="dxa"/>
            <w:tcBorders>
              <w:top w:val="single" w:color="000000" w:sz="12" w:space="0"/>
              <w:bottom w:val="single" w:color="000000" w:sz="4" w:space="0"/>
            </w:tcBorders>
            <w:vAlign w:val="center"/>
          </w:tcPr>
          <w:p w14:paraId="5ED89521">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b/>
                <w:sz w:val="21"/>
                <w:szCs w:val="15"/>
              </w:rPr>
            </w:pPr>
            <w:r>
              <w:rPr>
                <w:rFonts w:hint="default" w:ascii="Times New Roman" w:hAnsi="Times New Roman" w:eastAsia="宋体" w:cs="Times New Roman"/>
                <w:b/>
                <w:bCs/>
                <w:kern w:val="0"/>
                <w:sz w:val="21"/>
                <w:szCs w:val="21"/>
                <w:lang w:val="en-US" w:eastAsia="zh-CN" w:bidi="ar"/>
              </w:rPr>
              <w:t>Conclusion</w:t>
            </w:r>
          </w:p>
        </w:tc>
      </w:tr>
      <w:tr w14:paraId="05D80E1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23" w:type="dxa"/>
            <w:tcBorders>
              <w:top w:val="single" w:color="000000" w:sz="4" w:space="0"/>
              <w:bottom w:val="single" w:color="000000" w:sz="4" w:space="0"/>
            </w:tcBorders>
            <w:vAlign w:val="center"/>
          </w:tcPr>
          <w:p w14:paraId="1D7D1692">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KMO</w:t>
            </w:r>
          </w:p>
        </w:tc>
        <w:tc>
          <w:tcPr>
            <w:tcW w:w="1123" w:type="dxa"/>
            <w:tcBorders>
              <w:top w:val="single" w:color="000000" w:sz="4" w:space="0"/>
              <w:bottom w:val="single" w:color="000000" w:sz="4" w:space="0"/>
            </w:tcBorders>
            <w:vAlign w:val="center"/>
          </w:tcPr>
          <w:p w14:paraId="62D79A9B">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sz w:val="21"/>
                <w:szCs w:val="15"/>
              </w:rPr>
            </w:pPr>
            <w:r>
              <w:rPr>
                <w:rStyle w:val="20"/>
                <w:rFonts w:hint="default" w:ascii="Times New Roman" w:hAnsi="Times New Roman" w:eastAsia="宋体" w:cs="Times New Roman"/>
                <w:kern w:val="0"/>
                <w:sz w:val="21"/>
                <w:szCs w:val="21"/>
                <w:lang w:val="en-US" w:eastAsia="zh-CN" w:bidi="ar"/>
              </w:rPr>
              <w:t>0.929</w:t>
            </w:r>
          </w:p>
        </w:tc>
        <w:tc>
          <w:tcPr>
            <w:tcW w:w="2629" w:type="dxa"/>
            <w:tcBorders>
              <w:top w:val="single" w:color="000000" w:sz="4" w:space="0"/>
              <w:bottom w:val="single" w:color="000000" w:sz="4" w:space="0"/>
            </w:tcBorders>
            <w:vAlign w:val="center"/>
          </w:tcPr>
          <w:p w14:paraId="045315A9">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&gt;0.90 excellent</w:t>
            </w:r>
          </w:p>
        </w:tc>
        <w:tc>
          <w:tcPr>
            <w:tcW w:w="2731" w:type="dxa"/>
            <w:tcBorders>
              <w:top w:val="single" w:color="000000" w:sz="4" w:space="0"/>
              <w:bottom w:val="single" w:color="000000" w:sz="4" w:space="0"/>
            </w:tcBorders>
            <w:vAlign w:val="center"/>
          </w:tcPr>
          <w:p w14:paraId="0272B6B6">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The data is very suitable for factor analysis</w:t>
            </w:r>
          </w:p>
        </w:tc>
      </w:tr>
      <w:tr w14:paraId="291278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23" w:type="dxa"/>
            <w:tcBorders>
              <w:top w:val="single" w:color="000000" w:sz="4" w:space="0"/>
              <w:bottom w:val="single" w:color="000000" w:sz="4" w:space="0"/>
            </w:tcBorders>
            <w:vAlign w:val="center"/>
          </w:tcPr>
          <w:p w14:paraId="4CA0E451">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Bartlett’s χ²</w:t>
            </w:r>
          </w:p>
        </w:tc>
        <w:tc>
          <w:tcPr>
            <w:tcW w:w="1123" w:type="dxa"/>
            <w:tcBorders>
              <w:top w:val="single" w:color="000000" w:sz="4" w:space="0"/>
              <w:bottom w:val="single" w:color="000000" w:sz="4" w:space="0"/>
            </w:tcBorders>
            <w:vAlign w:val="center"/>
          </w:tcPr>
          <w:p w14:paraId="5363DA19">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sz w:val="21"/>
                <w:szCs w:val="15"/>
              </w:rPr>
            </w:pPr>
            <w:r>
              <w:rPr>
                <w:rStyle w:val="20"/>
                <w:rFonts w:hint="default" w:ascii="Times New Roman" w:hAnsi="Times New Roman" w:eastAsia="宋体" w:cs="Times New Roman"/>
                <w:kern w:val="0"/>
                <w:sz w:val="21"/>
                <w:szCs w:val="21"/>
                <w:lang w:val="en-US" w:eastAsia="zh-CN" w:bidi="ar"/>
              </w:rPr>
              <w:t>6884.95</w:t>
            </w:r>
          </w:p>
        </w:tc>
        <w:tc>
          <w:tcPr>
            <w:tcW w:w="2629" w:type="dxa"/>
            <w:tcBorders>
              <w:top w:val="single" w:color="000000" w:sz="4" w:space="0"/>
              <w:bottom w:val="single" w:color="000000" w:sz="4" w:space="0"/>
            </w:tcBorders>
            <w:vAlign w:val="center"/>
          </w:tcPr>
          <w:p w14:paraId="38B2C41A">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p &lt; 0.001 significant</w:t>
            </w:r>
          </w:p>
        </w:tc>
        <w:tc>
          <w:tcPr>
            <w:tcW w:w="2731" w:type="dxa"/>
            <w:tcBorders>
              <w:top w:val="single" w:color="000000" w:sz="4" w:space="0"/>
              <w:bottom w:val="single" w:color="000000" w:sz="4" w:space="0"/>
            </w:tcBorders>
            <w:vAlign w:val="center"/>
          </w:tcPr>
          <w:p w14:paraId="3D19FD2D">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Reject null hypothesis, suitable for factor analysis</w:t>
            </w:r>
          </w:p>
        </w:tc>
      </w:tr>
      <w:tr w14:paraId="40AA0E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23" w:type="dxa"/>
            <w:tcBorders>
              <w:top w:val="single" w:color="000000" w:sz="4" w:space="0"/>
              <w:bottom w:val="single" w:color="000000" w:sz="4" w:space="0"/>
            </w:tcBorders>
            <w:vAlign w:val="center"/>
          </w:tcPr>
          <w:p w14:paraId="44970FC2">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df</w:t>
            </w:r>
          </w:p>
        </w:tc>
        <w:tc>
          <w:tcPr>
            <w:tcW w:w="1123" w:type="dxa"/>
            <w:tcBorders>
              <w:top w:val="single" w:color="000000" w:sz="4" w:space="0"/>
              <w:bottom w:val="single" w:color="000000" w:sz="4" w:space="0"/>
            </w:tcBorders>
            <w:vAlign w:val="center"/>
          </w:tcPr>
          <w:p w14:paraId="72445ECA">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sz w:val="21"/>
                <w:szCs w:val="15"/>
              </w:rPr>
            </w:pPr>
            <w:r>
              <w:rPr>
                <w:rStyle w:val="20"/>
                <w:rFonts w:hint="default" w:ascii="Times New Roman" w:hAnsi="Times New Roman" w:eastAsia="宋体" w:cs="Times New Roman"/>
                <w:kern w:val="0"/>
                <w:sz w:val="21"/>
                <w:szCs w:val="21"/>
                <w:lang w:val="en-US" w:eastAsia="zh-CN" w:bidi="ar"/>
              </w:rPr>
              <w:t>231</w:t>
            </w:r>
          </w:p>
        </w:tc>
        <w:tc>
          <w:tcPr>
            <w:tcW w:w="2629" w:type="dxa"/>
            <w:tcBorders>
              <w:top w:val="single" w:color="000000" w:sz="4" w:space="0"/>
              <w:bottom w:val="single" w:color="000000" w:sz="4" w:space="0"/>
            </w:tcBorders>
            <w:vAlign w:val="center"/>
          </w:tcPr>
          <w:p w14:paraId="43F55901">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w:t>
            </w:r>
          </w:p>
        </w:tc>
        <w:tc>
          <w:tcPr>
            <w:tcW w:w="2731" w:type="dxa"/>
            <w:tcBorders>
              <w:top w:val="single" w:color="000000" w:sz="4" w:space="0"/>
              <w:bottom w:val="single" w:color="000000" w:sz="4" w:space="0"/>
            </w:tcBorders>
            <w:vAlign w:val="center"/>
          </w:tcPr>
          <w:p w14:paraId="36644B50">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w:t>
            </w:r>
          </w:p>
        </w:tc>
      </w:tr>
      <w:tr w14:paraId="3E2A85F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823" w:type="dxa"/>
            <w:tcBorders>
              <w:top w:val="single" w:color="000000" w:sz="4" w:space="0"/>
              <w:bottom w:val="single" w:color="000000" w:sz="12" w:space="0"/>
            </w:tcBorders>
            <w:vAlign w:val="center"/>
          </w:tcPr>
          <w:p w14:paraId="57003D22">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p</w:t>
            </w:r>
          </w:p>
        </w:tc>
        <w:tc>
          <w:tcPr>
            <w:tcW w:w="1123" w:type="dxa"/>
            <w:tcBorders>
              <w:top w:val="single" w:color="000000" w:sz="4" w:space="0"/>
              <w:bottom w:val="single" w:color="000000" w:sz="12" w:space="0"/>
            </w:tcBorders>
            <w:vAlign w:val="center"/>
          </w:tcPr>
          <w:p w14:paraId="3F362ADA">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sz w:val="21"/>
                <w:szCs w:val="15"/>
              </w:rPr>
            </w:pPr>
            <w:r>
              <w:rPr>
                <w:rStyle w:val="20"/>
                <w:rFonts w:hint="default" w:ascii="Times New Roman" w:hAnsi="Times New Roman" w:eastAsia="宋体" w:cs="Times New Roman"/>
                <w:kern w:val="0"/>
                <w:sz w:val="21"/>
                <w:szCs w:val="21"/>
                <w:lang w:val="en-US" w:eastAsia="zh-CN" w:bidi="ar"/>
              </w:rPr>
              <w:t>&lt;0.001</w:t>
            </w:r>
          </w:p>
        </w:tc>
        <w:tc>
          <w:tcPr>
            <w:tcW w:w="2629" w:type="dxa"/>
            <w:tcBorders>
              <w:top w:val="single" w:color="000000" w:sz="4" w:space="0"/>
              <w:bottom w:val="single" w:color="000000" w:sz="12" w:space="0"/>
            </w:tcBorders>
            <w:vAlign w:val="center"/>
          </w:tcPr>
          <w:p w14:paraId="1C16BD72">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&lt;0.05 significant</w:t>
            </w:r>
          </w:p>
        </w:tc>
        <w:tc>
          <w:tcPr>
            <w:tcW w:w="2731" w:type="dxa"/>
            <w:tcBorders>
              <w:top w:val="single" w:color="000000" w:sz="4" w:space="0"/>
              <w:bottom w:val="single" w:color="000000" w:sz="12" w:space="0"/>
            </w:tcBorders>
            <w:vAlign w:val="center"/>
          </w:tcPr>
          <w:p w14:paraId="2F6E867F">
            <w:pPr>
              <w:keepNext w:val="0"/>
              <w:keepLines w:val="0"/>
              <w:widowControl/>
              <w:suppressLineNumbers w:val="0"/>
              <w:snapToGrid w:val="0"/>
              <w:ind w:left="0" w:leftChars="0" w:right="0" w:rightChars="0" w:firstLine="0" w:firstLineChars="0"/>
              <w:jc w:val="left"/>
              <w:rPr>
                <w:rFonts w:ascii="Times New Roman" w:hAnsi="Times New Roman" w:eastAsia="宋体" w:cs="Times New Roman"/>
                <w:sz w:val="21"/>
                <w:szCs w:val="15"/>
              </w:rPr>
            </w:pPr>
            <w:r>
              <w:rPr>
                <w:rFonts w:hint="default" w:ascii="Times New Roman" w:hAnsi="Times New Roman" w:eastAsia="宋体" w:cs="Times New Roman"/>
                <w:kern w:val="0"/>
                <w:sz w:val="21"/>
                <w:szCs w:val="21"/>
                <w:lang w:val="en-US" w:eastAsia="zh-CN" w:bidi="ar"/>
              </w:rPr>
              <w:t>Confirm suitability for factor analysis</w:t>
            </w:r>
          </w:p>
        </w:tc>
      </w:tr>
    </w:tbl>
    <w:p w14:paraId="1A5F911D">
      <w:pPr>
        <w:rPr>
          <w:rFonts w:ascii="Times New Roman" w:hAnsi="Times New Roman" w:cs="Times New Roman"/>
          <w:b/>
          <w:bCs/>
        </w:rPr>
      </w:pPr>
    </w:p>
    <w:p w14:paraId="2635BCD1">
      <w:pPr>
        <w:rPr>
          <w:rFonts w:ascii="Times New Roman" w:hAnsi="Times New Roman" w:cs="Times New Roman"/>
          <w:b/>
          <w:bCs/>
        </w:rPr>
      </w:pPr>
      <w:r>
        <w:rPr>
          <w:rFonts w:ascii="Times New Roman" w:hAnsi="Times New Roman" w:cs="Times New Roman"/>
          <w:b/>
          <w:bCs/>
        </w:rPr>
        <w:t>Table A.</w:t>
      </w:r>
      <w:r>
        <w:rPr>
          <w:rFonts w:hint="eastAsia" w:ascii="Times New Roman" w:hAnsi="Times New Roman" w:cs="Times New Roman"/>
          <w:b/>
          <w:bCs/>
        </w:rPr>
        <w:t>9</w:t>
      </w:r>
      <w:r>
        <w:rPr>
          <w:rFonts w:ascii="Times New Roman" w:hAnsi="Times New Roman" w:cs="Times New Roman"/>
          <w:b/>
          <w:bCs/>
        </w:rPr>
        <w:t xml:space="preserve"> </w:t>
      </w:r>
      <w:r>
        <w:rPr>
          <w:rFonts w:ascii="Times New Roman" w:hAnsi="Times New Roman" w:cs="Times New Roman"/>
        </w:rPr>
        <w:t>Preliminary results of the exploratory factor analysis (EFA)</w:t>
      </w:r>
    </w:p>
    <w:tbl>
      <w:tblPr>
        <w:tblStyle w:val="18"/>
        <w:tblW w:w="8095" w:type="dxa"/>
        <w:jc w:val="center"/>
        <w:tblBorders>
          <w:top w:val="single" w:color="auto" w:sz="12"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69"/>
        <w:gridCol w:w="4926"/>
      </w:tblGrid>
      <w:tr w14:paraId="1F0BB93C">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3169" w:type="dxa"/>
            <w:tcBorders>
              <w:top w:val="single" w:color="auto" w:sz="12" w:space="0"/>
              <w:bottom w:val="single" w:color="auto" w:sz="4" w:space="0"/>
            </w:tcBorders>
            <w:vAlign w:val="center"/>
          </w:tcPr>
          <w:p w14:paraId="76996050">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b/>
                <w:kern w:val="0"/>
                <w:sz w:val="21"/>
                <w:szCs w:val="15"/>
              </w:rPr>
            </w:pPr>
            <w:r>
              <w:rPr>
                <w:rFonts w:hint="default" w:ascii="Times New Roman" w:hAnsi="Times New Roman" w:eastAsia="宋体" w:cs="Times New Roman"/>
                <w:b/>
                <w:bCs/>
                <w:color w:val="000000"/>
                <w:kern w:val="0"/>
                <w:sz w:val="21"/>
                <w:szCs w:val="21"/>
                <w:lang w:val="en-US" w:eastAsia="zh-CN" w:bidi="ar"/>
              </w:rPr>
              <w:t>Indicator</w:t>
            </w:r>
          </w:p>
        </w:tc>
        <w:tc>
          <w:tcPr>
            <w:tcW w:w="4926" w:type="dxa"/>
            <w:tcBorders>
              <w:top w:val="single" w:color="auto" w:sz="12" w:space="0"/>
              <w:bottom w:val="single" w:color="auto" w:sz="4" w:space="0"/>
            </w:tcBorders>
            <w:vAlign w:val="center"/>
          </w:tcPr>
          <w:p w14:paraId="7510C2BD">
            <w:pPr>
              <w:keepNext w:val="0"/>
              <w:keepLines w:val="0"/>
              <w:widowControl/>
              <w:suppressLineNumbers w:val="0"/>
              <w:snapToGrid w:val="0"/>
              <w:ind w:left="0" w:leftChars="0" w:right="0" w:rightChars="0" w:firstLine="0" w:firstLineChars="0"/>
              <w:jc w:val="center"/>
              <w:rPr>
                <w:rFonts w:ascii="Times New Roman" w:hAnsi="Times New Roman" w:eastAsia="宋体" w:cs="Times New Roman"/>
                <w:b/>
                <w:kern w:val="0"/>
                <w:sz w:val="21"/>
                <w:szCs w:val="15"/>
              </w:rPr>
            </w:pPr>
            <w:r>
              <w:rPr>
                <w:rFonts w:hint="default" w:ascii="Times New Roman" w:hAnsi="Times New Roman" w:eastAsia="宋体" w:cs="Times New Roman"/>
                <w:b/>
                <w:bCs/>
                <w:color w:val="000000"/>
                <w:kern w:val="0"/>
                <w:sz w:val="21"/>
                <w:szCs w:val="21"/>
                <w:lang w:val="en-US" w:eastAsia="zh-CN" w:bidi="ar"/>
              </w:rPr>
              <w:t>Value / Result</w:t>
            </w:r>
          </w:p>
        </w:tc>
      </w:tr>
      <w:tr w14:paraId="6DC838AE">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69" w:type="dxa"/>
            <w:tcBorders>
              <w:top w:val="single" w:color="auto" w:sz="4" w:space="0"/>
            </w:tcBorders>
            <w:vAlign w:val="center"/>
          </w:tcPr>
          <w:p w14:paraId="1FCDEDEB">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Fonts w:hint="default" w:ascii="Times New Roman" w:hAnsi="Times New Roman" w:eastAsia="宋体" w:cs="Times New Roman"/>
                <w:b w:val="0"/>
                <w:color w:val="000000"/>
                <w:kern w:val="0"/>
                <w:sz w:val="21"/>
                <w:szCs w:val="21"/>
                <w:lang w:val="en-US" w:eastAsia="zh-CN" w:bidi="ar"/>
              </w:rPr>
              <w:t>Extraction method</w:t>
            </w:r>
          </w:p>
        </w:tc>
        <w:tc>
          <w:tcPr>
            <w:tcW w:w="4926" w:type="dxa"/>
            <w:tcBorders>
              <w:top w:val="single" w:color="auto" w:sz="4" w:space="0"/>
            </w:tcBorders>
            <w:vAlign w:val="center"/>
          </w:tcPr>
          <w:p w14:paraId="3A2D0FE9">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Fonts w:hint="default" w:ascii="Times New Roman" w:hAnsi="Times New Roman" w:eastAsia="宋体" w:cs="Times New Roman"/>
                <w:b w:val="0"/>
                <w:color w:val="000000"/>
                <w:kern w:val="0"/>
                <w:sz w:val="21"/>
                <w:szCs w:val="21"/>
                <w:lang w:val="en-US" w:eastAsia="zh-CN" w:bidi="ar"/>
              </w:rPr>
              <w:t>PCA (principal component analysis) with Varimax rotation</w:t>
            </w:r>
          </w:p>
        </w:tc>
      </w:tr>
      <w:tr w14:paraId="266DF402">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69" w:type="dxa"/>
            <w:vAlign w:val="center"/>
          </w:tcPr>
          <w:p w14:paraId="35335FA7">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Fonts w:hint="default" w:ascii="Times New Roman" w:hAnsi="Times New Roman" w:eastAsia="宋体" w:cs="Times New Roman"/>
                <w:b w:val="0"/>
                <w:color w:val="000000"/>
                <w:kern w:val="0"/>
                <w:sz w:val="21"/>
                <w:szCs w:val="21"/>
                <w:lang w:val="en-US" w:eastAsia="zh-CN" w:bidi="ar"/>
              </w:rPr>
              <w:t>Number of factors (Kaiser criterion)</w:t>
            </w:r>
          </w:p>
        </w:tc>
        <w:tc>
          <w:tcPr>
            <w:tcW w:w="4926" w:type="dxa"/>
            <w:vAlign w:val="center"/>
          </w:tcPr>
          <w:p w14:paraId="0EE947A3">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Style w:val="20"/>
                <w:rFonts w:hint="default" w:ascii="Times New Roman" w:hAnsi="Times New Roman" w:eastAsia="宋体" w:cs="Times New Roman"/>
                <w:b w:val="0"/>
                <w:color w:val="000000"/>
                <w:kern w:val="0"/>
                <w:sz w:val="21"/>
                <w:szCs w:val="21"/>
                <w:lang w:val="en-US" w:eastAsia="zh-CN" w:bidi="ar"/>
              </w:rPr>
              <w:t>2</w:t>
            </w:r>
          </w:p>
        </w:tc>
      </w:tr>
      <w:tr w14:paraId="736EE490">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69" w:type="dxa"/>
            <w:vAlign w:val="center"/>
          </w:tcPr>
          <w:p w14:paraId="6336C89E">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Fonts w:hint="default" w:ascii="Times New Roman" w:hAnsi="Times New Roman" w:eastAsia="宋体" w:cs="Times New Roman"/>
                <w:b w:val="0"/>
                <w:color w:val="000000"/>
                <w:kern w:val="0"/>
                <w:sz w:val="21"/>
                <w:szCs w:val="21"/>
                <w:lang w:val="en-US" w:eastAsia="zh-CN" w:bidi="ar"/>
              </w:rPr>
              <w:t>Eigenvalues (first two)</w:t>
            </w:r>
          </w:p>
        </w:tc>
        <w:tc>
          <w:tcPr>
            <w:tcW w:w="4926" w:type="dxa"/>
            <w:vAlign w:val="center"/>
          </w:tcPr>
          <w:p w14:paraId="47BB31B6">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Style w:val="20"/>
                <w:rFonts w:hint="default" w:ascii="Times New Roman" w:hAnsi="Times New Roman" w:eastAsia="宋体" w:cs="Times New Roman"/>
                <w:b w:val="0"/>
                <w:color w:val="000000"/>
                <w:kern w:val="0"/>
                <w:sz w:val="21"/>
                <w:szCs w:val="21"/>
                <w:lang w:val="en-US" w:eastAsia="zh-CN" w:bidi="ar"/>
              </w:rPr>
              <w:t>10.59; 4.59</w:t>
            </w:r>
          </w:p>
        </w:tc>
      </w:tr>
      <w:tr w14:paraId="1908ED6C">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69" w:type="dxa"/>
            <w:vAlign w:val="center"/>
          </w:tcPr>
          <w:p w14:paraId="0043532A">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Fonts w:hint="default" w:ascii="Times New Roman" w:hAnsi="Times New Roman" w:eastAsia="宋体" w:cs="Times New Roman"/>
                <w:b w:val="0"/>
                <w:color w:val="000000"/>
                <w:kern w:val="0"/>
                <w:sz w:val="21"/>
                <w:szCs w:val="21"/>
                <w:lang w:val="en-US" w:eastAsia="zh-CN" w:bidi="ar"/>
              </w:rPr>
              <w:t>Variance explained</w:t>
            </w:r>
          </w:p>
        </w:tc>
        <w:tc>
          <w:tcPr>
            <w:tcW w:w="4926" w:type="dxa"/>
            <w:vAlign w:val="center"/>
          </w:tcPr>
          <w:p w14:paraId="31DA26A2">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Style w:val="20"/>
                <w:rFonts w:hint="default" w:ascii="Times New Roman" w:hAnsi="Times New Roman" w:eastAsia="宋体" w:cs="Times New Roman"/>
                <w:b w:val="0"/>
                <w:color w:val="000000"/>
                <w:kern w:val="0"/>
                <w:sz w:val="21"/>
                <w:szCs w:val="21"/>
                <w:lang w:val="en-US" w:eastAsia="zh-CN" w:bidi="ar"/>
              </w:rPr>
              <w:t>Factor 1: 48.13%</w:t>
            </w:r>
            <w:r>
              <w:rPr>
                <w:rFonts w:hint="default" w:ascii="Times New Roman" w:hAnsi="Times New Roman" w:eastAsia="宋体" w:cs="Times New Roman"/>
                <w:b w:val="0"/>
                <w:color w:val="000000"/>
                <w:kern w:val="0"/>
                <w:sz w:val="21"/>
                <w:szCs w:val="21"/>
                <w:lang w:val="en-US" w:eastAsia="zh-CN" w:bidi="ar"/>
              </w:rPr>
              <w:t xml:space="preserve">; </w:t>
            </w:r>
            <w:r>
              <w:rPr>
                <w:rStyle w:val="20"/>
                <w:rFonts w:hint="default" w:ascii="Times New Roman" w:hAnsi="Times New Roman" w:eastAsia="宋体" w:cs="Times New Roman"/>
                <w:b w:val="0"/>
                <w:color w:val="000000"/>
                <w:kern w:val="0"/>
                <w:sz w:val="21"/>
                <w:szCs w:val="21"/>
                <w:lang w:val="en-US" w:eastAsia="zh-CN" w:bidi="ar"/>
              </w:rPr>
              <w:t>Factor 2: 20.87%</w:t>
            </w:r>
          </w:p>
        </w:tc>
      </w:tr>
      <w:tr w14:paraId="5275449E">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69" w:type="dxa"/>
            <w:vAlign w:val="center"/>
          </w:tcPr>
          <w:p w14:paraId="0688FE90">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Fonts w:hint="default" w:ascii="Times New Roman" w:hAnsi="Times New Roman" w:eastAsia="宋体" w:cs="Times New Roman"/>
                <w:b w:val="0"/>
                <w:color w:val="000000"/>
                <w:kern w:val="0"/>
                <w:sz w:val="21"/>
                <w:szCs w:val="21"/>
                <w:lang w:val="en-US" w:eastAsia="zh-CN" w:bidi="ar"/>
              </w:rPr>
              <w:t>Cumulative variance explained (first two factors)</w:t>
            </w:r>
          </w:p>
        </w:tc>
        <w:tc>
          <w:tcPr>
            <w:tcW w:w="4926" w:type="dxa"/>
            <w:vAlign w:val="center"/>
          </w:tcPr>
          <w:p w14:paraId="509A81E0">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Style w:val="20"/>
                <w:rFonts w:hint="default" w:ascii="Times New Roman" w:hAnsi="Times New Roman" w:eastAsia="宋体" w:cs="Times New Roman"/>
                <w:b w:val="0"/>
                <w:color w:val="000000"/>
                <w:kern w:val="0"/>
                <w:sz w:val="21"/>
                <w:szCs w:val="21"/>
                <w:lang w:val="en-US" w:eastAsia="zh-CN" w:bidi="ar"/>
              </w:rPr>
              <w:t>69.00%</w:t>
            </w:r>
          </w:p>
        </w:tc>
      </w:tr>
      <w:tr w14:paraId="0DE89305">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69" w:type="dxa"/>
            <w:tcBorders>
              <w:bottom w:val="nil"/>
            </w:tcBorders>
            <w:vAlign w:val="center"/>
          </w:tcPr>
          <w:p w14:paraId="77D63DDB">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Fonts w:hint="default" w:ascii="Times New Roman" w:hAnsi="Times New Roman" w:eastAsia="宋体" w:cs="Times New Roman"/>
                <w:b w:val="0"/>
                <w:color w:val="000000"/>
                <w:kern w:val="0"/>
                <w:sz w:val="21"/>
                <w:szCs w:val="21"/>
                <w:lang w:val="en-US" w:eastAsia="zh-CN" w:bidi="ar"/>
              </w:rPr>
              <w:t>Major loadings of Factor 1</w:t>
            </w:r>
          </w:p>
        </w:tc>
        <w:tc>
          <w:tcPr>
            <w:tcW w:w="4926" w:type="dxa"/>
            <w:tcBorders>
              <w:bottom w:val="nil"/>
            </w:tcBorders>
            <w:vAlign w:val="center"/>
          </w:tcPr>
          <w:p w14:paraId="7110004E">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Style w:val="20"/>
                <w:rFonts w:hint="default" w:ascii="Times New Roman" w:hAnsi="Times New Roman" w:eastAsia="宋体" w:cs="Times New Roman"/>
                <w:b w:val="0"/>
                <w:color w:val="000000"/>
                <w:kern w:val="0"/>
                <w:sz w:val="21"/>
                <w:szCs w:val="21"/>
                <w:lang w:val="en-US" w:eastAsia="zh-CN" w:bidi="ar"/>
              </w:rPr>
              <w:t>Q6–Q17</w:t>
            </w:r>
            <w:r>
              <w:rPr>
                <w:rFonts w:hint="default" w:ascii="Times New Roman" w:hAnsi="Times New Roman" w:eastAsia="宋体" w:cs="Times New Roman"/>
                <w:b w:val="0"/>
                <w:color w:val="000000"/>
                <w:kern w:val="0"/>
                <w:sz w:val="21"/>
                <w:szCs w:val="21"/>
                <w:lang w:val="en-US" w:eastAsia="zh-CN" w:bidi="ar"/>
              </w:rPr>
              <w:t xml:space="preserve"> (Visual disturbance items; </w:t>
            </w:r>
            <w:r>
              <w:rPr>
                <w:rStyle w:val="20"/>
                <w:rFonts w:hint="default" w:ascii="Times New Roman" w:hAnsi="Times New Roman" w:eastAsia="宋体" w:cs="Times New Roman"/>
                <w:b w:val="0"/>
                <w:color w:val="000000"/>
                <w:kern w:val="0"/>
                <w:sz w:val="21"/>
                <w:szCs w:val="21"/>
                <w:lang w:val="en-US" w:eastAsia="zh-CN" w:bidi="ar"/>
              </w:rPr>
              <w:t>Q11 &amp; Q17 are reverse-scored in the dataset</w:t>
            </w:r>
            <w:r>
              <w:rPr>
                <w:rFonts w:hint="default" w:ascii="Times New Roman" w:hAnsi="Times New Roman" w:eastAsia="宋体" w:cs="Times New Roman"/>
                <w:b w:val="0"/>
                <w:color w:val="000000"/>
                <w:kern w:val="0"/>
                <w:sz w:val="21"/>
                <w:szCs w:val="21"/>
                <w:lang w:val="en-US" w:eastAsia="zh-CN" w:bidi="ar"/>
              </w:rPr>
              <w:t>)</w:t>
            </w:r>
          </w:p>
        </w:tc>
      </w:tr>
      <w:tr w14:paraId="3A35784C">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69" w:type="dxa"/>
            <w:tcBorders>
              <w:top w:val="nil"/>
              <w:bottom w:val="single" w:color="auto" w:sz="12" w:space="0"/>
            </w:tcBorders>
            <w:vAlign w:val="center"/>
          </w:tcPr>
          <w:p w14:paraId="2E5CE2D6">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Fonts w:hint="default" w:ascii="Times New Roman" w:hAnsi="Times New Roman" w:eastAsia="宋体" w:cs="Times New Roman"/>
                <w:b w:val="0"/>
                <w:color w:val="000000"/>
                <w:kern w:val="0"/>
                <w:sz w:val="21"/>
                <w:szCs w:val="21"/>
                <w:lang w:val="en-US" w:eastAsia="zh-CN" w:bidi="ar"/>
              </w:rPr>
              <w:t>Major loadings of Factor 2</w:t>
            </w:r>
          </w:p>
        </w:tc>
        <w:tc>
          <w:tcPr>
            <w:tcW w:w="4926" w:type="dxa"/>
            <w:tcBorders>
              <w:top w:val="nil"/>
              <w:bottom w:val="single" w:color="auto" w:sz="12" w:space="0"/>
            </w:tcBorders>
            <w:vAlign w:val="center"/>
          </w:tcPr>
          <w:p w14:paraId="3C76F22D">
            <w:pPr>
              <w:keepNext w:val="0"/>
              <w:keepLines w:val="0"/>
              <w:widowControl/>
              <w:suppressLineNumbers w:val="0"/>
              <w:snapToGrid w:val="0"/>
              <w:ind w:left="0" w:leftChars="0" w:right="0" w:rightChars="0" w:firstLine="0" w:firstLineChars="0"/>
              <w:jc w:val="left"/>
              <w:rPr>
                <w:rFonts w:ascii="Times New Roman" w:hAnsi="Times New Roman" w:eastAsia="宋体" w:cs="Times New Roman"/>
                <w:kern w:val="0"/>
                <w:sz w:val="21"/>
                <w:szCs w:val="15"/>
              </w:rPr>
            </w:pPr>
            <w:r>
              <w:rPr>
                <w:rStyle w:val="20"/>
                <w:rFonts w:hint="default" w:ascii="Times New Roman" w:hAnsi="Times New Roman" w:eastAsia="宋体" w:cs="Times New Roman"/>
                <w:b w:val="0"/>
                <w:color w:val="000000"/>
                <w:kern w:val="0"/>
                <w:sz w:val="21"/>
                <w:szCs w:val="21"/>
                <w:lang w:val="en-US" w:eastAsia="zh-CN" w:bidi="ar"/>
              </w:rPr>
              <w:t>Q18–Q27</w:t>
            </w:r>
            <w:r>
              <w:rPr>
                <w:rFonts w:hint="default" w:ascii="Times New Roman" w:hAnsi="Times New Roman" w:eastAsia="宋体" w:cs="Times New Roman"/>
                <w:b w:val="0"/>
                <w:color w:val="000000"/>
                <w:kern w:val="0"/>
                <w:sz w:val="21"/>
                <w:szCs w:val="21"/>
                <w:lang w:val="en-US" w:eastAsia="zh-CN" w:bidi="ar"/>
              </w:rPr>
              <w:t xml:space="preserve"> (Understanding, Perception, and Immersion items)</w:t>
            </w:r>
          </w:p>
        </w:tc>
      </w:tr>
    </w:tbl>
    <w:p w14:paraId="5F5A4044">
      <w:pPr>
        <w:jc w:val="center"/>
        <w:rPr>
          <w:rFonts w:ascii="Times New Roman" w:hAnsi="Times New Roman" w:cs="Times New Roman"/>
        </w:rPr>
      </w:pPr>
    </w:p>
    <w:p w14:paraId="40769AFE">
      <w:pPr>
        <w:rPr>
          <w:rFonts w:ascii="Times New Roman" w:hAnsi="Times New Roman" w:cs="Times New Roman"/>
          <w:b/>
          <w:bCs/>
        </w:rPr>
      </w:pPr>
    </w:p>
    <w:p w14:paraId="2452BA6D">
      <w:pPr>
        <w:rPr>
          <w:rFonts w:ascii="Times New Roman" w:hAnsi="Times New Roman" w:cs="Times New Roman"/>
          <w:b/>
          <w:bCs/>
        </w:rPr>
      </w:pPr>
    </w:p>
    <w:p w14:paraId="603EE176">
      <w:pPr>
        <w:rPr>
          <w:rFonts w:ascii="Times New Roman" w:hAnsi="Times New Roman" w:cs="Times New Roman"/>
          <w:b/>
          <w:bCs/>
        </w:rPr>
      </w:pPr>
    </w:p>
    <w:p w14:paraId="402C22B8">
      <w:pPr>
        <w:rPr>
          <w:rFonts w:ascii="Times New Roman" w:hAnsi="Times New Roman" w:cs="Times New Roman"/>
          <w:b/>
          <w:bCs/>
        </w:rPr>
      </w:pPr>
    </w:p>
    <w:p w14:paraId="2D45D668">
      <w:pPr>
        <w:rPr>
          <w:rFonts w:ascii="Times New Roman" w:hAnsi="Times New Roman" w:cs="Times New Roman"/>
          <w:b/>
          <w:bCs/>
        </w:rPr>
      </w:pPr>
    </w:p>
    <w:p w14:paraId="70754221">
      <w:pPr>
        <w:rPr>
          <w:rFonts w:ascii="Times New Roman" w:hAnsi="Times New Roman" w:cs="Times New Roman"/>
          <w:b/>
          <w:bCs/>
        </w:rPr>
      </w:pPr>
    </w:p>
    <w:p w14:paraId="33AC63DE">
      <w:pPr>
        <w:rPr>
          <w:rFonts w:ascii="Times New Roman" w:hAnsi="Times New Roman" w:cs="Times New Roman"/>
          <w:b/>
          <w:bCs/>
        </w:rPr>
      </w:pPr>
    </w:p>
    <w:p w14:paraId="035B80E9">
      <w:pPr>
        <w:rPr>
          <w:rFonts w:ascii="Times New Roman" w:hAnsi="Times New Roman" w:cs="Times New Roman"/>
          <w:b/>
          <w:bCs/>
        </w:rPr>
      </w:pPr>
    </w:p>
    <w:p w14:paraId="3E5A0F3A">
      <w:pPr>
        <w:rPr>
          <w:rFonts w:ascii="Times New Roman" w:hAnsi="Times New Roman" w:cs="Times New Roman"/>
          <w:b/>
          <w:bCs/>
        </w:rPr>
      </w:pPr>
    </w:p>
    <w:p w14:paraId="1420C371">
      <w:pPr>
        <w:rPr>
          <w:rFonts w:ascii="Times New Roman" w:hAnsi="Times New Roman" w:cs="Times New Roman"/>
        </w:rPr>
      </w:pPr>
      <w:r>
        <w:rPr>
          <w:rFonts w:ascii="Times New Roman" w:hAnsi="Times New Roman" w:cs="Times New Roman"/>
          <w:b/>
          <w:bCs/>
        </w:rPr>
        <w:t xml:space="preserve">Table </w:t>
      </w:r>
      <w:r>
        <w:rPr>
          <w:rFonts w:hint="eastAsia" w:ascii="Times New Roman" w:hAnsi="Times New Roman" w:cs="Times New Roman"/>
          <w:b/>
          <w:bCs/>
        </w:rPr>
        <w:t>A.10</w:t>
      </w:r>
      <w:r>
        <w:rPr>
          <w:rFonts w:ascii="Times New Roman" w:hAnsi="Times New Roman" w:cs="Times New Roman"/>
        </w:rPr>
        <w:t xml:space="preserve"> Results of the confirmatory factor analysis (CFA) measurement model</w:t>
      </w:r>
    </w:p>
    <w:tbl>
      <w:tblPr>
        <w:tblStyle w:val="18"/>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1694"/>
        <w:gridCol w:w="2459"/>
        <w:gridCol w:w="741"/>
        <w:gridCol w:w="651"/>
        <w:gridCol w:w="716"/>
      </w:tblGrid>
      <w:tr w14:paraId="0B85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04" w:type="dxa"/>
            <w:tcBorders>
              <w:top w:val="single" w:color="000000" w:sz="12" w:space="0"/>
              <w:left w:val="nil"/>
              <w:bottom w:val="single" w:color="000000" w:sz="4" w:space="0"/>
              <w:right w:val="nil"/>
            </w:tcBorders>
            <w:shd w:val="clear" w:color="auto" w:fill="FFFFFF"/>
            <w:vAlign w:val="center"/>
          </w:tcPr>
          <w:p w14:paraId="47F68F7B">
            <w:pPr>
              <w:widowControl/>
              <w:snapToGrid w:val="0"/>
              <w:spacing w:line="240" w:lineRule="auto"/>
              <w:ind w:left="0" w:leftChars="0" w:right="0" w:rightChars="0" w:firstLine="0" w:firstLineChars="0"/>
              <w:jc w:val="center"/>
              <w:rPr>
                <w:rFonts w:ascii="Times New Roman" w:hAnsi="Times New Roman" w:eastAsia="宋体" w:cs="Times New Roman"/>
                <w:b/>
                <w:color w:val="000000"/>
                <w:kern w:val="0"/>
                <w:sz w:val="18"/>
                <w:szCs w:val="18"/>
                <w:lang w:bidi="ar"/>
              </w:rPr>
            </w:pPr>
            <w:bookmarkStart w:id="5" w:name="_Hlk214287592"/>
            <w:r>
              <w:rPr>
                <w:rFonts w:ascii="Times New Roman" w:hAnsi="Times New Roman" w:eastAsia="宋体" w:cs="Times New Roman"/>
                <w:b/>
                <w:color w:val="000000"/>
                <w:kern w:val="0"/>
                <w:sz w:val="18"/>
                <w:szCs w:val="18"/>
                <w:lang w:bidi="ar"/>
              </w:rPr>
              <w:t>Latent factor</w:t>
            </w:r>
          </w:p>
        </w:tc>
        <w:tc>
          <w:tcPr>
            <w:tcW w:w="1694" w:type="dxa"/>
            <w:tcBorders>
              <w:top w:val="single" w:color="000000" w:sz="12" w:space="0"/>
              <w:left w:val="nil"/>
              <w:bottom w:val="single" w:color="000000" w:sz="4" w:space="0"/>
              <w:right w:val="nil"/>
            </w:tcBorders>
            <w:shd w:val="clear" w:color="auto" w:fill="FFFFFF"/>
            <w:vAlign w:val="center"/>
          </w:tcPr>
          <w:p w14:paraId="58EB3BD2">
            <w:pPr>
              <w:widowControl/>
              <w:snapToGrid w:val="0"/>
              <w:spacing w:line="240" w:lineRule="auto"/>
              <w:ind w:left="0" w:leftChars="0" w:right="0" w:rightChars="0" w:firstLine="0" w:firstLineChars="0"/>
              <w:jc w:val="center"/>
              <w:rPr>
                <w:rFonts w:ascii="Times New Roman" w:hAnsi="Times New Roman" w:eastAsia="宋体" w:cs="Times New Roman"/>
                <w:b/>
                <w:color w:val="000000"/>
                <w:kern w:val="0"/>
                <w:sz w:val="18"/>
                <w:szCs w:val="18"/>
                <w:lang w:bidi="ar"/>
              </w:rPr>
            </w:pPr>
            <w:r>
              <w:rPr>
                <w:rFonts w:ascii="Times New Roman" w:hAnsi="Times New Roman" w:eastAsia="宋体" w:cs="Times New Roman"/>
                <w:b/>
                <w:color w:val="000000"/>
                <w:kern w:val="0"/>
                <w:sz w:val="18"/>
                <w:szCs w:val="18"/>
                <w:lang w:bidi="ar"/>
              </w:rPr>
              <w:t>Observed variable</w:t>
            </w:r>
          </w:p>
        </w:tc>
        <w:tc>
          <w:tcPr>
            <w:tcW w:w="2459" w:type="dxa"/>
            <w:tcBorders>
              <w:top w:val="single" w:color="000000" w:sz="12" w:space="0"/>
              <w:left w:val="nil"/>
              <w:bottom w:val="single" w:color="000000" w:sz="4" w:space="0"/>
              <w:right w:val="nil"/>
            </w:tcBorders>
            <w:shd w:val="clear" w:color="auto" w:fill="FFFFFF"/>
            <w:vAlign w:val="center"/>
          </w:tcPr>
          <w:p w14:paraId="5362D4D5">
            <w:pPr>
              <w:snapToGrid w:val="0"/>
              <w:spacing w:line="240" w:lineRule="auto"/>
              <w:ind w:left="0" w:leftChars="0" w:right="0" w:rightChars="0" w:firstLine="0" w:firstLineChars="0"/>
              <w:jc w:val="center"/>
              <w:rPr>
                <w:rFonts w:ascii="Times New Roman" w:hAnsi="Times New Roman" w:eastAsia="宋体" w:cs="Times New Roman"/>
                <w:b/>
                <w:color w:val="000000"/>
                <w:kern w:val="0"/>
                <w:sz w:val="18"/>
                <w:szCs w:val="18"/>
                <w:lang w:bidi="ar"/>
              </w:rPr>
            </w:pPr>
            <w:r>
              <w:rPr>
                <w:rFonts w:ascii="Times New Roman" w:hAnsi="Times New Roman" w:eastAsia="宋体" w:cs="Times New Roman"/>
                <w:b/>
                <w:color w:val="000000"/>
                <w:kern w:val="0"/>
                <w:sz w:val="18"/>
                <w:szCs w:val="18"/>
                <w:lang w:bidi="ar"/>
              </w:rPr>
              <w:t>Standardized factor loading</w:t>
            </w:r>
          </w:p>
        </w:tc>
        <w:tc>
          <w:tcPr>
            <w:tcW w:w="741" w:type="dxa"/>
            <w:tcBorders>
              <w:top w:val="single" w:color="000000" w:sz="12" w:space="0"/>
              <w:left w:val="nil"/>
              <w:bottom w:val="single" w:color="000000" w:sz="4" w:space="0"/>
              <w:right w:val="nil"/>
            </w:tcBorders>
            <w:shd w:val="clear" w:color="auto" w:fill="FFFFFF"/>
            <w:vAlign w:val="center"/>
          </w:tcPr>
          <w:p w14:paraId="118BDEA7">
            <w:pPr>
              <w:widowControl/>
              <w:snapToGrid w:val="0"/>
              <w:spacing w:line="240" w:lineRule="auto"/>
              <w:ind w:left="0" w:leftChars="0" w:right="0" w:rightChars="0" w:firstLine="0" w:firstLineChars="0"/>
              <w:jc w:val="center"/>
              <w:rPr>
                <w:rFonts w:ascii="Times New Roman" w:hAnsi="Times New Roman" w:eastAsia="宋体" w:cs="Times New Roman"/>
                <w:b/>
                <w:color w:val="000000"/>
                <w:kern w:val="0"/>
                <w:sz w:val="18"/>
                <w:szCs w:val="18"/>
                <w:lang w:bidi="ar"/>
              </w:rPr>
            </w:pPr>
            <w:r>
              <w:rPr>
                <w:rFonts w:ascii="Times New Roman" w:hAnsi="Times New Roman" w:eastAsia="宋体" w:cs="Times New Roman"/>
                <w:b/>
                <w:color w:val="000000"/>
                <w:kern w:val="0"/>
                <w:sz w:val="18"/>
                <w:szCs w:val="18"/>
                <w:lang w:bidi="ar"/>
              </w:rPr>
              <w:t>t</w:t>
            </w:r>
          </w:p>
        </w:tc>
        <w:tc>
          <w:tcPr>
            <w:tcW w:w="651" w:type="dxa"/>
            <w:tcBorders>
              <w:top w:val="single" w:color="000000" w:sz="12" w:space="0"/>
              <w:left w:val="nil"/>
              <w:bottom w:val="single" w:color="000000" w:sz="4" w:space="0"/>
              <w:right w:val="nil"/>
            </w:tcBorders>
            <w:shd w:val="clear" w:color="auto" w:fill="FFFFFF"/>
            <w:vAlign w:val="center"/>
          </w:tcPr>
          <w:p w14:paraId="3DE95607">
            <w:pPr>
              <w:widowControl/>
              <w:snapToGrid w:val="0"/>
              <w:spacing w:line="240" w:lineRule="auto"/>
              <w:ind w:left="0" w:leftChars="0" w:right="0" w:rightChars="0" w:firstLine="0" w:firstLineChars="0"/>
              <w:jc w:val="center"/>
              <w:rPr>
                <w:rFonts w:ascii="Times New Roman" w:hAnsi="Times New Roman" w:eastAsia="宋体" w:cs="Times New Roman"/>
                <w:b/>
                <w:color w:val="000000"/>
                <w:kern w:val="0"/>
                <w:sz w:val="18"/>
                <w:szCs w:val="18"/>
                <w:lang w:bidi="ar"/>
              </w:rPr>
            </w:pPr>
            <w:r>
              <w:rPr>
                <w:rFonts w:ascii="Times New Roman" w:hAnsi="Times New Roman" w:eastAsia="宋体" w:cs="Times New Roman"/>
                <w:b/>
                <w:color w:val="000000"/>
                <w:kern w:val="0"/>
                <w:sz w:val="18"/>
                <w:szCs w:val="18"/>
                <w:lang w:bidi="ar"/>
              </w:rPr>
              <w:t>CR</w:t>
            </w:r>
          </w:p>
        </w:tc>
        <w:tc>
          <w:tcPr>
            <w:tcW w:w="716" w:type="dxa"/>
            <w:tcBorders>
              <w:top w:val="single" w:color="000000" w:sz="12" w:space="0"/>
              <w:left w:val="nil"/>
              <w:bottom w:val="single" w:color="000000" w:sz="4" w:space="0"/>
              <w:right w:val="nil"/>
            </w:tcBorders>
            <w:shd w:val="clear" w:color="auto" w:fill="FFFFFF"/>
            <w:vAlign w:val="center"/>
          </w:tcPr>
          <w:p w14:paraId="3B962E93">
            <w:pPr>
              <w:widowControl/>
              <w:snapToGrid w:val="0"/>
              <w:spacing w:line="240" w:lineRule="auto"/>
              <w:ind w:left="0" w:leftChars="0" w:right="0" w:rightChars="0" w:firstLine="0" w:firstLineChars="0"/>
              <w:jc w:val="center"/>
              <w:rPr>
                <w:rFonts w:ascii="Times New Roman" w:hAnsi="Times New Roman" w:eastAsia="宋体" w:cs="Times New Roman"/>
                <w:b/>
                <w:color w:val="000000"/>
                <w:kern w:val="0"/>
                <w:sz w:val="18"/>
                <w:szCs w:val="18"/>
                <w:lang w:bidi="ar"/>
              </w:rPr>
            </w:pPr>
            <w:r>
              <w:rPr>
                <w:rFonts w:ascii="Times New Roman" w:hAnsi="Times New Roman" w:eastAsia="宋体" w:cs="Times New Roman"/>
                <w:b/>
                <w:color w:val="000000"/>
                <w:kern w:val="0"/>
                <w:sz w:val="18"/>
                <w:szCs w:val="18"/>
                <w:lang w:bidi="ar"/>
              </w:rPr>
              <w:t>AVE</w:t>
            </w:r>
          </w:p>
        </w:tc>
      </w:tr>
      <w:bookmarkEnd w:id="5"/>
      <w:tr w14:paraId="0B96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restart"/>
            <w:tcBorders>
              <w:top w:val="single" w:color="000000" w:sz="4" w:space="0"/>
              <w:left w:val="nil"/>
              <w:bottom w:val="single" w:color="000000" w:sz="4" w:space="0"/>
              <w:right w:val="nil"/>
            </w:tcBorders>
            <w:shd w:val="clear" w:color="auto" w:fill="FFFFFF"/>
            <w:vAlign w:val="center"/>
          </w:tcPr>
          <w:p w14:paraId="1C19B8F4">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Visual Disturbance</w:t>
            </w:r>
            <w:r>
              <w:rPr>
                <w:rFonts w:hint="eastAsia" w:ascii="Times New Roman" w:hAnsi="Times New Roman" w:eastAsia="宋体" w:cs="Times New Roman"/>
                <w:color w:val="000000"/>
                <w:kern w:val="0"/>
                <w:sz w:val="18"/>
                <w:szCs w:val="18"/>
                <w:lang w:bidi="ar"/>
              </w:rPr>
              <w:t xml:space="preserve"> </w:t>
            </w:r>
            <w:r>
              <w:rPr>
                <w:rFonts w:ascii="Times New Roman" w:hAnsi="Times New Roman" w:eastAsia="宋体" w:cs="Times New Roman"/>
                <w:color w:val="000000"/>
                <w:kern w:val="0"/>
                <w:sz w:val="18"/>
                <w:szCs w:val="18"/>
                <w:lang w:bidi="ar"/>
              </w:rPr>
              <w:t>(VD)</w:t>
            </w:r>
          </w:p>
        </w:tc>
        <w:tc>
          <w:tcPr>
            <w:tcW w:w="1694" w:type="dxa"/>
            <w:tcBorders>
              <w:top w:val="single" w:color="000000" w:sz="4" w:space="0"/>
              <w:left w:val="nil"/>
              <w:bottom w:val="single" w:color="000000" w:sz="4" w:space="0"/>
              <w:right w:val="nil"/>
            </w:tcBorders>
            <w:shd w:val="clear" w:color="auto" w:fill="FFFFFF"/>
            <w:vAlign w:val="center"/>
          </w:tcPr>
          <w:p w14:paraId="21D91D18">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Q6</w:t>
            </w:r>
          </w:p>
        </w:tc>
        <w:tc>
          <w:tcPr>
            <w:tcW w:w="2459" w:type="dxa"/>
            <w:tcBorders>
              <w:top w:val="single" w:color="000000" w:sz="4" w:space="0"/>
              <w:left w:val="nil"/>
              <w:bottom w:val="single" w:color="000000" w:sz="4" w:space="0"/>
              <w:right w:val="nil"/>
            </w:tcBorders>
            <w:shd w:val="clear" w:color="auto" w:fill="FFFFFF"/>
            <w:vAlign w:val="center"/>
          </w:tcPr>
          <w:p w14:paraId="213DDAE4">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0.72</w:t>
            </w:r>
          </w:p>
        </w:tc>
        <w:tc>
          <w:tcPr>
            <w:tcW w:w="741" w:type="dxa"/>
            <w:tcBorders>
              <w:top w:val="single" w:color="000000" w:sz="4" w:space="0"/>
              <w:left w:val="nil"/>
              <w:bottom w:val="single" w:color="000000" w:sz="4" w:space="0"/>
              <w:right w:val="nil"/>
            </w:tcBorders>
            <w:shd w:val="clear" w:color="auto" w:fill="FFFFFF"/>
            <w:vAlign w:val="center"/>
          </w:tcPr>
          <w:p w14:paraId="5D032701">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11.35</w:t>
            </w:r>
          </w:p>
        </w:tc>
        <w:tc>
          <w:tcPr>
            <w:tcW w:w="651" w:type="dxa"/>
            <w:tcBorders>
              <w:top w:val="single" w:color="000000" w:sz="4" w:space="0"/>
              <w:left w:val="nil"/>
              <w:bottom w:val="single" w:color="000000" w:sz="4" w:space="0"/>
              <w:right w:val="nil"/>
            </w:tcBorders>
            <w:shd w:val="clear" w:color="auto" w:fill="FFFFFF"/>
            <w:vAlign w:val="center"/>
          </w:tcPr>
          <w:p w14:paraId="5CFC4AD2">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55CF44FC">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4175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2482E92F">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4D3885DE">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Q7</w:t>
            </w:r>
          </w:p>
        </w:tc>
        <w:tc>
          <w:tcPr>
            <w:tcW w:w="2459" w:type="dxa"/>
            <w:tcBorders>
              <w:top w:val="single" w:color="000000" w:sz="4" w:space="0"/>
              <w:left w:val="nil"/>
              <w:bottom w:val="single" w:color="000000" w:sz="4" w:space="0"/>
              <w:right w:val="nil"/>
            </w:tcBorders>
            <w:shd w:val="clear" w:color="auto" w:fill="FFFFFF"/>
            <w:vAlign w:val="center"/>
          </w:tcPr>
          <w:p w14:paraId="0C746EAB">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0.75</w:t>
            </w:r>
          </w:p>
        </w:tc>
        <w:tc>
          <w:tcPr>
            <w:tcW w:w="741" w:type="dxa"/>
            <w:tcBorders>
              <w:top w:val="single" w:color="000000" w:sz="4" w:space="0"/>
              <w:left w:val="nil"/>
              <w:bottom w:val="single" w:color="000000" w:sz="4" w:space="0"/>
              <w:right w:val="nil"/>
            </w:tcBorders>
            <w:shd w:val="clear" w:color="auto" w:fill="FFFFFF"/>
            <w:vAlign w:val="center"/>
          </w:tcPr>
          <w:p w14:paraId="69C64181">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12.02</w:t>
            </w:r>
          </w:p>
        </w:tc>
        <w:tc>
          <w:tcPr>
            <w:tcW w:w="651" w:type="dxa"/>
            <w:tcBorders>
              <w:top w:val="single" w:color="000000" w:sz="4" w:space="0"/>
              <w:left w:val="nil"/>
              <w:bottom w:val="single" w:color="000000" w:sz="4" w:space="0"/>
              <w:right w:val="nil"/>
            </w:tcBorders>
            <w:shd w:val="clear" w:color="auto" w:fill="FFFFFF"/>
            <w:vAlign w:val="center"/>
          </w:tcPr>
          <w:p w14:paraId="75CBD238">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274C9ED0">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4A11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4E9AF7A0">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2A1AA3A5">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Q8</w:t>
            </w:r>
          </w:p>
        </w:tc>
        <w:tc>
          <w:tcPr>
            <w:tcW w:w="2459" w:type="dxa"/>
            <w:tcBorders>
              <w:top w:val="single" w:color="000000" w:sz="4" w:space="0"/>
              <w:left w:val="nil"/>
              <w:bottom w:val="single" w:color="000000" w:sz="4" w:space="0"/>
              <w:right w:val="nil"/>
            </w:tcBorders>
            <w:shd w:val="clear" w:color="auto" w:fill="FFFFFF"/>
            <w:vAlign w:val="center"/>
          </w:tcPr>
          <w:p w14:paraId="5B04C7B5">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0.70</w:t>
            </w:r>
          </w:p>
        </w:tc>
        <w:tc>
          <w:tcPr>
            <w:tcW w:w="741" w:type="dxa"/>
            <w:tcBorders>
              <w:top w:val="single" w:color="000000" w:sz="4" w:space="0"/>
              <w:left w:val="nil"/>
              <w:bottom w:val="single" w:color="000000" w:sz="4" w:space="0"/>
              <w:right w:val="nil"/>
            </w:tcBorders>
            <w:shd w:val="clear" w:color="auto" w:fill="FFFFFF"/>
            <w:vAlign w:val="center"/>
          </w:tcPr>
          <w:p w14:paraId="616E51A1">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10.88</w:t>
            </w:r>
          </w:p>
        </w:tc>
        <w:tc>
          <w:tcPr>
            <w:tcW w:w="651" w:type="dxa"/>
            <w:tcBorders>
              <w:top w:val="single" w:color="000000" w:sz="4" w:space="0"/>
              <w:left w:val="nil"/>
              <w:bottom w:val="single" w:color="000000" w:sz="4" w:space="0"/>
              <w:right w:val="nil"/>
            </w:tcBorders>
            <w:shd w:val="clear" w:color="auto" w:fill="FFFFFF"/>
            <w:vAlign w:val="center"/>
          </w:tcPr>
          <w:p w14:paraId="603E7663">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57509931">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086C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2945D900">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77A28F71">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Q9</w:t>
            </w:r>
          </w:p>
        </w:tc>
        <w:tc>
          <w:tcPr>
            <w:tcW w:w="2459" w:type="dxa"/>
            <w:tcBorders>
              <w:top w:val="single" w:color="000000" w:sz="4" w:space="0"/>
              <w:left w:val="nil"/>
              <w:bottom w:val="single" w:color="000000" w:sz="4" w:space="0"/>
              <w:right w:val="nil"/>
            </w:tcBorders>
            <w:shd w:val="clear" w:color="auto" w:fill="FFFFFF"/>
            <w:vAlign w:val="center"/>
          </w:tcPr>
          <w:p w14:paraId="3265D5F7">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0.73</w:t>
            </w:r>
          </w:p>
        </w:tc>
        <w:tc>
          <w:tcPr>
            <w:tcW w:w="741" w:type="dxa"/>
            <w:tcBorders>
              <w:top w:val="single" w:color="000000" w:sz="4" w:space="0"/>
              <w:left w:val="nil"/>
              <w:bottom w:val="single" w:color="000000" w:sz="4" w:space="0"/>
              <w:right w:val="nil"/>
            </w:tcBorders>
            <w:shd w:val="clear" w:color="auto" w:fill="FFFFFF"/>
            <w:vAlign w:val="center"/>
          </w:tcPr>
          <w:p w14:paraId="07CE3E93">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11.45</w:t>
            </w:r>
          </w:p>
        </w:tc>
        <w:tc>
          <w:tcPr>
            <w:tcW w:w="651" w:type="dxa"/>
            <w:tcBorders>
              <w:top w:val="single" w:color="000000" w:sz="4" w:space="0"/>
              <w:left w:val="nil"/>
              <w:bottom w:val="single" w:color="000000" w:sz="4" w:space="0"/>
              <w:right w:val="nil"/>
            </w:tcBorders>
            <w:shd w:val="clear" w:color="auto" w:fill="FFFFFF"/>
            <w:vAlign w:val="center"/>
          </w:tcPr>
          <w:p w14:paraId="0E4338B7">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43E37782">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5A4F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462221E5">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267B1A2C">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Q10</w:t>
            </w:r>
          </w:p>
        </w:tc>
        <w:tc>
          <w:tcPr>
            <w:tcW w:w="2459" w:type="dxa"/>
            <w:tcBorders>
              <w:top w:val="single" w:color="000000" w:sz="4" w:space="0"/>
              <w:left w:val="nil"/>
              <w:bottom w:val="single" w:color="000000" w:sz="4" w:space="0"/>
              <w:right w:val="nil"/>
            </w:tcBorders>
            <w:shd w:val="clear" w:color="auto" w:fill="FFFFFF"/>
            <w:vAlign w:val="center"/>
          </w:tcPr>
          <w:p w14:paraId="5BA7C481">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0.68</w:t>
            </w:r>
          </w:p>
        </w:tc>
        <w:tc>
          <w:tcPr>
            <w:tcW w:w="741" w:type="dxa"/>
            <w:tcBorders>
              <w:top w:val="single" w:color="000000" w:sz="4" w:space="0"/>
              <w:left w:val="nil"/>
              <w:bottom w:val="single" w:color="000000" w:sz="4" w:space="0"/>
              <w:right w:val="nil"/>
            </w:tcBorders>
            <w:shd w:val="clear" w:color="auto" w:fill="FFFFFF"/>
            <w:vAlign w:val="center"/>
          </w:tcPr>
          <w:p w14:paraId="4E2A5D62">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10.22</w:t>
            </w:r>
          </w:p>
        </w:tc>
        <w:tc>
          <w:tcPr>
            <w:tcW w:w="651" w:type="dxa"/>
            <w:tcBorders>
              <w:top w:val="single" w:color="000000" w:sz="4" w:space="0"/>
              <w:left w:val="nil"/>
              <w:bottom w:val="single" w:color="000000" w:sz="4" w:space="0"/>
              <w:right w:val="nil"/>
            </w:tcBorders>
            <w:shd w:val="clear" w:color="auto" w:fill="FFFFFF"/>
            <w:vAlign w:val="center"/>
          </w:tcPr>
          <w:p w14:paraId="4A4D4E3F">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12BF91F8">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0F58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38899474">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1110F74B">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Q11 (R)</w:t>
            </w:r>
          </w:p>
        </w:tc>
        <w:tc>
          <w:tcPr>
            <w:tcW w:w="2459" w:type="dxa"/>
            <w:tcBorders>
              <w:top w:val="single" w:color="000000" w:sz="4" w:space="0"/>
              <w:left w:val="nil"/>
              <w:bottom w:val="single" w:color="000000" w:sz="4" w:space="0"/>
              <w:right w:val="nil"/>
            </w:tcBorders>
            <w:shd w:val="clear" w:color="auto" w:fill="FFFFFF"/>
            <w:vAlign w:val="center"/>
          </w:tcPr>
          <w:p w14:paraId="52EBA0DB">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0.65</w:t>
            </w:r>
          </w:p>
        </w:tc>
        <w:tc>
          <w:tcPr>
            <w:tcW w:w="741" w:type="dxa"/>
            <w:tcBorders>
              <w:top w:val="single" w:color="000000" w:sz="4" w:space="0"/>
              <w:left w:val="nil"/>
              <w:bottom w:val="single" w:color="000000" w:sz="4" w:space="0"/>
              <w:right w:val="nil"/>
            </w:tcBorders>
            <w:shd w:val="clear" w:color="auto" w:fill="FFFFFF"/>
            <w:vAlign w:val="center"/>
          </w:tcPr>
          <w:p w14:paraId="3486DCA2">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9.87</w:t>
            </w:r>
          </w:p>
        </w:tc>
        <w:tc>
          <w:tcPr>
            <w:tcW w:w="651" w:type="dxa"/>
            <w:tcBorders>
              <w:top w:val="single" w:color="000000" w:sz="4" w:space="0"/>
              <w:left w:val="nil"/>
              <w:bottom w:val="single" w:color="000000" w:sz="4" w:space="0"/>
              <w:right w:val="nil"/>
            </w:tcBorders>
            <w:shd w:val="clear" w:color="auto" w:fill="FFFFFF"/>
            <w:vAlign w:val="center"/>
          </w:tcPr>
          <w:p w14:paraId="34CAFBFC">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6A31B0CF">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41B0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6277E5D7">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2CB946EB">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Q12</w:t>
            </w:r>
          </w:p>
        </w:tc>
        <w:tc>
          <w:tcPr>
            <w:tcW w:w="2459" w:type="dxa"/>
            <w:tcBorders>
              <w:top w:val="single" w:color="000000" w:sz="4" w:space="0"/>
              <w:left w:val="nil"/>
              <w:bottom w:val="single" w:color="000000" w:sz="4" w:space="0"/>
              <w:right w:val="nil"/>
            </w:tcBorders>
            <w:shd w:val="clear" w:color="auto" w:fill="FFFFFF"/>
            <w:vAlign w:val="center"/>
          </w:tcPr>
          <w:p w14:paraId="5AE268BB">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0.74</w:t>
            </w:r>
          </w:p>
        </w:tc>
        <w:tc>
          <w:tcPr>
            <w:tcW w:w="741" w:type="dxa"/>
            <w:tcBorders>
              <w:top w:val="single" w:color="000000" w:sz="4" w:space="0"/>
              <w:left w:val="nil"/>
              <w:bottom w:val="single" w:color="000000" w:sz="4" w:space="0"/>
              <w:right w:val="nil"/>
            </w:tcBorders>
            <w:shd w:val="clear" w:color="auto" w:fill="FFFFFF"/>
            <w:vAlign w:val="center"/>
          </w:tcPr>
          <w:p w14:paraId="3AD8B316">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11.92</w:t>
            </w:r>
          </w:p>
        </w:tc>
        <w:tc>
          <w:tcPr>
            <w:tcW w:w="651" w:type="dxa"/>
            <w:tcBorders>
              <w:top w:val="single" w:color="000000" w:sz="4" w:space="0"/>
              <w:left w:val="nil"/>
              <w:bottom w:val="single" w:color="000000" w:sz="4" w:space="0"/>
              <w:right w:val="nil"/>
            </w:tcBorders>
            <w:shd w:val="clear" w:color="auto" w:fill="FFFFFF"/>
            <w:vAlign w:val="center"/>
          </w:tcPr>
          <w:p w14:paraId="265B3513">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140FEAD4">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5BE0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2B54FA11">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760A262E">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Q13</w:t>
            </w:r>
          </w:p>
        </w:tc>
        <w:tc>
          <w:tcPr>
            <w:tcW w:w="2459" w:type="dxa"/>
            <w:tcBorders>
              <w:top w:val="single" w:color="000000" w:sz="4" w:space="0"/>
              <w:left w:val="nil"/>
              <w:bottom w:val="single" w:color="000000" w:sz="4" w:space="0"/>
              <w:right w:val="nil"/>
            </w:tcBorders>
            <w:shd w:val="clear" w:color="auto" w:fill="FFFFFF"/>
            <w:vAlign w:val="center"/>
          </w:tcPr>
          <w:p w14:paraId="7E67A1E7">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0.76</w:t>
            </w:r>
          </w:p>
        </w:tc>
        <w:tc>
          <w:tcPr>
            <w:tcW w:w="741" w:type="dxa"/>
            <w:tcBorders>
              <w:top w:val="single" w:color="000000" w:sz="4" w:space="0"/>
              <w:left w:val="nil"/>
              <w:bottom w:val="single" w:color="000000" w:sz="4" w:space="0"/>
              <w:right w:val="nil"/>
            </w:tcBorders>
            <w:shd w:val="clear" w:color="auto" w:fill="FFFFFF"/>
            <w:vAlign w:val="center"/>
          </w:tcPr>
          <w:p w14:paraId="68BB0A09">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12.08</w:t>
            </w:r>
          </w:p>
        </w:tc>
        <w:tc>
          <w:tcPr>
            <w:tcW w:w="651" w:type="dxa"/>
            <w:tcBorders>
              <w:top w:val="single" w:color="000000" w:sz="4" w:space="0"/>
              <w:left w:val="nil"/>
              <w:bottom w:val="single" w:color="000000" w:sz="4" w:space="0"/>
              <w:right w:val="nil"/>
            </w:tcBorders>
            <w:shd w:val="clear" w:color="auto" w:fill="FFFFFF"/>
            <w:vAlign w:val="center"/>
          </w:tcPr>
          <w:p w14:paraId="6A7CE37E">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54304C03">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69A8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606B6C14">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141E1568">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Q14</w:t>
            </w:r>
          </w:p>
        </w:tc>
        <w:tc>
          <w:tcPr>
            <w:tcW w:w="2459" w:type="dxa"/>
            <w:tcBorders>
              <w:top w:val="single" w:color="000000" w:sz="4" w:space="0"/>
              <w:left w:val="nil"/>
              <w:bottom w:val="single" w:color="000000" w:sz="4" w:space="0"/>
              <w:right w:val="nil"/>
            </w:tcBorders>
            <w:shd w:val="clear" w:color="auto" w:fill="FFFFFF"/>
            <w:vAlign w:val="center"/>
          </w:tcPr>
          <w:p w14:paraId="6127FDF6">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0.71</w:t>
            </w:r>
          </w:p>
        </w:tc>
        <w:tc>
          <w:tcPr>
            <w:tcW w:w="741" w:type="dxa"/>
            <w:tcBorders>
              <w:top w:val="single" w:color="000000" w:sz="4" w:space="0"/>
              <w:left w:val="nil"/>
              <w:bottom w:val="single" w:color="000000" w:sz="4" w:space="0"/>
              <w:right w:val="nil"/>
            </w:tcBorders>
            <w:shd w:val="clear" w:color="auto" w:fill="FFFFFF"/>
            <w:vAlign w:val="center"/>
          </w:tcPr>
          <w:p w14:paraId="5646B5A2">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11.02</w:t>
            </w:r>
          </w:p>
        </w:tc>
        <w:tc>
          <w:tcPr>
            <w:tcW w:w="651" w:type="dxa"/>
            <w:tcBorders>
              <w:top w:val="single" w:color="000000" w:sz="4" w:space="0"/>
              <w:left w:val="nil"/>
              <w:bottom w:val="single" w:color="000000" w:sz="4" w:space="0"/>
              <w:right w:val="nil"/>
            </w:tcBorders>
            <w:shd w:val="clear" w:color="auto" w:fill="FFFFFF"/>
            <w:vAlign w:val="center"/>
          </w:tcPr>
          <w:p w14:paraId="71B2FDF0">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7AC4C437">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6AE8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7B45E871">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43F33B13">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Q15</w:t>
            </w:r>
          </w:p>
        </w:tc>
        <w:tc>
          <w:tcPr>
            <w:tcW w:w="2459" w:type="dxa"/>
            <w:tcBorders>
              <w:top w:val="single" w:color="000000" w:sz="4" w:space="0"/>
              <w:left w:val="nil"/>
              <w:bottom w:val="single" w:color="000000" w:sz="4" w:space="0"/>
              <w:right w:val="nil"/>
            </w:tcBorders>
            <w:shd w:val="clear" w:color="auto" w:fill="FFFFFF"/>
            <w:vAlign w:val="center"/>
          </w:tcPr>
          <w:p w14:paraId="652E23D6">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0.70</w:t>
            </w:r>
          </w:p>
        </w:tc>
        <w:tc>
          <w:tcPr>
            <w:tcW w:w="741" w:type="dxa"/>
            <w:tcBorders>
              <w:top w:val="single" w:color="000000" w:sz="4" w:space="0"/>
              <w:left w:val="nil"/>
              <w:bottom w:val="single" w:color="000000" w:sz="4" w:space="0"/>
              <w:right w:val="nil"/>
            </w:tcBorders>
            <w:shd w:val="clear" w:color="auto" w:fill="FFFFFF"/>
            <w:vAlign w:val="center"/>
          </w:tcPr>
          <w:p w14:paraId="3621C413">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10.84</w:t>
            </w:r>
          </w:p>
        </w:tc>
        <w:tc>
          <w:tcPr>
            <w:tcW w:w="651" w:type="dxa"/>
            <w:tcBorders>
              <w:top w:val="single" w:color="000000" w:sz="4" w:space="0"/>
              <w:left w:val="nil"/>
              <w:bottom w:val="single" w:color="000000" w:sz="4" w:space="0"/>
              <w:right w:val="nil"/>
            </w:tcBorders>
            <w:shd w:val="clear" w:color="auto" w:fill="FFFFFF"/>
            <w:vAlign w:val="center"/>
          </w:tcPr>
          <w:p w14:paraId="486BE5FE">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6E6319FC">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372E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022C0B5D">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6EBC9811">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Q16</w:t>
            </w:r>
          </w:p>
        </w:tc>
        <w:tc>
          <w:tcPr>
            <w:tcW w:w="2459" w:type="dxa"/>
            <w:tcBorders>
              <w:top w:val="single" w:color="000000" w:sz="4" w:space="0"/>
              <w:left w:val="nil"/>
              <w:bottom w:val="single" w:color="000000" w:sz="4" w:space="0"/>
              <w:right w:val="nil"/>
            </w:tcBorders>
            <w:shd w:val="clear" w:color="auto" w:fill="FFFFFF"/>
            <w:vAlign w:val="center"/>
          </w:tcPr>
          <w:p w14:paraId="5422C79A">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0.73</w:t>
            </w:r>
          </w:p>
        </w:tc>
        <w:tc>
          <w:tcPr>
            <w:tcW w:w="741" w:type="dxa"/>
            <w:tcBorders>
              <w:top w:val="single" w:color="000000" w:sz="4" w:space="0"/>
              <w:left w:val="nil"/>
              <w:bottom w:val="single" w:color="000000" w:sz="4" w:space="0"/>
              <w:right w:val="nil"/>
            </w:tcBorders>
            <w:shd w:val="clear" w:color="auto" w:fill="FFFFFF"/>
            <w:vAlign w:val="center"/>
          </w:tcPr>
          <w:p w14:paraId="5550406D">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11.37</w:t>
            </w:r>
          </w:p>
        </w:tc>
        <w:tc>
          <w:tcPr>
            <w:tcW w:w="651" w:type="dxa"/>
            <w:tcBorders>
              <w:top w:val="single" w:color="000000" w:sz="4" w:space="0"/>
              <w:left w:val="nil"/>
              <w:bottom w:val="single" w:color="000000" w:sz="4" w:space="0"/>
              <w:right w:val="nil"/>
            </w:tcBorders>
            <w:shd w:val="clear" w:color="auto" w:fill="FFFFFF"/>
            <w:vAlign w:val="center"/>
          </w:tcPr>
          <w:p w14:paraId="02C47B81">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46C2B88A">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1F21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07617071">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402343D7">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Q17 (R)</w:t>
            </w:r>
          </w:p>
        </w:tc>
        <w:tc>
          <w:tcPr>
            <w:tcW w:w="2459" w:type="dxa"/>
            <w:tcBorders>
              <w:top w:val="single" w:color="000000" w:sz="4" w:space="0"/>
              <w:left w:val="nil"/>
              <w:bottom w:val="single" w:color="000000" w:sz="4" w:space="0"/>
              <w:right w:val="nil"/>
            </w:tcBorders>
            <w:shd w:val="clear" w:color="auto" w:fill="FFFFFF"/>
            <w:vAlign w:val="center"/>
          </w:tcPr>
          <w:p w14:paraId="23EE7011">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0.69</w:t>
            </w:r>
          </w:p>
        </w:tc>
        <w:tc>
          <w:tcPr>
            <w:tcW w:w="741" w:type="dxa"/>
            <w:tcBorders>
              <w:top w:val="single" w:color="000000" w:sz="4" w:space="0"/>
              <w:left w:val="nil"/>
              <w:bottom w:val="single" w:color="000000" w:sz="4" w:space="0"/>
              <w:right w:val="nil"/>
            </w:tcBorders>
            <w:shd w:val="clear" w:color="auto" w:fill="FFFFFF"/>
            <w:vAlign w:val="center"/>
          </w:tcPr>
          <w:p w14:paraId="0D4DF14E">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10.75</w:t>
            </w:r>
          </w:p>
        </w:tc>
        <w:tc>
          <w:tcPr>
            <w:tcW w:w="651" w:type="dxa"/>
            <w:tcBorders>
              <w:top w:val="single" w:color="000000" w:sz="4" w:space="0"/>
              <w:left w:val="nil"/>
              <w:bottom w:val="single" w:color="000000" w:sz="4" w:space="0"/>
              <w:right w:val="nil"/>
            </w:tcBorders>
            <w:shd w:val="clear" w:color="auto" w:fill="FFFFFF"/>
            <w:vAlign w:val="center"/>
          </w:tcPr>
          <w:p w14:paraId="022EE880">
            <w:pPr>
              <w:widowControl/>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0.93</w:t>
            </w:r>
          </w:p>
        </w:tc>
        <w:tc>
          <w:tcPr>
            <w:tcW w:w="716" w:type="dxa"/>
            <w:tcBorders>
              <w:top w:val="single" w:color="000000" w:sz="4" w:space="0"/>
              <w:left w:val="nil"/>
              <w:bottom w:val="single" w:color="000000" w:sz="4" w:space="0"/>
              <w:right w:val="nil"/>
            </w:tcBorders>
            <w:shd w:val="clear" w:color="auto" w:fill="FFFFFF"/>
            <w:vAlign w:val="center"/>
          </w:tcPr>
          <w:p w14:paraId="5C9A1B97">
            <w:pPr>
              <w:widowControl/>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0.58</w:t>
            </w:r>
          </w:p>
        </w:tc>
      </w:tr>
      <w:tr w14:paraId="7728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restart"/>
            <w:tcBorders>
              <w:top w:val="single" w:color="000000" w:sz="4" w:space="0"/>
              <w:left w:val="nil"/>
              <w:bottom w:val="single" w:color="000000" w:sz="4" w:space="0"/>
              <w:right w:val="nil"/>
            </w:tcBorders>
            <w:shd w:val="clear" w:color="auto" w:fill="FFFFFF"/>
            <w:vAlign w:val="center"/>
          </w:tcPr>
          <w:p w14:paraId="5A93C028">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CU</w:t>
            </w:r>
          </w:p>
        </w:tc>
        <w:tc>
          <w:tcPr>
            <w:tcW w:w="1694" w:type="dxa"/>
            <w:tcBorders>
              <w:top w:val="single" w:color="000000" w:sz="4" w:space="0"/>
              <w:left w:val="nil"/>
              <w:bottom w:val="single" w:color="000000" w:sz="4" w:space="0"/>
              <w:right w:val="nil"/>
            </w:tcBorders>
            <w:shd w:val="clear" w:color="auto" w:fill="FFFFFF"/>
            <w:vAlign w:val="center"/>
          </w:tcPr>
          <w:p w14:paraId="713FAED9">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Q18</w:t>
            </w:r>
          </w:p>
        </w:tc>
        <w:tc>
          <w:tcPr>
            <w:tcW w:w="2459" w:type="dxa"/>
            <w:tcBorders>
              <w:top w:val="single" w:color="000000" w:sz="4" w:space="0"/>
              <w:left w:val="nil"/>
              <w:bottom w:val="single" w:color="000000" w:sz="4" w:space="0"/>
              <w:right w:val="nil"/>
            </w:tcBorders>
            <w:shd w:val="clear" w:color="auto" w:fill="FFFFFF"/>
            <w:vAlign w:val="center"/>
          </w:tcPr>
          <w:p w14:paraId="33239F63">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0.78</w:t>
            </w:r>
          </w:p>
        </w:tc>
        <w:tc>
          <w:tcPr>
            <w:tcW w:w="741" w:type="dxa"/>
            <w:tcBorders>
              <w:top w:val="single" w:color="000000" w:sz="4" w:space="0"/>
              <w:left w:val="nil"/>
              <w:bottom w:val="single" w:color="000000" w:sz="4" w:space="0"/>
              <w:right w:val="nil"/>
            </w:tcBorders>
            <w:shd w:val="clear" w:color="auto" w:fill="FFFFFF"/>
            <w:vAlign w:val="center"/>
          </w:tcPr>
          <w:p w14:paraId="78A669CF">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12.55</w:t>
            </w:r>
          </w:p>
        </w:tc>
        <w:tc>
          <w:tcPr>
            <w:tcW w:w="651" w:type="dxa"/>
            <w:tcBorders>
              <w:top w:val="single" w:color="000000" w:sz="4" w:space="0"/>
              <w:left w:val="nil"/>
              <w:bottom w:val="single" w:color="000000" w:sz="4" w:space="0"/>
              <w:right w:val="nil"/>
            </w:tcBorders>
            <w:shd w:val="clear" w:color="auto" w:fill="FFFFFF"/>
            <w:vAlign w:val="center"/>
          </w:tcPr>
          <w:p w14:paraId="23362A07">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6FF723E2">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536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6A50CA87">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3876892A">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Q19</w:t>
            </w:r>
          </w:p>
        </w:tc>
        <w:tc>
          <w:tcPr>
            <w:tcW w:w="2459" w:type="dxa"/>
            <w:tcBorders>
              <w:top w:val="single" w:color="000000" w:sz="4" w:space="0"/>
              <w:left w:val="nil"/>
              <w:bottom w:val="single" w:color="000000" w:sz="4" w:space="0"/>
              <w:right w:val="nil"/>
            </w:tcBorders>
            <w:shd w:val="clear" w:color="auto" w:fill="FFFFFF"/>
            <w:vAlign w:val="center"/>
          </w:tcPr>
          <w:p w14:paraId="3678EE38">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0.80</w:t>
            </w:r>
          </w:p>
        </w:tc>
        <w:tc>
          <w:tcPr>
            <w:tcW w:w="741" w:type="dxa"/>
            <w:tcBorders>
              <w:top w:val="single" w:color="000000" w:sz="4" w:space="0"/>
              <w:left w:val="nil"/>
              <w:bottom w:val="single" w:color="000000" w:sz="4" w:space="0"/>
              <w:right w:val="nil"/>
            </w:tcBorders>
            <w:shd w:val="clear" w:color="auto" w:fill="FFFFFF"/>
            <w:vAlign w:val="center"/>
          </w:tcPr>
          <w:p w14:paraId="5857ABA4">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12.88</w:t>
            </w:r>
          </w:p>
        </w:tc>
        <w:tc>
          <w:tcPr>
            <w:tcW w:w="651" w:type="dxa"/>
            <w:tcBorders>
              <w:top w:val="single" w:color="000000" w:sz="4" w:space="0"/>
              <w:left w:val="nil"/>
              <w:bottom w:val="single" w:color="000000" w:sz="4" w:space="0"/>
              <w:right w:val="nil"/>
            </w:tcBorders>
            <w:shd w:val="clear" w:color="auto" w:fill="FFFFFF"/>
            <w:vAlign w:val="center"/>
          </w:tcPr>
          <w:p w14:paraId="36608F7D">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316D913E">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78AF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1B2D6A02">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38487D2F">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Q20</w:t>
            </w:r>
          </w:p>
        </w:tc>
        <w:tc>
          <w:tcPr>
            <w:tcW w:w="2459" w:type="dxa"/>
            <w:tcBorders>
              <w:top w:val="single" w:color="000000" w:sz="4" w:space="0"/>
              <w:left w:val="nil"/>
              <w:bottom w:val="single" w:color="000000" w:sz="4" w:space="0"/>
              <w:right w:val="nil"/>
            </w:tcBorders>
            <w:shd w:val="clear" w:color="auto" w:fill="FFFFFF"/>
            <w:vAlign w:val="center"/>
          </w:tcPr>
          <w:p w14:paraId="4FF73F3A">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0.77</w:t>
            </w:r>
          </w:p>
        </w:tc>
        <w:tc>
          <w:tcPr>
            <w:tcW w:w="741" w:type="dxa"/>
            <w:tcBorders>
              <w:top w:val="single" w:color="000000" w:sz="4" w:space="0"/>
              <w:left w:val="nil"/>
              <w:bottom w:val="single" w:color="000000" w:sz="4" w:space="0"/>
              <w:right w:val="nil"/>
            </w:tcBorders>
            <w:shd w:val="clear" w:color="auto" w:fill="FFFFFF"/>
            <w:vAlign w:val="center"/>
          </w:tcPr>
          <w:p w14:paraId="5B417507">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12.23</w:t>
            </w:r>
          </w:p>
        </w:tc>
        <w:tc>
          <w:tcPr>
            <w:tcW w:w="651" w:type="dxa"/>
            <w:tcBorders>
              <w:top w:val="single" w:color="000000" w:sz="4" w:space="0"/>
              <w:left w:val="nil"/>
              <w:bottom w:val="single" w:color="000000" w:sz="4" w:space="0"/>
              <w:right w:val="nil"/>
            </w:tcBorders>
            <w:shd w:val="clear" w:color="auto" w:fill="FFFFFF"/>
            <w:vAlign w:val="center"/>
          </w:tcPr>
          <w:p w14:paraId="79336907">
            <w:pPr>
              <w:widowControl/>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0.88</w:t>
            </w:r>
          </w:p>
        </w:tc>
        <w:tc>
          <w:tcPr>
            <w:tcW w:w="716" w:type="dxa"/>
            <w:tcBorders>
              <w:top w:val="single" w:color="000000" w:sz="4" w:space="0"/>
              <w:left w:val="nil"/>
              <w:bottom w:val="single" w:color="000000" w:sz="4" w:space="0"/>
              <w:right w:val="nil"/>
            </w:tcBorders>
            <w:shd w:val="clear" w:color="auto" w:fill="FFFFFF"/>
            <w:vAlign w:val="center"/>
          </w:tcPr>
          <w:p w14:paraId="4451296E">
            <w:pPr>
              <w:widowControl/>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0.61</w:t>
            </w:r>
          </w:p>
        </w:tc>
      </w:tr>
      <w:tr w14:paraId="5AA0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restart"/>
            <w:tcBorders>
              <w:top w:val="single" w:color="000000" w:sz="4" w:space="0"/>
              <w:left w:val="nil"/>
              <w:bottom w:val="single" w:color="000000" w:sz="4" w:space="0"/>
              <w:right w:val="nil"/>
            </w:tcBorders>
            <w:shd w:val="clear" w:color="auto" w:fill="FFFFFF"/>
            <w:vAlign w:val="center"/>
          </w:tcPr>
          <w:p w14:paraId="7347B4F9">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CP</w:t>
            </w:r>
          </w:p>
        </w:tc>
        <w:tc>
          <w:tcPr>
            <w:tcW w:w="1694" w:type="dxa"/>
            <w:tcBorders>
              <w:top w:val="single" w:color="000000" w:sz="4" w:space="0"/>
              <w:left w:val="nil"/>
              <w:bottom w:val="single" w:color="000000" w:sz="4" w:space="0"/>
              <w:right w:val="nil"/>
            </w:tcBorders>
            <w:shd w:val="clear" w:color="auto" w:fill="FFFFFF"/>
            <w:vAlign w:val="center"/>
          </w:tcPr>
          <w:p w14:paraId="20F6A5FA">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Q21</w:t>
            </w:r>
          </w:p>
        </w:tc>
        <w:tc>
          <w:tcPr>
            <w:tcW w:w="2459" w:type="dxa"/>
            <w:tcBorders>
              <w:top w:val="single" w:color="000000" w:sz="4" w:space="0"/>
              <w:left w:val="nil"/>
              <w:bottom w:val="single" w:color="000000" w:sz="4" w:space="0"/>
              <w:right w:val="nil"/>
            </w:tcBorders>
            <w:shd w:val="clear" w:color="auto" w:fill="FFFFFF"/>
            <w:vAlign w:val="center"/>
          </w:tcPr>
          <w:p w14:paraId="314A227E">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0.82</w:t>
            </w:r>
          </w:p>
        </w:tc>
        <w:tc>
          <w:tcPr>
            <w:tcW w:w="741" w:type="dxa"/>
            <w:tcBorders>
              <w:top w:val="single" w:color="000000" w:sz="4" w:space="0"/>
              <w:left w:val="nil"/>
              <w:bottom w:val="single" w:color="000000" w:sz="4" w:space="0"/>
              <w:right w:val="nil"/>
            </w:tcBorders>
            <w:shd w:val="clear" w:color="auto" w:fill="FFFFFF"/>
            <w:vAlign w:val="center"/>
          </w:tcPr>
          <w:p w14:paraId="0419F7DF">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13.40</w:t>
            </w:r>
          </w:p>
        </w:tc>
        <w:tc>
          <w:tcPr>
            <w:tcW w:w="651" w:type="dxa"/>
            <w:tcBorders>
              <w:top w:val="single" w:color="000000" w:sz="4" w:space="0"/>
              <w:left w:val="nil"/>
              <w:bottom w:val="single" w:color="000000" w:sz="4" w:space="0"/>
              <w:right w:val="nil"/>
            </w:tcBorders>
            <w:shd w:val="clear" w:color="auto" w:fill="FFFFFF"/>
            <w:vAlign w:val="center"/>
          </w:tcPr>
          <w:p w14:paraId="7346CD0C">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7E35378C">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1BC7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6B042174">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1884615E">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Q22</w:t>
            </w:r>
          </w:p>
        </w:tc>
        <w:tc>
          <w:tcPr>
            <w:tcW w:w="2459" w:type="dxa"/>
            <w:tcBorders>
              <w:top w:val="single" w:color="000000" w:sz="4" w:space="0"/>
              <w:left w:val="nil"/>
              <w:bottom w:val="single" w:color="000000" w:sz="4" w:space="0"/>
              <w:right w:val="nil"/>
            </w:tcBorders>
            <w:shd w:val="clear" w:color="auto" w:fill="FFFFFF"/>
            <w:vAlign w:val="center"/>
          </w:tcPr>
          <w:p w14:paraId="2998214D">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0.90</w:t>
            </w:r>
          </w:p>
        </w:tc>
        <w:tc>
          <w:tcPr>
            <w:tcW w:w="741" w:type="dxa"/>
            <w:tcBorders>
              <w:top w:val="single" w:color="000000" w:sz="4" w:space="0"/>
              <w:left w:val="nil"/>
              <w:bottom w:val="single" w:color="000000" w:sz="4" w:space="0"/>
              <w:right w:val="nil"/>
            </w:tcBorders>
            <w:shd w:val="clear" w:color="auto" w:fill="FFFFFF"/>
            <w:vAlign w:val="center"/>
          </w:tcPr>
          <w:p w14:paraId="4C424BC2">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14.72</w:t>
            </w:r>
          </w:p>
        </w:tc>
        <w:tc>
          <w:tcPr>
            <w:tcW w:w="651" w:type="dxa"/>
            <w:tcBorders>
              <w:top w:val="single" w:color="000000" w:sz="4" w:space="0"/>
              <w:left w:val="nil"/>
              <w:bottom w:val="single" w:color="000000" w:sz="4" w:space="0"/>
              <w:right w:val="nil"/>
            </w:tcBorders>
            <w:shd w:val="clear" w:color="auto" w:fill="FFFFFF"/>
            <w:vAlign w:val="center"/>
          </w:tcPr>
          <w:p w14:paraId="26612194">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7751E4E8">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44FD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52ECA1E6">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5B0BC4BA">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Q23</w:t>
            </w:r>
          </w:p>
        </w:tc>
        <w:tc>
          <w:tcPr>
            <w:tcW w:w="2459" w:type="dxa"/>
            <w:tcBorders>
              <w:top w:val="single" w:color="000000" w:sz="4" w:space="0"/>
              <w:left w:val="nil"/>
              <w:bottom w:val="single" w:color="000000" w:sz="4" w:space="0"/>
              <w:right w:val="nil"/>
            </w:tcBorders>
            <w:shd w:val="clear" w:color="auto" w:fill="FFFFFF"/>
            <w:vAlign w:val="center"/>
          </w:tcPr>
          <w:p w14:paraId="6D86FB0B">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0.85</w:t>
            </w:r>
          </w:p>
        </w:tc>
        <w:tc>
          <w:tcPr>
            <w:tcW w:w="741" w:type="dxa"/>
            <w:tcBorders>
              <w:top w:val="single" w:color="000000" w:sz="4" w:space="0"/>
              <w:left w:val="nil"/>
              <w:bottom w:val="single" w:color="000000" w:sz="4" w:space="0"/>
              <w:right w:val="nil"/>
            </w:tcBorders>
            <w:shd w:val="clear" w:color="auto" w:fill="FFFFFF"/>
            <w:vAlign w:val="center"/>
          </w:tcPr>
          <w:p w14:paraId="6E59CF47">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13.96</w:t>
            </w:r>
          </w:p>
        </w:tc>
        <w:tc>
          <w:tcPr>
            <w:tcW w:w="651" w:type="dxa"/>
            <w:tcBorders>
              <w:top w:val="single" w:color="000000" w:sz="4" w:space="0"/>
              <w:left w:val="nil"/>
              <w:bottom w:val="single" w:color="000000" w:sz="4" w:space="0"/>
              <w:right w:val="nil"/>
            </w:tcBorders>
            <w:shd w:val="clear" w:color="auto" w:fill="FFFFFF"/>
            <w:vAlign w:val="center"/>
          </w:tcPr>
          <w:p w14:paraId="0671C16B">
            <w:pPr>
              <w:widowControl/>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0.92</w:t>
            </w:r>
          </w:p>
        </w:tc>
        <w:tc>
          <w:tcPr>
            <w:tcW w:w="716" w:type="dxa"/>
            <w:tcBorders>
              <w:top w:val="single" w:color="000000" w:sz="4" w:space="0"/>
              <w:left w:val="nil"/>
              <w:bottom w:val="single" w:color="000000" w:sz="4" w:space="0"/>
              <w:right w:val="nil"/>
            </w:tcBorders>
            <w:shd w:val="clear" w:color="auto" w:fill="FFFFFF"/>
            <w:vAlign w:val="center"/>
          </w:tcPr>
          <w:p w14:paraId="5515EBA1">
            <w:pPr>
              <w:widowControl/>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0.73</w:t>
            </w:r>
          </w:p>
        </w:tc>
      </w:tr>
      <w:tr w14:paraId="6FA7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restart"/>
            <w:tcBorders>
              <w:top w:val="single" w:color="000000" w:sz="4" w:space="0"/>
              <w:left w:val="nil"/>
              <w:bottom w:val="single" w:color="000000" w:sz="4" w:space="0"/>
              <w:right w:val="nil"/>
            </w:tcBorders>
            <w:shd w:val="clear" w:color="auto" w:fill="FFFFFF"/>
            <w:vAlign w:val="center"/>
          </w:tcPr>
          <w:p w14:paraId="46F6D613">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IM</w:t>
            </w:r>
          </w:p>
        </w:tc>
        <w:tc>
          <w:tcPr>
            <w:tcW w:w="1694" w:type="dxa"/>
            <w:tcBorders>
              <w:top w:val="single" w:color="000000" w:sz="4" w:space="0"/>
              <w:left w:val="nil"/>
              <w:bottom w:val="single" w:color="000000" w:sz="4" w:space="0"/>
              <w:right w:val="nil"/>
            </w:tcBorders>
            <w:shd w:val="clear" w:color="auto" w:fill="FFFFFF"/>
            <w:vAlign w:val="center"/>
          </w:tcPr>
          <w:p w14:paraId="067F73D1">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Q24</w:t>
            </w:r>
          </w:p>
        </w:tc>
        <w:tc>
          <w:tcPr>
            <w:tcW w:w="2459" w:type="dxa"/>
            <w:tcBorders>
              <w:top w:val="single" w:color="000000" w:sz="4" w:space="0"/>
              <w:left w:val="nil"/>
              <w:bottom w:val="single" w:color="000000" w:sz="4" w:space="0"/>
              <w:right w:val="nil"/>
            </w:tcBorders>
            <w:shd w:val="clear" w:color="auto" w:fill="FFFFFF"/>
            <w:vAlign w:val="center"/>
          </w:tcPr>
          <w:p w14:paraId="628AD564">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0.84</w:t>
            </w:r>
          </w:p>
        </w:tc>
        <w:tc>
          <w:tcPr>
            <w:tcW w:w="741" w:type="dxa"/>
            <w:tcBorders>
              <w:top w:val="single" w:color="000000" w:sz="4" w:space="0"/>
              <w:left w:val="nil"/>
              <w:bottom w:val="single" w:color="000000" w:sz="4" w:space="0"/>
              <w:right w:val="nil"/>
            </w:tcBorders>
            <w:shd w:val="clear" w:color="auto" w:fill="FFFFFF"/>
            <w:vAlign w:val="center"/>
          </w:tcPr>
          <w:p w14:paraId="03294D93">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13.75</w:t>
            </w:r>
          </w:p>
        </w:tc>
        <w:tc>
          <w:tcPr>
            <w:tcW w:w="651" w:type="dxa"/>
            <w:tcBorders>
              <w:top w:val="single" w:color="000000" w:sz="4" w:space="0"/>
              <w:left w:val="nil"/>
              <w:bottom w:val="single" w:color="000000" w:sz="4" w:space="0"/>
              <w:right w:val="nil"/>
            </w:tcBorders>
            <w:shd w:val="clear" w:color="auto" w:fill="FFFFFF"/>
            <w:vAlign w:val="center"/>
          </w:tcPr>
          <w:p w14:paraId="6291B79F">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0B3E49F3">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5B9C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0E5AA96F">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4722BD59">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Q25</w:t>
            </w:r>
          </w:p>
        </w:tc>
        <w:tc>
          <w:tcPr>
            <w:tcW w:w="2459" w:type="dxa"/>
            <w:tcBorders>
              <w:top w:val="single" w:color="000000" w:sz="4" w:space="0"/>
              <w:left w:val="nil"/>
              <w:bottom w:val="single" w:color="000000" w:sz="4" w:space="0"/>
              <w:right w:val="nil"/>
            </w:tcBorders>
            <w:shd w:val="clear" w:color="auto" w:fill="FFFFFF"/>
            <w:vAlign w:val="center"/>
          </w:tcPr>
          <w:p w14:paraId="1AC6D7C0">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0.88</w:t>
            </w:r>
          </w:p>
        </w:tc>
        <w:tc>
          <w:tcPr>
            <w:tcW w:w="741" w:type="dxa"/>
            <w:tcBorders>
              <w:top w:val="single" w:color="000000" w:sz="4" w:space="0"/>
              <w:left w:val="nil"/>
              <w:bottom w:val="single" w:color="000000" w:sz="4" w:space="0"/>
              <w:right w:val="nil"/>
            </w:tcBorders>
            <w:shd w:val="clear" w:color="auto" w:fill="FFFFFF"/>
            <w:vAlign w:val="center"/>
          </w:tcPr>
          <w:p w14:paraId="594FA11D">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14.20</w:t>
            </w:r>
          </w:p>
        </w:tc>
        <w:tc>
          <w:tcPr>
            <w:tcW w:w="651" w:type="dxa"/>
            <w:tcBorders>
              <w:top w:val="single" w:color="000000" w:sz="4" w:space="0"/>
              <w:left w:val="nil"/>
              <w:bottom w:val="single" w:color="000000" w:sz="4" w:space="0"/>
              <w:right w:val="nil"/>
            </w:tcBorders>
            <w:shd w:val="clear" w:color="auto" w:fill="FFFFFF"/>
            <w:vAlign w:val="center"/>
          </w:tcPr>
          <w:p w14:paraId="5EE4B07F">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0653E59C">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56E9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4" w:space="0"/>
              <w:right w:val="nil"/>
            </w:tcBorders>
            <w:shd w:val="clear" w:color="auto" w:fill="FFFFFF"/>
            <w:vAlign w:val="center"/>
          </w:tcPr>
          <w:p w14:paraId="17405B85">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4" w:space="0"/>
              <w:right w:val="nil"/>
            </w:tcBorders>
            <w:shd w:val="clear" w:color="auto" w:fill="FFFFFF"/>
            <w:vAlign w:val="center"/>
          </w:tcPr>
          <w:p w14:paraId="1B03BA9C">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Q26</w:t>
            </w:r>
          </w:p>
        </w:tc>
        <w:tc>
          <w:tcPr>
            <w:tcW w:w="2459" w:type="dxa"/>
            <w:tcBorders>
              <w:top w:val="single" w:color="000000" w:sz="4" w:space="0"/>
              <w:left w:val="nil"/>
              <w:bottom w:val="single" w:color="000000" w:sz="4" w:space="0"/>
              <w:right w:val="nil"/>
            </w:tcBorders>
            <w:shd w:val="clear" w:color="auto" w:fill="FFFFFF"/>
            <w:vAlign w:val="center"/>
          </w:tcPr>
          <w:p w14:paraId="791ABC79">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0.86</w:t>
            </w:r>
          </w:p>
        </w:tc>
        <w:tc>
          <w:tcPr>
            <w:tcW w:w="741" w:type="dxa"/>
            <w:tcBorders>
              <w:top w:val="single" w:color="000000" w:sz="4" w:space="0"/>
              <w:left w:val="nil"/>
              <w:bottom w:val="single" w:color="000000" w:sz="4" w:space="0"/>
              <w:right w:val="nil"/>
            </w:tcBorders>
            <w:shd w:val="clear" w:color="auto" w:fill="FFFFFF"/>
            <w:vAlign w:val="center"/>
          </w:tcPr>
          <w:p w14:paraId="11BD6AF1">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13.88</w:t>
            </w:r>
          </w:p>
        </w:tc>
        <w:tc>
          <w:tcPr>
            <w:tcW w:w="651" w:type="dxa"/>
            <w:tcBorders>
              <w:top w:val="single" w:color="000000" w:sz="4" w:space="0"/>
              <w:left w:val="nil"/>
              <w:bottom w:val="single" w:color="000000" w:sz="4" w:space="0"/>
              <w:right w:val="nil"/>
            </w:tcBorders>
            <w:shd w:val="clear" w:color="auto" w:fill="FFFFFF"/>
            <w:vAlign w:val="center"/>
          </w:tcPr>
          <w:p w14:paraId="2ABC5221">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c>
          <w:tcPr>
            <w:tcW w:w="716" w:type="dxa"/>
            <w:tcBorders>
              <w:top w:val="single" w:color="000000" w:sz="4" w:space="0"/>
              <w:left w:val="nil"/>
              <w:bottom w:val="single" w:color="000000" w:sz="4" w:space="0"/>
              <w:right w:val="nil"/>
            </w:tcBorders>
            <w:shd w:val="clear" w:color="auto" w:fill="FFFFFF"/>
            <w:vAlign w:val="center"/>
          </w:tcPr>
          <w:p w14:paraId="15A786C5">
            <w:pPr>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p>
        </w:tc>
      </w:tr>
      <w:tr w14:paraId="149E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vMerge w:val="continue"/>
            <w:tcBorders>
              <w:top w:val="single" w:color="000000" w:sz="4" w:space="0"/>
              <w:left w:val="nil"/>
              <w:bottom w:val="single" w:color="000000" w:sz="12" w:space="0"/>
              <w:right w:val="nil"/>
            </w:tcBorders>
            <w:shd w:val="clear" w:color="auto" w:fill="FFFFFF"/>
            <w:vAlign w:val="center"/>
          </w:tcPr>
          <w:p w14:paraId="67E9904D">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p>
        </w:tc>
        <w:tc>
          <w:tcPr>
            <w:tcW w:w="1694" w:type="dxa"/>
            <w:tcBorders>
              <w:top w:val="single" w:color="000000" w:sz="4" w:space="0"/>
              <w:left w:val="nil"/>
              <w:bottom w:val="single" w:color="000000" w:sz="12" w:space="0"/>
              <w:right w:val="nil"/>
            </w:tcBorders>
            <w:shd w:val="clear" w:color="auto" w:fill="FFFFFF"/>
            <w:vAlign w:val="center"/>
          </w:tcPr>
          <w:p w14:paraId="0651CFFD">
            <w:pPr>
              <w:widowControl/>
              <w:snapToGrid w:val="0"/>
              <w:spacing w:line="240" w:lineRule="auto"/>
              <w:ind w:left="0" w:leftChars="0" w:right="0" w:rightChars="0" w:firstLine="0" w:firstLineChars="0"/>
              <w:jc w:val="lef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Q27</w:t>
            </w:r>
          </w:p>
        </w:tc>
        <w:tc>
          <w:tcPr>
            <w:tcW w:w="2459" w:type="dxa"/>
            <w:tcBorders>
              <w:top w:val="single" w:color="000000" w:sz="4" w:space="0"/>
              <w:left w:val="nil"/>
              <w:bottom w:val="single" w:color="000000" w:sz="12" w:space="0"/>
              <w:right w:val="nil"/>
            </w:tcBorders>
            <w:shd w:val="clear" w:color="auto" w:fill="FFFFFF"/>
            <w:vAlign w:val="center"/>
          </w:tcPr>
          <w:p w14:paraId="0BA4D39D">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0.85</w:t>
            </w:r>
          </w:p>
        </w:tc>
        <w:tc>
          <w:tcPr>
            <w:tcW w:w="741" w:type="dxa"/>
            <w:tcBorders>
              <w:top w:val="single" w:color="000000" w:sz="4" w:space="0"/>
              <w:left w:val="nil"/>
              <w:bottom w:val="single" w:color="000000" w:sz="12" w:space="0"/>
              <w:right w:val="nil"/>
            </w:tcBorders>
            <w:shd w:val="clear" w:color="auto" w:fill="FFFFFF"/>
            <w:vAlign w:val="center"/>
          </w:tcPr>
          <w:p w14:paraId="4D56D213">
            <w:pPr>
              <w:widowControl/>
              <w:snapToGrid w:val="0"/>
              <w:spacing w:line="240" w:lineRule="auto"/>
              <w:ind w:left="0" w:leftChars="0" w:right="0" w:rightChars="0" w:firstLine="0" w:firstLineChars="0"/>
              <w:jc w:val="right"/>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13.67</w:t>
            </w:r>
          </w:p>
        </w:tc>
        <w:tc>
          <w:tcPr>
            <w:tcW w:w="651" w:type="dxa"/>
            <w:tcBorders>
              <w:top w:val="single" w:color="000000" w:sz="4" w:space="0"/>
              <w:left w:val="nil"/>
              <w:bottom w:val="single" w:color="000000" w:sz="12" w:space="0"/>
              <w:right w:val="nil"/>
            </w:tcBorders>
            <w:shd w:val="clear" w:color="auto" w:fill="FFFFFF"/>
            <w:vAlign w:val="center"/>
          </w:tcPr>
          <w:p w14:paraId="16C60AE8">
            <w:pPr>
              <w:widowControl/>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0.93</w:t>
            </w:r>
          </w:p>
        </w:tc>
        <w:tc>
          <w:tcPr>
            <w:tcW w:w="716" w:type="dxa"/>
            <w:tcBorders>
              <w:top w:val="single" w:color="000000" w:sz="4" w:space="0"/>
              <w:left w:val="nil"/>
              <w:bottom w:val="single" w:color="000000" w:sz="12" w:space="0"/>
              <w:right w:val="nil"/>
            </w:tcBorders>
            <w:shd w:val="clear" w:color="auto" w:fill="FFFFFF"/>
            <w:vAlign w:val="center"/>
          </w:tcPr>
          <w:p w14:paraId="469D1E41">
            <w:pPr>
              <w:widowControl/>
              <w:snapToGrid w:val="0"/>
              <w:spacing w:line="240" w:lineRule="auto"/>
              <w:ind w:left="0" w:leftChars="0" w:right="0" w:rightChars="0" w:firstLine="0" w:firstLineChars="0"/>
              <w:jc w:val="center"/>
              <w:rPr>
                <w:rFonts w:ascii="Times New Roman" w:hAnsi="Times New Roman" w:eastAsia="宋体" w:cs="Times New Roman"/>
                <w:color w:val="000000"/>
                <w:kern w:val="0"/>
                <w:sz w:val="18"/>
                <w:szCs w:val="18"/>
                <w:lang w:bidi="ar"/>
              </w:rPr>
            </w:pPr>
            <w:r>
              <w:rPr>
                <w:rFonts w:ascii="Times New Roman" w:hAnsi="Times New Roman" w:eastAsia="宋体" w:cs="Times New Roman"/>
                <w:color w:val="000000"/>
                <w:kern w:val="0"/>
                <w:sz w:val="18"/>
                <w:szCs w:val="18"/>
                <w:lang w:bidi="ar"/>
              </w:rPr>
              <w:t>0.72</w:t>
            </w:r>
          </w:p>
        </w:tc>
      </w:tr>
    </w:tbl>
    <w:p w14:paraId="1D70D1A3">
      <w:pPr>
        <w:spacing w:line="360" w:lineRule="auto"/>
        <w:rPr>
          <w:rFonts w:hint="eastAsia"/>
          <w:b/>
          <w:bCs/>
        </w:rPr>
      </w:pPr>
    </w:p>
    <w:p w14:paraId="36743986">
      <w:pPr>
        <w:rPr>
          <w:rFonts w:ascii="Times New Roman" w:hAnsi="Times New Roman" w:cs="Times New Roman"/>
          <w:b/>
          <w:bCs/>
        </w:rPr>
      </w:pPr>
      <w:r>
        <w:rPr>
          <w:rFonts w:ascii="Times New Roman" w:hAnsi="Times New Roman" w:cs="Times New Roman"/>
          <w:b/>
          <w:bCs/>
        </w:rPr>
        <w:t xml:space="preserve">Table </w:t>
      </w:r>
      <w:r>
        <w:rPr>
          <w:rFonts w:hint="eastAsia" w:ascii="Times New Roman" w:hAnsi="Times New Roman" w:cs="Times New Roman"/>
          <w:b/>
          <w:bCs/>
        </w:rPr>
        <w:t>A.11</w:t>
      </w:r>
      <w:r>
        <w:rPr>
          <w:rFonts w:ascii="Times New Roman" w:hAnsi="Times New Roman" w:cs="Times New Roman"/>
          <w:b/>
          <w:bCs/>
        </w:rPr>
        <w:t xml:space="preserve"> </w:t>
      </w:r>
      <w:r>
        <w:rPr>
          <w:rFonts w:ascii="Times New Roman" w:hAnsi="Times New Roman" w:cs="Times New Roman"/>
        </w:rPr>
        <w:t>Comparison of fit indices across different models</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819"/>
        <w:gridCol w:w="685"/>
        <w:gridCol w:w="741"/>
        <w:gridCol w:w="819"/>
        <w:gridCol w:w="819"/>
        <w:gridCol w:w="1088"/>
        <w:gridCol w:w="942"/>
      </w:tblGrid>
      <w:tr w14:paraId="7F49A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blHeader/>
        </w:trPr>
        <w:tc>
          <w:tcPr>
            <w:tcW w:w="1440" w:type="pct"/>
            <w:tcBorders>
              <w:top w:val="single" w:color="auto" w:sz="12" w:space="0"/>
              <w:bottom w:val="single" w:color="auto" w:sz="4" w:space="0"/>
            </w:tcBorders>
            <w:vAlign w:val="center"/>
          </w:tcPr>
          <w:p w14:paraId="23CFA984">
            <w:pPr>
              <w:widowControl/>
              <w:spacing w:line="36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Model type</w:t>
            </w:r>
          </w:p>
        </w:tc>
        <w:tc>
          <w:tcPr>
            <w:tcW w:w="493" w:type="pct"/>
            <w:tcBorders>
              <w:top w:val="single" w:color="auto" w:sz="12" w:space="0"/>
              <w:bottom w:val="single" w:color="auto" w:sz="4" w:space="0"/>
            </w:tcBorders>
            <w:vAlign w:val="center"/>
          </w:tcPr>
          <w:p w14:paraId="70A6ECA4">
            <w:pPr>
              <w:widowControl/>
              <w:spacing w:line="360" w:lineRule="auto"/>
              <w:jc w:val="center"/>
              <w:rPr>
                <w:rFonts w:ascii="Times New Roman" w:hAnsi="Times New Roman" w:eastAsia="宋体" w:cs="Times New Roman"/>
                <w:b/>
                <w:bCs/>
                <w:kern w:val="0"/>
                <w:sz w:val="18"/>
                <w:szCs w:val="18"/>
              </w:rPr>
            </w:pPr>
            <w:bookmarkStart w:id="6" w:name="_Hlk219047162"/>
            <w:r>
              <w:rPr>
                <w:rFonts w:ascii="Times New Roman" w:hAnsi="Times New Roman" w:eastAsia="宋体" w:cs="Times New Roman"/>
                <w:b/>
                <w:bCs/>
                <w:color w:val="000000"/>
                <w:kern w:val="0"/>
                <w:sz w:val="18"/>
                <w:szCs w:val="18"/>
                <w:lang w:bidi="ar"/>
              </w:rPr>
              <w:t>χ²</w:t>
            </w:r>
            <w:bookmarkEnd w:id="6"/>
          </w:p>
        </w:tc>
        <w:tc>
          <w:tcPr>
            <w:tcW w:w="412" w:type="pct"/>
            <w:tcBorders>
              <w:top w:val="single" w:color="auto" w:sz="12" w:space="0"/>
              <w:bottom w:val="single" w:color="auto" w:sz="4" w:space="0"/>
            </w:tcBorders>
            <w:vAlign w:val="center"/>
          </w:tcPr>
          <w:p w14:paraId="4ED1388D">
            <w:pPr>
              <w:widowControl/>
              <w:spacing w:line="36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color w:val="000000"/>
                <w:kern w:val="0"/>
                <w:sz w:val="18"/>
                <w:szCs w:val="18"/>
                <w:lang w:bidi="ar"/>
              </w:rPr>
              <w:t>df</w:t>
            </w:r>
          </w:p>
        </w:tc>
        <w:tc>
          <w:tcPr>
            <w:tcW w:w="446" w:type="pct"/>
            <w:tcBorders>
              <w:top w:val="single" w:color="auto" w:sz="12" w:space="0"/>
              <w:bottom w:val="single" w:color="auto" w:sz="4" w:space="0"/>
            </w:tcBorders>
            <w:vAlign w:val="center"/>
          </w:tcPr>
          <w:p w14:paraId="4B73657E">
            <w:pPr>
              <w:widowControl/>
              <w:spacing w:line="36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color w:val="000000"/>
                <w:kern w:val="0"/>
                <w:sz w:val="18"/>
                <w:szCs w:val="18"/>
                <w:lang w:bidi="ar"/>
              </w:rPr>
              <w:t>χ²/df</w:t>
            </w:r>
          </w:p>
        </w:tc>
        <w:tc>
          <w:tcPr>
            <w:tcW w:w="493" w:type="pct"/>
            <w:tcBorders>
              <w:top w:val="single" w:color="auto" w:sz="12" w:space="0"/>
              <w:bottom w:val="single" w:color="auto" w:sz="4" w:space="0"/>
            </w:tcBorders>
            <w:vAlign w:val="center"/>
          </w:tcPr>
          <w:p w14:paraId="25097EAC">
            <w:pPr>
              <w:widowControl/>
              <w:spacing w:line="36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color w:val="000000"/>
                <w:kern w:val="0"/>
                <w:sz w:val="18"/>
                <w:szCs w:val="18"/>
                <w:lang w:bidi="ar"/>
              </w:rPr>
              <w:t>CFI</w:t>
            </w:r>
          </w:p>
        </w:tc>
        <w:tc>
          <w:tcPr>
            <w:tcW w:w="493" w:type="pct"/>
            <w:tcBorders>
              <w:top w:val="single" w:color="auto" w:sz="12" w:space="0"/>
              <w:bottom w:val="single" w:color="auto" w:sz="4" w:space="0"/>
            </w:tcBorders>
            <w:vAlign w:val="center"/>
          </w:tcPr>
          <w:p w14:paraId="784D5589">
            <w:pPr>
              <w:widowControl/>
              <w:spacing w:line="36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color w:val="000000"/>
                <w:kern w:val="0"/>
                <w:sz w:val="18"/>
                <w:szCs w:val="18"/>
                <w:lang w:bidi="ar"/>
              </w:rPr>
              <w:t>TLI</w:t>
            </w:r>
          </w:p>
        </w:tc>
        <w:tc>
          <w:tcPr>
            <w:tcW w:w="655" w:type="pct"/>
            <w:tcBorders>
              <w:top w:val="single" w:color="auto" w:sz="12" w:space="0"/>
              <w:bottom w:val="single" w:color="auto" w:sz="4" w:space="0"/>
            </w:tcBorders>
            <w:vAlign w:val="center"/>
          </w:tcPr>
          <w:p w14:paraId="49D76CCB">
            <w:pPr>
              <w:widowControl/>
              <w:spacing w:line="36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color w:val="000000"/>
                <w:kern w:val="0"/>
                <w:sz w:val="18"/>
                <w:szCs w:val="18"/>
                <w:lang w:bidi="ar"/>
              </w:rPr>
              <w:t>RMSEA</w:t>
            </w:r>
          </w:p>
        </w:tc>
        <w:tc>
          <w:tcPr>
            <w:tcW w:w="567" w:type="pct"/>
            <w:tcBorders>
              <w:top w:val="single" w:color="auto" w:sz="12" w:space="0"/>
              <w:bottom w:val="single" w:color="auto" w:sz="4" w:space="0"/>
            </w:tcBorders>
            <w:vAlign w:val="center"/>
          </w:tcPr>
          <w:p w14:paraId="687583AE">
            <w:pPr>
              <w:widowControl/>
              <w:spacing w:line="360" w:lineRule="auto"/>
              <w:jc w:val="center"/>
              <w:rPr>
                <w:rFonts w:ascii="Times New Roman" w:hAnsi="Times New Roman" w:eastAsia="宋体" w:cs="Times New Roman"/>
                <w:b/>
                <w:bCs/>
                <w:kern w:val="0"/>
                <w:sz w:val="18"/>
                <w:szCs w:val="18"/>
              </w:rPr>
            </w:pPr>
            <w:r>
              <w:rPr>
                <w:rFonts w:ascii="Times New Roman" w:hAnsi="Times New Roman" w:eastAsia="宋体" w:cs="Times New Roman"/>
                <w:b/>
                <w:bCs/>
                <w:color w:val="000000"/>
                <w:kern w:val="0"/>
                <w:sz w:val="18"/>
                <w:szCs w:val="18"/>
                <w:lang w:bidi="ar"/>
              </w:rPr>
              <w:t>SRMR</w:t>
            </w:r>
          </w:p>
        </w:tc>
      </w:tr>
      <w:tr w14:paraId="05351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40" w:type="pct"/>
            <w:tcBorders>
              <w:top w:val="single" w:color="auto" w:sz="4" w:space="0"/>
            </w:tcBorders>
            <w:vAlign w:val="center"/>
          </w:tcPr>
          <w:p w14:paraId="47609E96">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Direct-effect mode</w:t>
            </w:r>
          </w:p>
        </w:tc>
        <w:tc>
          <w:tcPr>
            <w:tcW w:w="493" w:type="pct"/>
            <w:tcBorders>
              <w:top w:val="single" w:color="auto" w:sz="4" w:space="0"/>
            </w:tcBorders>
            <w:vAlign w:val="center"/>
          </w:tcPr>
          <w:p w14:paraId="60B0B948">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500.8</w:t>
            </w:r>
          </w:p>
        </w:tc>
        <w:tc>
          <w:tcPr>
            <w:tcW w:w="412" w:type="pct"/>
            <w:tcBorders>
              <w:top w:val="single" w:color="auto" w:sz="4" w:space="0"/>
            </w:tcBorders>
            <w:vAlign w:val="center"/>
          </w:tcPr>
          <w:p w14:paraId="76C0E25C">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208</w:t>
            </w:r>
          </w:p>
        </w:tc>
        <w:tc>
          <w:tcPr>
            <w:tcW w:w="446" w:type="pct"/>
            <w:tcBorders>
              <w:top w:val="single" w:color="auto" w:sz="4" w:space="0"/>
            </w:tcBorders>
            <w:vAlign w:val="center"/>
          </w:tcPr>
          <w:p w14:paraId="60B8D024">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2.41</w:t>
            </w:r>
          </w:p>
        </w:tc>
        <w:tc>
          <w:tcPr>
            <w:tcW w:w="493" w:type="pct"/>
            <w:tcBorders>
              <w:top w:val="single" w:color="auto" w:sz="4" w:space="0"/>
            </w:tcBorders>
            <w:vAlign w:val="center"/>
          </w:tcPr>
          <w:p w14:paraId="2D15E47F">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0.901</w:t>
            </w:r>
          </w:p>
        </w:tc>
        <w:tc>
          <w:tcPr>
            <w:tcW w:w="493" w:type="pct"/>
            <w:tcBorders>
              <w:top w:val="single" w:color="auto" w:sz="4" w:space="0"/>
            </w:tcBorders>
            <w:vAlign w:val="center"/>
          </w:tcPr>
          <w:p w14:paraId="3BEBB9CC">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0.882</w:t>
            </w:r>
          </w:p>
        </w:tc>
        <w:tc>
          <w:tcPr>
            <w:tcW w:w="655" w:type="pct"/>
            <w:tcBorders>
              <w:top w:val="single" w:color="auto" w:sz="4" w:space="0"/>
            </w:tcBorders>
            <w:vAlign w:val="center"/>
          </w:tcPr>
          <w:p w14:paraId="5D43A2E5">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0.078</w:t>
            </w:r>
          </w:p>
        </w:tc>
        <w:tc>
          <w:tcPr>
            <w:tcW w:w="567" w:type="pct"/>
            <w:tcBorders>
              <w:top w:val="single" w:color="auto" w:sz="4" w:space="0"/>
            </w:tcBorders>
            <w:vAlign w:val="center"/>
          </w:tcPr>
          <w:p w14:paraId="06CD1897">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0.067</w:t>
            </w:r>
          </w:p>
        </w:tc>
      </w:tr>
      <w:tr w14:paraId="75336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40" w:type="pct"/>
            <w:vAlign w:val="center"/>
          </w:tcPr>
          <w:p w14:paraId="60465D9E">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Full mediation model</w:t>
            </w:r>
          </w:p>
        </w:tc>
        <w:tc>
          <w:tcPr>
            <w:tcW w:w="493" w:type="pct"/>
            <w:vAlign w:val="center"/>
          </w:tcPr>
          <w:p w14:paraId="068259AF">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480.3</w:t>
            </w:r>
          </w:p>
        </w:tc>
        <w:tc>
          <w:tcPr>
            <w:tcW w:w="412" w:type="pct"/>
            <w:vAlign w:val="center"/>
          </w:tcPr>
          <w:p w14:paraId="51B73589">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199</w:t>
            </w:r>
          </w:p>
        </w:tc>
        <w:tc>
          <w:tcPr>
            <w:tcW w:w="446" w:type="pct"/>
            <w:vAlign w:val="center"/>
          </w:tcPr>
          <w:p w14:paraId="7C8DB3FD">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2.41</w:t>
            </w:r>
          </w:p>
        </w:tc>
        <w:tc>
          <w:tcPr>
            <w:tcW w:w="493" w:type="pct"/>
            <w:vAlign w:val="center"/>
          </w:tcPr>
          <w:p w14:paraId="633EEE57">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0.923</w:t>
            </w:r>
          </w:p>
        </w:tc>
        <w:tc>
          <w:tcPr>
            <w:tcW w:w="493" w:type="pct"/>
            <w:vAlign w:val="center"/>
          </w:tcPr>
          <w:p w14:paraId="004A5C25">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0.910</w:t>
            </w:r>
          </w:p>
        </w:tc>
        <w:tc>
          <w:tcPr>
            <w:tcW w:w="655" w:type="pct"/>
            <w:vAlign w:val="center"/>
          </w:tcPr>
          <w:p w14:paraId="3FBDB76E">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0.062</w:t>
            </w:r>
          </w:p>
        </w:tc>
        <w:tc>
          <w:tcPr>
            <w:tcW w:w="567" w:type="pct"/>
            <w:vAlign w:val="center"/>
          </w:tcPr>
          <w:p w14:paraId="6C32D572">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0.053</w:t>
            </w:r>
          </w:p>
        </w:tc>
      </w:tr>
      <w:tr w14:paraId="1B048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40" w:type="pct"/>
            <w:tcBorders>
              <w:bottom w:val="single" w:color="auto" w:sz="12" w:space="0"/>
            </w:tcBorders>
            <w:vAlign w:val="center"/>
          </w:tcPr>
          <w:p w14:paraId="4F0A6339">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Partial mediation model</w:t>
            </w:r>
          </w:p>
        </w:tc>
        <w:tc>
          <w:tcPr>
            <w:tcW w:w="493" w:type="pct"/>
            <w:tcBorders>
              <w:bottom w:val="single" w:color="auto" w:sz="12" w:space="0"/>
            </w:tcBorders>
            <w:vAlign w:val="center"/>
          </w:tcPr>
          <w:p w14:paraId="5C8D4F42">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478.0</w:t>
            </w:r>
          </w:p>
        </w:tc>
        <w:tc>
          <w:tcPr>
            <w:tcW w:w="412" w:type="pct"/>
            <w:tcBorders>
              <w:bottom w:val="single" w:color="auto" w:sz="12" w:space="0"/>
            </w:tcBorders>
            <w:vAlign w:val="center"/>
          </w:tcPr>
          <w:p w14:paraId="342670BE">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198</w:t>
            </w:r>
          </w:p>
        </w:tc>
        <w:tc>
          <w:tcPr>
            <w:tcW w:w="446" w:type="pct"/>
            <w:tcBorders>
              <w:bottom w:val="single" w:color="auto" w:sz="12" w:space="0"/>
            </w:tcBorders>
            <w:vAlign w:val="center"/>
          </w:tcPr>
          <w:p w14:paraId="41BFF3BA">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2.38</w:t>
            </w:r>
          </w:p>
        </w:tc>
        <w:tc>
          <w:tcPr>
            <w:tcW w:w="493" w:type="pct"/>
            <w:tcBorders>
              <w:bottom w:val="single" w:color="auto" w:sz="12" w:space="0"/>
            </w:tcBorders>
            <w:vAlign w:val="center"/>
          </w:tcPr>
          <w:p w14:paraId="7BF60414">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0.934</w:t>
            </w:r>
          </w:p>
        </w:tc>
        <w:tc>
          <w:tcPr>
            <w:tcW w:w="493" w:type="pct"/>
            <w:tcBorders>
              <w:bottom w:val="single" w:color="auto" w:sz="12" w:space="0"/>
            </w:tcBorders>
            <w:vAlign w:val="center"/>
          </w:tcPr>
          <w:p w14:paraId="2807677B">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0.921</w:t>
            </w:r>
          </w:p>
        </w:tc>
        <w:tc>
          <w:tcPr>
            <w:tcW w:w="655" w:type="pct"/>
            <w:tcBorders>
              <w:bottom w:val="single" w:color="auto" w:sz="12" w:space="0"/>
            </w:tcBorders>
            <w:vAlign w:val="center"/>
          </w:tcPr>
          <w:p w14:paraId="3F19A908">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0.059</w:t>
            </w:r>
          </w:p>
        </w:tc>
        <w:tc>
          <w:tcPr>
            <w:tcW w:w="567" w:type="pct"/>
            <w:tcBorders>
              <w:bottom w:val="single" w:color="auto" w:sz="12" w:space="0"/>
            </w:tcBorders>
            <w:vAlign w:val="center"/>
          </w:tcPr>
          <w:p w14:paraId="56767F75">
            <w:pPr>
              <w:widowControl/>
              <w:spacing w:line="360" w:lineRule="auto"/>
              <w:jc w:val="center"/>
              <w:rPr>
                <w:rFonts w:ascii="Times New Roman" w:hAnsi="Times New Roman" w:eastAsia="宋体" w:cs="Times New Roman"/>
                <w:kern w:val="0"/>
                <w:sz w:val="18"/>
                <w:szCs w:val="18"/>
              </w:rPr>
            </w:pPr>
            <w:r>
              <w:rPr>
                <w:rFonts w:ascii="Times New Roman" w:hAnsi="Times New Roman" w:eastAsia="宋体" w:cs="Times New Roman"/>
                <w:color w:val="000000"/>
                <w:kern w:val="0"/>
                <w:sz w:val="18"/>
                <w:szCs w:val="18"/>
                <w:lang w:bidi="ar"/>
              </w:rPr>
              <w:t>0.050</w:t>
            </w:r>
          </w:p>
        </w:tc>
      </w:tr>
    </w:tbl>
    <w:p w14:paraId="17A490D5">
      <w:pPr>
        <w:pStyle w:val="15"/>
        <w:jc w:val="both"/>
      </w:pPr>
    </w:p>
    <w:p w14:paraId="1CBD0B20">
      <w:pPr>
        <w:rPr>
          <w:rFonts w:ascii="Times New Roman" w:hAnsi="Times New Roman" w:cs="Times New Roman"/>
        </w:rPr>
      </w:pPr>
      <w:r>
        <w:rPr>
          <w:rFonts w:ascii="Times New Roman" w:hAnsi="Times New Roman" w:cs="Times New Roman"/>
          <w:b/>
          <w:bCs/>
        </w:rPr>
        <w:t xml:space="preserve">Table </w:t>
      </w:r>
      <w:r>
        <w:rPr>
          <w:rFonts w:hint="eastAsia" w:ascii="Times New Roman" w:hAnsi="Times New Roman" w:cs="Times New Roman"/>
          <w:b/>
          <w:bCs/>
        </w:rPr>
        <w:t>A.12</w:t>
      </w:r>
      <w:r>
        <w:rPr>
          <w:rFonts w:ascii="Times New Roman" w:hAnsi="Times New Roman" w:cs="Times New Roman"/>
        </w:rPr>
        <w:t>Theoretical findings, supporting data, and implications</w:t>
      </w:r>
    </w:p>
    <w:tbl>
      <w:tblPr>
        <w:tblStyle w:val="18"/>
        <w:tblW w:w="8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2243"/>
        <w:gridCol w:w="3750"/>
      </w:tblGrid>
      <w:tr w14:paraId="4AB2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079" w:type="dxa"/>
            <w:tcBorders>
              <w:top w:val="single" w:color="000000" w:sz="12" w:space="0"/>
              <w:left w:val="nil"/>
              <w:bottom w:val="single" w:color="000000" w:sz="4" w:space="0"/>
              <w:right w:val="nil"/>
              <w:tl2br w:val="nil"/>
            </w:tcBorders>
            <w:shd w:val="clear" w:color="auto" w:fill="FFFFFF"/>
            <w:vAlign w:val="center"/>
          </w:tcPr>
          <w:p w14:paraId="1B607A82">
            <w:pPr>
              <w:widowControl/>
              <w:snapToGrid w:val="0"/>
              <w:ind w:left="0" w:leftChars="0" w:right="0" w:rightChars="0" w:firstLine="0" w:firstLineChars="0"/>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Theoretical finding</w:t>
            </w:r>
          </w:p>
        </w:tc>
        <w:tc>
          <w:tcPr>
            <w:tcW w:w="2243" w:type="dxa"/>
            <w:tcBorders>
              <w:top w:val="single" w:color="000000" w:sz="12" w:space="0"/>
              <w:left w:val="nil"/>
              <w:bottom w:val="single" w:color="000000" w:sz="4" w:space="0"/>
              <w:right w:val="nil"/>
            </w:tcBorders>
            <w:shd w:val="clear" w:color="auto" w:fill="FFFFFF"/>
            <w:vAlign w:val="center"/>
          </w:tcPr>
          <w:p w14:paraId="5F488353">
            <w:pPr>
              <w:widowControl/>
              <w:snapToGrid w:val="0"/>
              <w:ind w:left="0" w:leftChars="0" w:right="0" w:rightChars="0" w:firstLine="0" w:firstLineChars="0"/>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Supporting data</w:t>
            </w:r>
          </w:p>
        </w:tc>
        <w:tc>
          <w:tcPr>
            <w:tcW w:w="3750" w:type="dxa"/>
            <w:tcBorders>
              <w:top w:val="single" w:color="000000" w:sz="12" w:space="0"/>
              <w:left w:val="nil"/>
              <w:bottom w:val="single" w:color="000000" w:sz="4" w:space="0"/>
              <w:right w:val="nil"/>
            </w:tcBorders>
            <w:shd w:val="clear" w:color="auto" w:fill="FFFFFF"/>
            <w:vAlign w:val="center"/>
          </w:tcPr>
          <w:p w14:paraId="7BE2E688">
            <w:pPr>
              <w:widowControl/>
              <w:snapToGrid w:val="0"/>
              <w:ind w:left="0" w:leftChars="0" w:right="0" w:rightChars="0" w:firstLine="0" w:firstLineChars="0"/>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Theoretical implication</w:t>
            </w:r>
          </w:p>
        </w:tc>
      </w:tr>
      <w:tr w14:paraId="03D4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9" w:type="dxa"/>
            <w:tcBorders>
              <w:top w:val="single" w:color="000000" w:sz="4" w:space="0"/>
              <w:left w:val="nil"/>
              <w:bottom w:val="nil"/>
              <w:right w:val="nil"/>
            </w:tcBorders>
            <w:shd w:val="clear" w:color="auto" w:fill="FFFFFF"/>
            <w:vAlign w:val="center"/>
          </w:tcPr>
          <w:p w14:paraId="4EEF5636">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Visual disturbance reduces cultural experience overall</w:t>
            </w:r>
          </w:p>
        </w:tc>
        <w:tc>
          <w:tcPr>
            <w:tcW w:w="2243" w:type="dxa"/>
            <w:tcBorders>
              <w:top w:val="single" w:color="000000" w:sz="4" w:space="0"/>
              <w:left w:val="nil"/>
              <w:bottom w:val="nil"/>
              <w:right w:val="nil"/>
            </w:tcBorders>
            <w:shd w:val="clear" w:color="auto" w:fill="FFFFFF"/>
            <w:vAlign w:val="center"/>
          </w:tcPr>
          <w:p w14:paraId="4ECB3F91">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VD → CP: β = −0.32 (p &lt; 0.01) \nVD → CU: β = −0.25 (p &lt; 0.01)</w:t>
            </w:r>
          </w:p>
        </w:tc>
        <w:tc>
          <w:tcPr>
            <w:tcW w:w="3750" w:type="dxa"/>
            <w:tcBorders>
              <w:top w:val="single" w:color="000000" w:sz="4" w:space="0"/>
              <w:left w:val="nil"/>
              <w:bottom w:val="nil"/>
              <w:right w:val="nil"/>
            </w:tcBorders>
            <w:shd w:val="clear" w:color="auto" w:fill="FFFFFF"/>
            <w:vAlign w:val="center"/>
          </w:tcPr>
          <w:p w14:paraId="6652715E">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Visitors do not evaluate individual disturbance types separately but perceive an overall disruption of cultural atmosphere and narrative coherence.</w:t>
            </w:r>
          </w:p>
        </w:tc>
      </w:tr>
      <w:tr w14:paraId="3675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9" w:type="dxa"/>
            <w:tcBorders>
              <w:top w:val="nil"/>
              <w:left w:val="nil"/>
              <w:bottom w:val="nil"/>
              <w:right w:val="nil"/>
            </w:tcBorders>
            <w:shd w:val="clear" w:color="auto" w:fill="FFFFFF"/>
            <w:vAlign w:val="center"/>
          </w:tcPr>
          <w:p w14:paraId="7BBEEC7A">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Cultural perception and cultural understanding enhance immersion</w:t>
            </w:r>
          </w:p>
        </w:tc>
        <w:tc>
          <w:tcPr>
            <w:tcW w:w="2243" w:type="dxa"/>
            <w:tcBorders>
              <w:top w:val="nil"/>
              <w:left w:val="nil"/>
              <w:bottom w:val="nil"/>
              <w:right w:val="nil"/>
            </w:tcBorders>
            <w:shd w:val="clear" w:color="auto" w:fill="FFFFFF"/>
            <w:vAlign w:val="center"/>
          </w:tcPr>
          <w:p w14:paraId="6683008D">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CP → IM: β = 0.40 (p &lt; 0.001) \nCU → IM: β = 0.30 (p &lt; 0.001)</w:t>
            </w:r>
          </w:p>
        </w:tc>
        <w:tc>
          <w:tcPr>
            <w:tcW w:w="3750" w:type="dxa"/>
            <w:tcBorders>
              <w:top w:val="nil"/>
              <w:left w:val="nil"/>
              <w:bottom w:val="nil"/>
              <w:right w:val="nil"/>
            </w:tcBorders>
            <w:shd w:val="clear" w:color="auto" w:fill="FFFFFF"/>
            <w:vAlign w:val="center"/>
          </w:tcPr>
          <w:p w14:paraId="4AB9015B">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The formation of immersion relies on dual processing, involving both atmospheric perception and narrative understanding.</w:t>
            </w:r>
          </w:p>
        </w:tc>
      </w:tr>
      <w:tr w14:paraId="596A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9" w:type="dxa"/>
            <w:tcBorders>
              <w:top w:val="nil"/>
              <w:left w:val="nil"/>
              <w:bottom w:val="nil"/>
              <w:right w:val="nil"/>
            </w:tcBorders>
            <w:shd w:val="clear" w:color="auto" w:fill="FFFFFF"/>
            <w:vAlign w:val="center"/>
          </w:tcPr>
          <w:p w14:paraId="62773B40">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The direct effect of visual disturbance is limited</w:t>
            </w:r>
          </w:p>
        </w:tc>
        <w:tc>
          <w:tcPr>
            <w:tcW w:w="2243" w:type="dxa"/>
            <w:tcBorders>
              <w:top w:val="nil"/>
              <w:left w:val="nil"/>
              <w:bottom w:val="nil"/>
              <w:right w:val="nil"/>
            </w:tcBorders>
            <w:shd w:val="clear" w:color="auto" w:fill="FFFFFF"/>
            <w:vAlign w:val="center"/>
          </w:tcPr>
          <w:p w14:paraId="1328F3F3">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VD → IM: β = −0.15 (p &lt; 0.05)</w:t>
            </w:r>
          </w:p>
        </w:tc>
        <w:tc>
          <w:tcPr>
            <w:tcW w:w="3750" w:type="dxa"/>
            <w:tcBorders>
              <w:top w:val="nil"/>
              <w:left w:val="nil"/>
              <w:bottom w:val="nil"/>
              <w:right w:val="nil"/>
            </w:tcBorders>
            <w:shd w:val="clear" w:color="auto" w:fill="FFFFFF"/>
            <w:vAlign w:val="center"/>
          </w:tcPr>
          <w:p w14:paraId="252361C2">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Although disturbance has a direct disruptive effect, most of the loss occurs through its erosion of the mediating processes.</w:t>
            </w:r>
          </w:p>
        </w:tc>
      </w:tr>
      <w:tr w14:paraId="6951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9" w:type="dxa"/>
            <w:tcBorders>
              <w:top w:val="nil"/>
              <w:left w:val="nil"/>
              <w:bottom w:val="nil"/>
              <w:right w:val="nil"/>
            </w:tcBorders>
            <w:shd w:val="clear" w:color="auto" w:fill="FFFFFF"/>
            <w:vAlign w:val="center"/>
          </w:tcPr>
          <w:p w14:paraId="55FF99C8">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The mediation effects are significantly established</w:t>
            </w:r>
          </w:p>
        </w:tc>
        <w:tc>
          <w:tcPr>
            <w:tcW w:w="2243" w:type="dxa"/>
            <w:tcBorders>
              <w:top w:val="nil"/>
              <w:left w:val="nil"/>
              <w:bottom w:val="nil"/>
              <w:right w:val="nil"/>
            </w:tcBorders>
            <w:shd w:val="clear" w:color="auto" w:fill="FFFFFF"/>
            <w:vAlign w:val="center"/>
          </w:tcPr>
          <w:p w14:paraId="49BB7342">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Indirect effect: \nCP −0.13 (CI = [−0.21, −0.07]) \nCU −0.08 (CI = [−0.15, −0.03])</w:t>
            </w:r>
          </w:p>
        </w:tc>
        <w:tc>
          <w:tcPr>
            <w:tcW w:w="3750" w:type="dxa"/>
            <w:tcBorders>
              <w:top w:val="nil"/>
              <w:left w:val="nil"/>
              <w:bottom w:val="nil"/>
              <w:right w:val="nil"/>
            </w:tcBorders>
            <w:shd w:val="clear" w:color="auto" w:fill="FFFFFF"/>
            <w:vAlign w:val="center"/>
          </w:tcPr>
          <w:p w14:paraId="37419081">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The decline in immersion results from combined degradation across both cognitive and perceptual dimensions.</w:t>
            </w:r>
          </w:p>
        </w:tc>
      </w:tr>
      <w:tr w14:paraId="17EC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9" w:type="dxa"/>
            <w:tcBorders>
              <w:top w:val="nil"/>
              <w:left w:val="nil"/>
              <w:bottom w:val="single" w:color="000000" w:sz="12" w:space="0"/>
              <w:right w:val="nil"/>
            </w:tcBorders>
            <w:shd w:val="clear" w:color="auto" w:fill="FFFFFF"/>
            <w:vAlign w:val="center"/>
          </w:tcPr>
          <w:p w14:paraId="772BA8E9">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The overall effect is significantly negative</w:t>
            </w:r>
          </w:p>
        </w:tc>
        <w:tc>
          <w:tcPr>
            <w:tcW w:w="2243" w:type="dxa"/>
            <w:tcBorders>
              <w:top w:val="nil"/>
              <w:left w:val="nil"/>
              <w:bottom w:val="single" w:color="000000" w:sz="12" w:space="0"/>
              <w:right w:val="nil"/>
            </w:tcBorders>
            <w:shd w:val="clear" w:color="auto" w:fill="FFFFFF"/>
            <w:vAlign w:val="center"/>
          </w:tcPr>
          <w:p w14:paraId="60FBFB50">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Total effect: \nβ = −0.36 (p &lt; 0.001)</w:t>
            </w:r>
          </w:p>
        </w:tc>
        <w:tc>
          <w:tcPr>
            <w:tcW w:w="3750" w:type="dxa"/>
            <w:tcBorders>
              <w:top w:val="nil"/>
              <w:left w:val="nil"/>
              <w:bottom w:val="single" w:color="000000" w:sz="12" w:space="0"/>
              <w:right w:val="nil"/>
            </w:tcBorders>
            <w:shd w:val="clear" w:color="auto" w:fill="FFFFFF"/>
            <w:vAlign w:val="center"/>
          </w:tcPr>
          <w:p w14:paraId="3DE511E4">
            <w:pPr>
              <w:widowControl/>
              <w:snapToGrid w:val="0"/>
              <w:ind w:left="0" w:leftChars="0" w:right="0" w:rightChars="0" w:firstLine="0" w:firstLineChars="0"/>
              <w:jc w:val="left"/>
              <w:rPr>
                <w:rFonts w:ascii="Times New Roman Regular" w:hAnsi="Times New Roman" w:eastAsia="宋体" w:cs="Times New Roman"/>
                <w:color w:val="000000"/>
                <w:sz w:val="18"/>
                <w:szCs w:val="18"/>
              </w:rPr>
            </w:pPr>
            <w:r>
              <w:rPr>
                <w:rFonts w:ascii="Times New Roman Regular" w:hAnsi="Times New Roman Regular" w:eastAsia="宋体" w:cs="Times New Roman Regular"/>
                <w:color w:val="000000"/>
                <w:kern w:val="0"/>
                <w:sz w:val="18"/>
                <w:szCs w:val="18"/>
                <w:lang w:bidi="ar"/>
              </w:rPr>
              <w:t>Visual impurities significantly weaken immersion, underscoring the need for visual environment management in heritage conservation and experience enhancement.</w:t>
            </w:r>
          </w:p>
        </w:tc>
      </w:tr>
    </w:tbl>
    <w:p w14:paraId="3C48A61D">
      <w:pPr>
        <w:jc w:val="center"/>
        <w:rPr>
          <w:rFonts w:ascii="Times New Roman" w:hAnsi="Times New Roman" w:cs="Times New Roman"/>
        </w:rPr>
      </w:pPr>
    </w:p>
    <w:p w14:paraId="0F2E22F4">
      <w:pPr>
        <w:rPr>
          <w:rFonts w:ascii="Times New Roman" w:hAnsi="Times New Roman" w:cs="Times New Roman"/>
          <w:b/>
          <w:bCs/>
        </w:rPr>
      </w:pPr>
    </w:p>
    <w:p w14:paraId="569F3178">
      <w:pPr>
        <w:rPr>
          <w:rFonts w:ascii="Times New Roman" w:hAnsi="Times New Roman" w:cs="Times New Roman"/>
          <w:b/>
          <w:bCs/>
        </w:rPr>
      </w:pPr>
    </w:p>
    <w:p w14:paraId="1D8D9DDB">
      <w:pPr>
        <w:rPr>
          <w:rFonts w:ascii="Times New Roman" w:hAnsi="Times New Roman" w:cs="Times New Roman"/>
          <w:b/>
          <w:bCs/>
        </w:rPr>
      </w:pPr>
    </w:p>
    <w:p w14:paraId="5639DE2A">
      <w:pPr>
        <w:rPr>
          <w:rFonts w:ascii="Times New Roman" w:hAnsi="Times New Roman" w:cs="Times New Roman"/>
          <w:highlight w:val="yellow"/>
        </w:rPr>
      </w:pPr>
      <w:r>
        <w:rPr>
          <w:rFonts w:ascii="Times New Roman" w:hAnsi="Times New Roman" w:cs="Times New Roman"/>
          <w:b/>
          <w:bCs/>
        </w:rPr>
        <w:t xml:space="preserve">Table </w:t>
      </w:r>
      <w:r>
        <w:rPr>
          <w:rFonts w:hint="eastAsia" w:ascii="Times New Roman" w:hAnsi="Times New Roman" w:cs="Times New Roman"/>
          <w:b/>
          <w:bCs/>
        </w:rPr>
        <w:t>A.13</w:t>
      </w:r>
      <w:r>
        <w:rPr>
          <w:rFonts w:ascii="Times New Roman" w:hAnsi="Times New Roman" w:cs="Times New Roman"/>
          <w:b/>
          <w:bCs/>
        </w:rPr>
        <w:t xml:space="preserve"> </w:t>
      </w:r>
      <w:r>
        <w:rPr>
          <w:rFonts w:ascii="Times New Roman" w:hAnsi="Times New Roman" w:cs="Times New Roman"/>
        </w:rPr>
        <w:t>Descriptive statistics and correlations among core constructs</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142"/>
        <w:gridCol w:w="1096"/>
        <w:gridCol w:w="1248"/>
        <w:gridCol w:w="1228"/>
        <w:gridCol w:w="1228"/>
        <w:gridCol w:w="1129"/>
      </w:tblGrid>
      <w:tr w14:paraId="3D19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Borders>
              <w:top w:val="single" w:color="000000" w:sz="12" w:space="0"/>
              <w:left w:val="nil"/>
              <w:bottom w:val="single" w:color="000000" w:sz="4" w:space="0"/>
              <w:right w:val="nil"/>
              <w:tl2br w:val="nil"/>
            </w:tcBorders>
            <w:shd w:val="clear" w:color="auto" w:fill="FFFFFF"/>
            <w:vAlign w:val="center"/>
          </w:tcPr>
          <w:p w14:paraId="050CC3AF">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Variable</w:t>
            </w:r>
          </w:p>
        </w:tc>
        <w:tc>
          <w:tcPr>
            <w:tcW w:w="1387" w:type="dxa"/>
            <w:tcBorders>
              <w:top w:val="single" w:color="000000" w:sz="12" w:space="0"/>
              <w:left w:val="nil"/>
              <w:bottom w:val="single" w:color="000000" w:sz="4" w:space="0"/>
              <w:right w:val="nil"/>
            </w:tcBorders>
            <w:shd w:val="clear" w:color="auto" w:fill="FFFFFF"/>
            <w:vAlign w:val="center"/>
          </w:tcPr>
          <w:p w14:paraId="55BBBC8E">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Mean</w:t>
            </w:r>
          </w:p>
        </w:tc>
        <w:tc>
          <w:tcPr>
            <w:tcW w:w="1381" w:type="dxa"/>
            <w:tcBorders>
              <w:top w:val="single" w:color="000000" w:sz="12" w:space="0"/>
              <w:left w:val="nil"/>
              <w:bottom w:val="single" w:color="000000" w:sz="4" w:space="0"/>
              <w:right w:val="nil"/>
            </w:tcBorders>
            <w:shd w:val="clear" w:color="auto" w:fill="FFFFFF"/>
            <w:vAlign w:val="center"/>
          </w:tcPr>
          <w:p w14:paraId="1E3D8554">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SD</w:t>
            </w:r>
          </w:p>
        </w:tc>
        <w:tc>
          <w:tcPr>
            <w:tcW w:w="1398" w:type="dxa"/>
            <w:tcBorders>
              <w:top w:val="single" w:color="000000" w:sz="12" w:space="0"/>
              <w:left w:val="nil"/>
              <w:bottom w:val="single" w:color="000000" w:sz="4" w:space="0"/>
              <w:right w:val="nil"/>
            </w:tcBorders>
            <w:shd w:val="clear" w:color="auto" w:fill="FFFFFF"/>
            <w:vAlign w:val="center"/>
          </w:tcPr>
          <w:p w14:paraId="3930B704">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1</w:t>
            </w:r>
          </w:p>
        </w:tc>
        <w:tc>
          <w:tcPr>
            <w:tcW w:w="1398" w:type="dxa"/>
            <w:tcBorders>
              <w:top w:val="single" w:color="000000" w:sz="12" w:space="0"/>
              <w:left w:val="nil"/>
              <w:bottom w:val="single" w:color="000000" w:sz="4" w:space="0"/>
              <w:right w:val="nil"/>
            </w:tcBorders>
            <w:shd w:val="clear" w:color="auto" w:fill="FFFFFF"/>
            <w:vAlign w:val="center"/>
          </w:tcPr>
          <w:p w14:paraId="1CE9E394">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2</w:t>
            </w:r>
          </w:p>
        </w:tc>
        <w:tc>
          <w:tcPr>
            <w:tcW w:w="1398" w:type="dxa"/>
            <w:tcBorders>
              <w:top w:val="single" w:color="000000" w:sz="12" w:space="0"/>
              <w:left w:val="nil"/>
              <w:bottom w:val="single" w:color="000000" w:sz="4" w:space="0"/>
              <w:right w:val="nil"/>
            </w:tcBorders>
            <w:shd w:val="clear" w:color="auto" w:fill="FFFFFF"/>
            <w:vAlign w:val="center"/>
          </w:tcPr>
          <w:p w14:paraId="53CC7769">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3</w:t>
            </w:r>
          </w:p>
        </w:tc>
        <w:tc>
          <w:tcPr>
            <w:tcW w:w="1386" w:type="dxa"/>
            <w:tcBorders>
              <w:top w:val="single" w:color="000000" w:sz="12" w:space="0"/>
              <w:left w:val="nil"/>
              <w:bottom w:val="single" w:color="000000" w:sz="4" w:space="0"/>
              <w:right w:val="nil"/>
            </w:tcBorders>
            <w:shd w:val="clear" w:color="auto" w:fill="FFFFFF"/>
            <w:vAlign w:val="center"/>
          </w:tcPr>
          <w:p w14:paraId="660DDE65">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4</w:t>
            </w:r>
          </w:p>
        </w:tc>
      </w:tr>
      <w:tr w14:paraId="2AB8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Borders>
              <w:top w:val="single" w:color="000000" w:sz="4" w:space="0"/>
              <w:left w:val="nil"/>
              <w:bottom w:val="nil"/>
              <w:right w:val="nil"/>
            </w:tcBorders>
            <w:shd w:val="clear" w:color="auto" w:fill="FFFFFF"/>
            <w:vAlign w:val="center"/>
          </w:tcPr>
          <w:p w14:paraId="1D37B92A">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1. VD</w:t>
            </w:r>
          </w:p>
        </w:tc>
        <w:tc>
          <w:tcPr>
            <w:tcW w:w="1387" w:type="dxa"/>
            <w:tcBorders>
              <w:top w:val="single" w:color="000000" w:sz="4" w:space="0"/>
              <w:left w:val="nil"/>
              <w:bottom w:val="nil"/>
              <w:right w:val="nil"/>
            </w:tcBorders>
            <w:shd w:val="clear" w:color="auto" w:fill="FFFFFF"/>
            <w:vAlign w:val="center"/>
          </w:tcPr>
          <w:p w14:paraId="7DC744D0">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2.72</w:t>
            </w:r>
          </w:p>
        </w:tc>
        <w:tc>
          <w:tcPr>
            <w:tcW w:w="1381" w:type="dxa"/>
            <w:tcBorders>
              <w:top w:val="single" w:color="000000" w:sz="4" w:space="0"/>
              <w:left w:val="nil"/>
              <w:bottom w:val="nil"/>
              <w:right w:val="nil"/>
            </w:tcBorders>
            <w:shd w:val="clear" w:color="auto" w:fill="FFFFFF"/>
            <w:vAlign w:val="center"/>
          </w:tcPr>
          <w:p w14:paraId="60A7E77B">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0.82</w:t>
            </w:r>
          </w:p>
        </w:tc>
        <w:tc>
          <w:tcPr>
            <w:tcW w:w="1398" w:type="dxa"/>
            <w:tcBorders>
              <w:top w:val="single" w:color="000000" w:sz="4" w:space="0"/>
              <w:left w:val="nil"/>
              <w:bottom w:val="nil"/>
              <w:right w:val="nil"/>
            </w:tcBorders>
            <w:shd w:val="clear" w:color="auto" w:fill="FFFFFF"/>
            <w:vAlign w:val="center"/>
          </w:tcPr>
          <w:p w14:paraId="246846B5">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1.000</w:t>
            </w:r>
          </w:p>
        </w:tc>
        <w:tc>
          <w:tcPr>
            <w:tcW w:w="1398" w:type="dxa"/>
            <w:tcBorders>
              <w:top w:val="single" w:color="000000" w:sz="4" w:space="0"/>
              <w:left w:val="nil"/>
              <w:bottom w:val="nil"/>
              <w:right w:val="nil"/>
            </w:tcBorders>
            <w:shd w:val="clear" w:color="auto" w:fill="FFFFFF"/>
            <w:vAlign w:val="center"/>
          </w:tcPr>
          <w:p w14:paraId="4F6D4C3E">
            <w:pPr>
              <w:jc w:val="center"/>
              <w:rPr>
                <w:rFonts w:ascii="Times New Roman" w:hAnsi="Times New Roman" w:eastAsia="宋体" w:cs="Times New Roman"/>
                <w:bCs/>
                <w:color w:val="000000"/>
                <w:sz w:val="18"/>
                <w:szCs w:val="18"/>
              </w:rPr>
            </w:pPr>
          </w:p>
        </w:tc>
        <w:tc>
          <w:tcPr>
            <w:tcW w:w="1398" w:type="dxa"/>
            <w:tcBorders>
              <w:top w:val="single" w:color="000000" w:sz="4" w:space="0"/>
              <w:left w:val="nil"/>
              <w:bottom w:val="nil"/>
              <w:right w:val="nil"/>
            </w:tcBorders>
            <w:shd w:val="clear" w:color="auto" w:fill="FFFFFF"/>
            <w:vAlign w:val="center"/>
          </w:tcPr>
          <w:p w14:paraId="2F12D319">
            <w:pPr>
              <w:jc w:val="center"/>
              <w:rPr>
                <w:rFonts w:ascii="Times New Roman" w:hAnsi="Times New Roman" w:eastAsia="宋体" w:cs="Times New Roman"/>
                <w:bCs/>
                <w:color w:val="000000"/>
                <w:sz w:val="18"/>
                <w:szCs w:val="18"/>
              </w:rPr>
            </w:pPr>
          </w:p>
        </w:tc>
        <w:tc>
          <w:tcPr>
            <w:tcW w:w="1386" w:type="dxa"/>
            <w:tcBorders>
              <w:top w:val="single" w:color="000000" w:sz="4" w:space="0"/>
              <w:left w:val="nil"/>
              <w:bottom w:val="nil"/>
              <w:right w:val="nil"/>
            </w:tcBorders>
            <w:shd w:val="clear" w:color="auto" w:fill="FFFFFF"/>
            <w:vAlign w:val="center"/>
          </w:tcPr>
          <w:p w14:paraId="00392121">
            <w:pPr>
              <w:jc w:val="center"/>
              <w:rPr>
                <w:rFonts w:ascii="Times New Roman" w:hAnsi="Times New Roman" w:eastAsia="宋体" w:cs="Times New Roman"/>
                <w:bCs/>
                <w:color w:val="000000"/>
                <w:sz w:val="18"/>
                <w:szCs w:val="18"/>
              </w:rPr>
            </w:pPr>
          </w:p>
        </w:tc>
      </w:tr>
      <w:tr w14:paraId="1E66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Borders>
              <w:top w:val="nil"/>
              <w:left w:val="nil"/>
              <w:bottom w:val="nil"/>
              <w:right w:val="nil"/>
            </w:tcBorders>
            <w:shd w:val="clear" w:color="auto" w:fill="FFFFFF"/>
            <w:vAlign w:val="center"/>
          </w:tcPr>
          <w:p w14:paraId="0900F81D">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2. CU</w:t>
            </w:r>
          </w:p>
        </w:tc>
        <w:tc>
          <w:tcPr>
            <w:tcW w:w="1387" w:type="dxa"/>
            <w:tcBorders>
              <w:top w:val="nil"/>
              <w:left w:val="nil"/>
              <w:bottom w:val="nil"/>
              <w:right w:val="nil"/>
            </w:tcBorders>
            <w:shd w:val="clear" w:color="auto" w:fill="FFFFFF"/>
            <w:vAlign w:val="center"/>
          </w:tcPr>
          <w:p w14:paraId="053B2643">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3.43</w:t>
            </w:r>
          </w:p>
        </w:tc>
        <w:tc>
          <w:tcPr>
            <w:tcW w:w="1381" w:type="dxa"/>
            <w:tcBorders>
              <w:top w:val="nil"/>
              <w:left w:val="nil"/>
              <w:bottom w:val="nil"/>
              <w:right w:val="nil"/>
            </w:tcBorders>
            <w:shd w:val="clear" w:color="auto" w:fill="FFFFFF"/>
            <w:vAlign w:val="center"/>
          </w:tcPr>
          <w:p w14:paraId="493794E2">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0.79</w:t>
            </w:r>
          </w:p>
        </w:tc>
        <w:tc>
          <w:tcPr>
            <w:tcW w:w="1398" w:type="dxa"/>
            <w:tcBorders>
              <w:top w:val="nil"/>
              <w:left w:val="nil"/>
              <w:bottom w:val="nil"/>
              <w:right w:val="nil"/>
            </w:tcBorders>
            <w:shd w:val="clear" w:color="auto" w:fill="FFFFFF"/>
            <w:vAlign w:val="center"/>
          </w:tcPr>
          <w:p w14:paraId="745772F2">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-0.267***</w:t>
            </w:r>
          </w:p>
        </w:tc>
        <w:tc>
          <w:tcPr>
            <w:tcW w:w="1398" w:type="dxa"/>
            <w:tcBorders>
              <w:top w:val="nil"/>
              <w:left w:val="nil"/>
              <w:bottom w:val="nil"/>
              <w:right w:val="nil"/>
            </w:tcBorders>
            <w:shd w:val="clear" w:color="auto" w:fill="FFFFFF"/>
            <w:vAlign w:val="center"/>
          </w:tcPr>
          <w:p w14:paraId="59E1ADBE">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1.000</w:t>
            </w:r>
          </w:p>
        </w:tc>
        <w:tc>
          <w:tcPr>
            <w:tcW w:w="1398" w:type="dxa"/>
            <w:tcBorders>
              <w:top w:val="nil"/>
              <w:left w:val="nil"/>
              <w:bottom w:val="nil"/>
              <w:right w:val="nil"/>
            </w:tcBorders>
            <w:shd w:val="clear" w:color="auto" w:fill="FFFFFF"/>
            <w:vAlign w:val="center"/>
          </w:tcPr>
          <w:p w14:paraId="41D3275E">
            <w:pPr>
              <w:jc w:val="center"/>
              <w:rPr>
                <w:rFonts w:ascii="Times New Roman" w:hAnsi="Times New Roman" w:eastAsia="宋体" w:cs="Times New Roman"/>
                <w:bCs/>
                <w:color w:val="000000"/>
                <w:sz w:val="18"/>
                <w:szCs w:val="18"/>
              </w:rPr>
            </w:pPr>
          </w:p>
        </w:tc>
        <w:tc>
          <w:tcPr>
            <w:tcW w:w="1386" w:type="dxa"/>
            <w:tcBorders>
              <w:top w:val="nil"/>
              <w:left w:val="nil"/>
              <w:bottom w:val="nil"/>
              <w:right w:val="nil"/>
            </w:tcBorders>
            <w:shd w:val="clear" w:color="auto" w:fill="FFFFFF"/>
            <w:vAlign w:val="center"/>
          </w:tcPr>
          <w:p w14:paraId="5C9A16B7">
            <w:pPr>
              <w:jc w:val="center"/>
              <w:rPr>
                <w:rFonts w:ascii="Times New Roman" w:hAnsi="Times New Roman" w:eastAsia="宋体" w:cs="Times New Roman"/>
                <w:bCs/>
                <w:color w:val="000000"/>
                <w:sz w:val="18"/>
                <w:szCs w:val="18"/>
              </w:rPr>
            </w:pPr>
          </w:p>
        </w:tc>
      </w:tr>
      <w:tr w14:paraId="2512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Borders>
              <w:top w:val="nil"/>
              <w:left w:val="nil"/>
              <w:bottom w:val="nil"/>
              <w:right w:val="nil"/>
            </w:tcBorders>
            <w:shd w:val="clear" w:color="auto" w:fill="FFFFFF"/>
            <w:vAlign w:val="center"/>
          </w:tcPr>
          <w:p w14:paraId="56D5F2C0">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3. CP</w:t>
            </w:r>
          </w:p>
        </w:tc>
        <w:tc>
          <w:tcPr>
            <w:tcW w:w="1387" w:type="dxa"/>
            <w:tcBorders>
              <w:top w:val="nil"/>
              <w:left w:val="nil"/>
              <w:bottom w:val="nil"/>
              <w:right w:val="nil"/>
            </w:tcBorders>
            <w:shd w:val="clear" w:color="auto" w:fill="FFFFFF"/>
            <w:vAlign w:val="center"/>
          </w:tcPr>
          <w:p w14:paraId="68CE8EFB">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3.44</w:t>
            </w:r>
          </w:p>
        </w:tc>
        <w:tc>
          <w:tcPr>
            <w:tcW w:w="1381" w:type="dxa"/>
            <w:tcBorders>
              <w:top w:val="nil"/>
              <w:left w:val="nil"/>
              <w:bottom w:val="nil"/>
              <w:right w:val="nil"/>
            </w:tcBorders>
            <w:shd w:val="clear" w:color="auto" w:fill="FFFFFF"/>
            <w:vAlign w:val="center"/>
          </w:tcPr>
          <w:p w14:paraId="57502E37">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0.91</w:t>
            </w:r>
          </w:p>
        </w:tc>
        <w:tc>
          <w:tcPr>
            <w:tcW w:w="1398" w:type="dxa"/>
            <w:tcBorders>
              <w:top w:val="nil"/>
              <w:left w:val="nil"/>
              <w:bottom w:val="nil"/>
              <w:right w:val="nil"/>
            </w:tcBorders>
            <w:shd w:val="clear" w:color="auto" w:fill="FFFFFF"/>
            <w:vAlign w:val="center"/>
          </w:tcPr>
          <w:p w14:paraId="3A09D790">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-0.396***</w:t>
            </w:r>
          </w:p>
        </w:tc>
        <w:tc>
          <w:tcPr>
            <w:tcW w:w="1398" w:type="dxa"/>
            <w:tcBorders>
              <w:top w:val="nil"/>
              <w:left w:val="nil"/>
              <w:bottom w:val="nil"/>
              <w:right w:val="nil"/>
            </w:tcBorders>
            <w:shd w:val="clear" w:color="auto" w:fill="FFFFFF"/>
            <w:vAlign w:val="center"/>
          </w:tcPr>
          <w:p w14:paraId="269F7227">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0.759***</w:t>
            </w:r>
          </w:p>
        </w:tc>
        <w:tc>
          <w:tcPr>
            <w:tcW w:w="1398" w:type="dxa"/>
            <w:tcBorders>
              <w:top w:val="nil"/>
              <w:left w:val="nil"/>
              <w:bottom w:val="nil"/>
              <w:right w:val="nil"/>
            </w:tcBorders>
            <w:shd w:val="clear" w:color="auto" w:fill="FFFFFF"/>
            <w:vAlign w:val="center"/>
          </w:tcPr>
          <w:p w14:paraId="4DEAF68B">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1.000</w:t>
            </w:r>
          </w:p>
        </w:tc>
        <w:tc>
          <w:tcPr>
            <w:tcW w:w="1386" w:type="dxa"/>
            <w:tcBorders>
              <w:top w:val="nil"/>
              <w:left w:val="nil"/>
              <w:bottom w:val="nil"/>
              <w:right w:val="nil"/>
            </w:tcBorders>
            <w:shd w:val="clear" w:color="auto" w:fill="FFFFFF"/>
            <w:vAlign w:val="center"/>
          </w:tcPr>
          <w:p w14:paraId="4A010B10">
            <w:pPr>
              <w:jc w:val="center"/>
              <w:rPr>
                <w:rFonts w:ascii="Times New Roman" w:hAnsi="Times New Roman" w:eastAsia="宋体" w:cs="Times New Roman"/>
                <w:bCs/>
                <w:color w:val="000000"/>
                <w:sz w:val="18"/>
                <w:szCs w:val="18"/>
              </w:rPr>
            </w:pPr>
          </w:p>
        </w:tc>
      </w:tr>
      <w:tr w14:paraId="7C8D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tcBorders>
              <w:top w:val="nil"/>
              <w:left w:val="nil"/>
              <w:bottom w:val="single" w:color="auto" w:sz="12" w:space="0"/>
              <w:right w:val="nil"/>
            </w:tcBorders>
            <w:shd w:val="clear" w:color="auto" w:fill="FFFFFF"/>
            <w:vAlign w:val="center"/>
          </w:tcPr>
          <w:p w14:paraId="463FB242">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4. IM</w:t>
            </w:r>
          </w:p>
        </w:tc>
        <w:tc>
          <w:tcPr>
            <w:tcW w:w="1387" w:type="dxa"/>
            <w:tcBorders>
              <w:top w:val="nil"/>
              <w:left w:val="nil"/>
              <w:bottom w:val="single" w:color="auto" w:sz="12" w:space="0"/>
              <w:right w:val="nil"/>
            </w:tcBorders>
            <w:shd w:val="clear" w:color="auto" w:fill="FFFFFF"/>
            <w:vAlign w:val="center"/>
          </w:tcPr>
          <w:p w14:paraId="14A655D6">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3.40</w:t>
            </w:r>
          </w:p>
        </w:tc>
        <w:tc>
          <w:tcPr>
            <w:tcW w:w="1381" w:type="dxa"/>
            <w:tcBorders>
              <w:top w:val="nil"/>
              <w:left w:val="nil"/>
              <w:bottom w:val="single" w:color="auto" w:sz="12" w:space="0"/>
              <w:right w:val="nil"/>
            </w:tcBorders>
            <w:shd w:val="clear" w:color="auto" w:fill="FFFFFF"/>
            <w:vAlign w:val="center"/>
          </w:tcPr>
          <w:p w14:paraId="4C37ADA3">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0.88</w:t>
            </w:r>
          </w:p>
        </w:tc>
        <w:tc>
          <w:tcPr>
            <w:tcW w:w="1398" w:type="dxa"/>
            <w:tcBorders>
              <w:top w:val="nil"/>
              <w:left w:val="nil"/>
              <w:bottom w:val="single" w:color="auto" w:sz="12" w:space="0"/>
              <w:right w:val="nil"/>
            </w:tcBorders>
            <w:shd w:val="clear" w:color="auto" w:fill="FFFFFF"/>
            <w:vAlign w:val="center"/>
          </w:tcPr>
          <w:p w14:paraId="0F0D1737">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-0.401***</w:t>
            </w:r>
          </w:p>
        </w:tc>
        <w:tc>
          <w:tcPr>
            <w:tcW w:w="1398" w:type="dxa"/>
            <w:tcBorders>
              <w:top w:val="nil"/>
              <w:left w:val="nil"/>
              <w:bottom w:val="single" w:color="auto" w:sz="12" w:space="0"/>
              <w:right w:val="nil"/>
            </w:tcBorders>
            <w:shd w:val="clear" w:color="auto" w:fill="FFFFFF"/>
            <w:vAlign w:val="center"/>
          </w:tcPr>
          <w:p w14:paraId="04405A06">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0.748***</w:t>
            </w:r>
          </w:p>
        </w:tc>
        <w:tc>
          <w:tcPr>
            <w:tcW w:w="1398" w:type="dxa"/>
            <w:tcBorders>
              <w:top w:val="nil"/>
              <w:left w:val="nil"/>
              <w:bottom w:val="single" w:color="auto" w:sz="12" w:space="0"/>
              <w:right w:val="nil"/>
            </w:tcBorders>
            <w:shd w:val="clear" w:color="auto" w:fill="FFFFFF"/>
            <w:vAlign w:val="center"/>
          </w:tcPr>
          <w:p w14:paraId="33CA3EC5">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0.846***</w:t>
            </w:r>
          </w:p>
        </w:tc>
        <w:tc>
          <w:tcPr>
            <w:tcW w:w="1386" w:type="dxa"/>
            <w:tcBorders>
              <w:top w:val="nil"/>
              <w:left w:val="nil"/>
              <w:bottom w:val="single" w:color="auto" w:sz="12" w:space="0"/>
              <w:right w:val="nil"/>
            </w:tcBorders>
            <w:shd w:val="clear" w:color="auto" w:fill="FFFFFF"/>
            <w:vAlign w:val="center"/>
          </w:tcPr>
          <w:p w14:paraId="70D6D3F2">
            <w:pPr>
              <w:widowControl/>
              <w:jc w:val="center"/>
              <w:rPr>
                <w:rFonts w:ascii="Times New Roman" w:hAnsi="Times New Roman" w:eastAsia="宋体" w:cs="Times New Roman"/>
                <w:bCs/>
                <w:color w:val="000000"/>
                <w:sz w:val="18"/>
                <w:szCs w:val="18"/>
              </w:rPr>
            </w:pPr>
            <w:r>
              <w:rPr>
                <w:rFonts w:ascii="Times New Roman" w:hAnsi="Times New Roman" w:eastAsia="宋体" w:cs="Times New Roman"/>
                <w:bCs/>
                <w:color w:val="000000"/>
                <w:kern w:val="0"/>
                <w:sz w:val="18"/>
                <w:szCs w:val="18"/>
                <w:lang w:bidi="ar"/>
              </w:rPr>
              <w:t>1.000</w:t>
            </w:r>
          </w:p>
        </w:tc>
      </w:tr>
      <w:tr w14:paraId="61DE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6" w:type="dxa"/>
            <w:gridSpan w:val="7"/>
            <w:tcBorders>
              <w:top w:val="single" w:color="auto" w:sz="12" w:space="0"/>
              <w:left w:val="nil"/>
              <w:bottom w:val="single" w:color="auto" w:sz="12" w:space="0"/>
              <w:right w:val="nil"/>
            </w:tcBorders>
            <w:shd w:val="clear" w:color="auto" w:fill="FFFFFF"/>
            <w:vAlign w:val="center"/>
          </w:tcPr>
          <w:p w14:paraId="686E1314">
            <w:pPr>
              <w:jc w:val="left"/>
              <w:rPr>
                <w:rFonts w:ascii="Times New Roman" w:hAnsi="Times New Roman" w:eastAsia="宋体" w:cs="Times New Roman"/>
                <w:bCs/>
                <w:color w:val="000000"/>
                <w:kern w:val="0"/>
                <w:sz w:val="18"/>
                <w:szCs w:val="18"/>
                <w:lang w:bidi="ar"/>
              </w:rPr>
            </w:pPr>
            <w:r>
              <w:rPr>
                <w:rFonts w:ascii="Times New Roman" w:hAnsi="Times New Roman" w:eastAsia="宋体" w:cs="Times New Roman"/>
                <w:bCs/>
                <w:color w:val="000000"/>
                <w:kern w:val="0"/>
                <w:sz w:val="18"/>
                <w:szCs w:val="18"/>
                <w:lang w:bidi="ar"/>
              </w:rPr>
              <w:t>Note: Pearson correlations. *** p &lt; 0.001.</w:t>
            </w:r>
          </w:p>
        </w:tc>
      </w:tr>
    </w:tbl>
    <w:p w14:paraId="146733C6">
      <w:pPr>
        <w:jc w:val="center"/>
        <w:rPr>
          <w:rFonts w:ascii="Times New Roman" w:hAnsi="Times New Roman" w:cs="Times New Roman"/>
        </w:rPr>
      </w:pPr>
    </w:p>
    <w:p w14:paraId="16A33296">
      <w:pPr>
        <w:rPr>
          <w:rFonts w:ascii="Times New Roman" w:hAnsi="Times New Roman" w:cs="Times New Roman"/>
        </w:rPr>
      </w:pPr>
      <w:r>
        <w:rPr>
          <w:rFonts w:ascii="Times New Roman" w:hAnsi="Times New Roman" w:cs="Times New Roman"/>
          <w:b/>
          <w:bCs/>
        </w:rPr>
        <w:t xml:space="preserve">Table </w:t>
      </w:r>
      <w:r>
        <w:rPr>
          <w:rFonts w:hint="eastAsia" w:ascii="Times New Roman" w:hAnsi="Times New Roman" w:cs="Times New Roman"/>
          <w:b/>
          <w:bCs/>
        </w:rPr>
        <w:t>A.14</w:t>
      </w:r>
      <w:r>
        <w:rPr>
          <w:rFonts w:ascii="Times New Roman" w:hAnsi="Times New Roman" w:cs="Times New Roman"/>
          <w:b/>
          <w:bCs/>
        </w:rPr>
        <w:t xml:space="preserve"> </w:t>
      </w:r>
      <w:r>
        <w:rPr>
          <w:rFonts w:ascii="Times New Roman" w:hAnsi="Times New Roman" w:cs="Times New Roman"/>
        </w:rPr>
        <w:t>Scenario based differences across six scenarios</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1339"/>
        <w:gridCol w:w="1373"/>
        <w:gridCol w:w="1373"/>
        <w:gridCol w:w="1374"/>
        <w:gridCol w:w="1374"/>
      </w:tblGrid>
      <w:tr w14:paraId="0482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tcBorders>
              <w:top w:val="single" w:color="000000" w:sz="12" w:space="0"/>
              <w:left w:val="nil"/>
              <w:bottom w:val="single" w:color="000000" w:sz="4" w:space="0"/>
              <w:right w:val="nil"/>
              <w:tl2br w:val="nil"/>
            </w:tcBorders>
            <w:shd w:val="clear" w:color="auto" w:fill="FFFFFF"/>
            <w:vAlign w:val="center"/>
          </w:tcPr>
          <w:p w14:paraId="0DD8660F">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Scenario</w:t>
            </w:r>
          </w:p>
        </w:tc>
        <w:tc>
          <w:tcPr>
            <w:tcW w:w="1618" w:type="dxa"/>
            <w:tcBorders>
              <w:top w:val="single" w:color="000000" w:sz="12" w:space="0"/>
              <w:left w:val="nil"/>
              <w:bottom w:val="single" w:color="000000" w:sz="4" w:space="0"/>
              <w:right w:val="nil"/>
            </w:tcBorders>
            <w:shd w:val="clear" w:color="auto" w:fill="FFFFFF"/>
            <w:vAlign w:val="center"/>
          </w:tcPr>
          <w:p w14:paraId="41CFFE74">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n</w:t>
            </w:r>
          </w:p>
        </w:tc>
        <w:tc>
          <w:tcPr>
            <w:tcW w:w="1623" w:type="dxa"/>
            <w:tcBorders>
              <w:top w:val="single" w:color="000000" w:sz="12" w:space="0"/>
              <w:left w:val="nil"/>
              <w:bottom w:val="single" w:color="000000" w:sz="4" w:space="0"/>
              <w:right w:val="nil"/>
            </w:tcBorders>
            <w:shd w:val="clear" w:color="auto" w:fill="FFFFFF"/>
            <w:vAlign w:val="center"/>
          </w:tcPr>
          <w:p w14:paraId="63617A09">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VD</w:t>
            </w:r>
          </w:p>
        </w:tc>
        <w:tc>
          <w:tcPr>
            <w:tcW w:w="1623" w:type="dxa"/>
            <w:tcBorders>
              <w:top w:val="single" w:color="000000" w:sz="12" w:space="0"/>
              <w:left w:val="nil"/>
              <w:bottom w:val="single" w:color="000000" w:sz="4" w:space="0"/>
              <w:right w:val="nil"/>
            </w:tcBorders>
            <w:shd w:val="clear" w:color="auto" w:fill="FFFFFF"/>
            <w:vAlign w:val="center"/>
          </w:tcPr>
          <w:p w14:paraId="2D939991">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CU</w:t>
            </w:r>
          </w:p>
        </w:tc>
        <w:tc>
          <w:tcPr>
            <w:tcW w:w="1624" w:type="dxa"/>
            <w:tcBorders>
              <w:top w:val="single" w:color="000000" w:sz="12" w:space="0"/>
              <w:left w:val="nil"/>
              <w:bottom w:val="single" w:color="000000" w:sz="4" w:space="0"/>
              <w:right w:val="nil"/>
            </w:tcBorders>
            <w:shd w:val="clear" w:color="auto" w:fill="FFFFFF"/>
            <w:vAlign w:val="center"/>
          </w:tcPr>
          <w:p w14:paraId="1277118A">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CP</w:t>
            </w:r>
          </w:p>
        </w:tc>
        <w:tc>
          <w:tcPr>
            <w:tcW w:w="1624" w:type="dxa"/>
            <w:tcBorders>
              <w:top w:val="single" w:color="000000" w:sz="12" w:space="0"/>
              <w:left w:val="nil"/>
              <w:bottom w:val="single" w:color="000000" w:sz="4" w:space="0"/>
              <w:right w:val="nil"/>
            </w:tcBorders>
            <w:shd w:val="clear" w:color="auto" w:fill="FFFFFF"/>
            <w:vAlign w:val="center"/>
          </w:tcPr>
          <w:p w14:paraId="7CE8A801">
            <w:pPr>
              <w:widowControl/>
              <w:jc w:val="center"/>
              <w:rPr>
                <w:rFonts w:ascii="Times New Roman Bold" w:hAnsi="Times New Roman Bold" w:eastAsia="宋体" w:cs="Times New Roman Bold"/>
                <w:b/>
                <w:color w:val="000000"/>
                <w:sz w:val="18"/>
                <w:szCs w:val="18"/>
              </w:rPr>
            </w:pPr>
            <w:r>
              <w:rPr>
                <w:rFonts w:ascii="Times New Roman Bold" w:hAnsi="Times New Roman Bold" w:eastAsia="宋体" w:cs="Times New Roman Bold"/>
                <w:b/>
                <w:color w:val="000000"/>
                <w:kern w:val="0"/>
                <w:sz w:val="18"/>
                <w:szCs w:val="18"/>
                <w:lang w:bidi="ar"/>
              </w:rPr>
              <w:t>IM</w:t>
            </w:r>
          </w:p>
        </w:tc>
      </w:tr>
      <w:tr w14:paraId="6AF5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tcBorders>
              <w:top w:val="single" w:color="000000" w:sz="4" w:space="0"/>
              <w:left w:val="nil"/>
              <w:bottom w:val="nil"/>
              <w:right w:val="nil"/>
            </w:tcBorders>
            <w:shd w:val="clear" w:color="auto" w:fill="FFFFFF"/>
            <w:vAlign w:val="center"/>
          </w:tcPr>
          <w:p w14:paraId="1357EA5F">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1</w:t>
            </w:r>
          </w:p>
        </w:tc>
        <w:tc>
          <w:tcPr>
            <w:tcW w:w="1618" w:type="dxa"/>
            <w:tcBorders>
              <w:top w:val="single" w:color="000000" w:sz="4" w:space="0"/>
              <w:left w:val="nil"/>
              <w:bottom w:val="nil"/>
              <w:right w:val="nil"/>
            </w:tcBorders>
            <w:shd w:val="clear" w:color="auto" w:fill="FFFFFF"/>
            <w:vAlign w:val="center"/>
          </w:tcPr>
          <w:p w14:paraId="2EC6F942">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42</w:t>
            </w:r>
          </w:p>
        </w:tc>
        <w:tc>
          <w:tcPr>
            <w:tcW w:w="1623" w:type="dxa"/>
            <w:tcBorders>
              <w:top w:val="single" w:color="000000" w:sz="4" w:space="0"/>
              <w:left w:val="nil"/>
              <w:bottom w:val="nil"/>
              <w:right w:val="nil"/>
            </w:tcBorders>
            <w:shd w:val="clear" w:color="auto" w:fill="FFFFFF"/>
            <w:vAlign w:val="center"/>
          </w:tcPr>
          <w:p w14:paraId="22551C0A">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2.08 ± 0.84</w:t>
            </w:r>
          </w:p>
        </w:tc>
        <w:tc>
          <w:tcPr>
            <w:tcW w:w="1623" w:type="dxa"/>
            <w:tcBorders>
              <w:top w:val="single" w:color="000000" w:sz="4" w:space="0"/>
              <w:left w:val="nil"/>
              <w:bottom w:val="nil"/>
              <w:right w:val="nil"/>
            </w:tcBorders>
            <w:shd w:val="clear" w:color="auto" w:fill="FFFFFF"/>
            <w:vAlign w:val="center"/>
          </w:tcPr>
          <w:p w14:paraId="362174EA">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3.78 ± 0.88</w:t>
            </w:r>
          </w:p>
        </w:tc>
        <w:tc>
          <w:tcPr>
            <w:tcW w:w="1624" w:type="dxa"/>
            <w:tcBorders>
              <w:top w:val="single" w:color="000000" w:sz="4" w:space="0"/>
              <w:left w:val="nil"/>
              <w:bottom w:val="nil"/>
              <w:right w:val="nil"/>
            </w:tcBorders>
            <w:shd w:val="clear" w:color="auto" w:fill="FFFFFF"/>
            <w:vAlign w:val="center"/>
          </w:tcPr>
          <w:p w14:paraId="3C8F0136">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4.04 ± 0.80</w:t>
            </w:r>
          </w:p>
        </w:tc>
        <w:tc>
          <w:tcPr>
            <w:tcW w:w="1624" w:type="dxa"/>
            <w:tcBorders>
              <w:top w:val="single" w:color="000000" w:sz="4" w:space="0"/>
              <w:left w:val="nil"/>
              <w:bottom w:val="nil"/>
              <w:right w:val="nil"/>
            </w:tcBorders>
            <w:shd w:val="clear" w:color="auto" w:fill="FFFFFF"/>
            <w:vAlign w:val="center"/>
          </w:tcPr>
          <w:p w14:paraId="552E440A">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3.98 ± 0.76</w:t>
            </w:r>
          </w:p>
        </w:tc>
      </w:tr>
      <w:tr w14:paraId="5A65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tcBorders>
              <w:top w:val="nil"/>
              <w:left w:val="nil"/>
              <w:bottom w:val="nil"/>
              <w:right w:val="nil"/>
            </w:tcBorders>
            <w:shd w:val="clear" w:color="auto" w:fill="FFFFFF"/>
            <w:vAlign w:val="center"/>
          </w:tcPr>
          <w:p w14:paraId="592C08EF">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2</w:t>
            </w:r>
          </w:p>
        </w:tc>
        <w:tc>
          <w:tcPr>
            <w:tcW w:w="1618" w:type="dxa"/>
            <w:tcBorders>
              <w:top w:val="nil"/>
              <w:left w:val="nil"/>
              <w:bottom w:val="nil"/>
              <w:right w:val="nil"/>
            </w:tcBorders>
            <w:shd w:val="clear" w:color="auto" w:fill="FFFFFF"/>
            <w:vAlign w:val="center"/>
          </w:tcPr>
          <w:p w14:paraId="095F9FDB">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37</w:t>
            </w:r>
          </w:p>
        </w:tc>
        <w:tc>
          <w:tcPr>
            <w:tcW w:w="1623" w:type="dxa"/>
            <w:tcBorders>
              <w:top w:val="nil"/>
              <w:left w:val="nil"/>
              <w:bottom w:val="nil"/>
              <w:right w:val="nil"/>
            </w:tcBorders>
            <w:shd w:val="clear" w:color="auto" w:fill="FFFFFF"/>
            <w:vAlign w:val="center"/>
          </w:tcPr>
          <w:p w14:paraId="34843EAB">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2.82 ± 0.60</w:t>
            </w:r>
          </w:p>
        </w:tc>
        <w:tc>
          <w:tcPr>
            <w:tcW w:w="1623" w:type="dxa"/>
            <w:tcBorders>
              <w:top w:val="nil"/>
              <w:left w:val="nil"/>
              <w:bottom w:val="nil"/>
              <w:right w:val="nil"/>
            </w:tcBorders>
            <w:shd w:val="clear" w:color="auto" w:fill="FFFFFF"/>
            <w:vAlign w:val="center"/>
          </w:tcPr>
          <w:p w14:paraId="5065031B">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3.38 ± 0.75</w:t>
            </w:r>
          </w:p>
        </w:tc>
        <w:tc>
          <w:tcPr>
            <w:tcW w:w="1624" w:type="dxa"/>
            <w:tcBorders>
              <w:top w:val="nil"/>
              <w:left w:val="nil"/>
              <w:bottom w:val="nil"/>
              <w:right w:val="nil"/>
            </w:tcBorders>
            <w:shd w:val="clear" w:color="auto" w:fill="FFFFFF"/>
            <w:vAlign w:val="center"/>
          </w:tcPr>
          <w:p w14:paraId="4E350C9B">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3.47 ± 0.76</w:t>
            </w:r>
          </w:p>
        </w:tc>
        <w:tc>
          <w:tcPr>
            <w:tcW w:w="1624" w:type="dxa"/>
            <w:tcBorders>
              <w:top w:val="nil"/>
              <w:left w:val="nil"/>
              <w:bottom w:val="nil"/>
              <w:right w:val="nil"/>
            </w:tcBorders>
            <w:shd w:val="clear" w:color="auto" w:fill="FFFFFF"/>
            <w:vAlign w:val="center"/>
          </w:tcPr>
          <w:p w14:paraId="6431826E">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3.44 ± 0.73</w:t>
            </w:r>
          </w:p>
        </w:tc>
      </w:tr>
      <w:tr w14:paraId="7783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tcBorders>
              <w:top w:val="nil"/>
              <w:left w:val="nil"/>
              <w:bottom w:val="nil"/>
              <w:right w:val="nil"/>
            </w:tcBorders>
            <w:shd w:val="clear" w:color="auto" w:fill="FFFFFF"/>
            <w:vAlign w:val="center"/>
          </w:tcPr>
          <w:p w14:paraId="05E89609">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w:t>
            </w:r>
          </w:p>
        </w:tc>
        <w:tc>
          <w:tcPr>
            <w:tcW w:w="1618" w:type="dxa"/>
            <w:tcBorders>
              <w:top w:val="nil"/>
              <w:left w:val="nil"/>
              <w:bottom w:val="nil"/>
              <w:right w:val="nil"/>
            </w:tcBorders>
            <w:shd w:val="clear" w:color="auto" w:fill="FFFFFF"/>
            <w:vAlign w:val="center"/>
          </w:tcPr>
          <w:p w14:paraId="46D08DD1">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38</w:t>
            </w:r>
          </w:p>
        </w:tc>
        <w:tc>
          <w:tcPr>
            <w:tcW w:w="1623" w:type="dxa"/>
            <w:tcBorders>
              <w:top w:val="nil"/>
              <w:left w:val="nil"/>
              <w:bottom w:val="nil"/>
              <w:right w:val="nil"/>
            </w:tcBorders>
            <w:shd w:val="clear" w:color="auto" w:fill="FFFFFF"/>
            <w:vAlign w:val="center"/>
          </w:tcPr>
          <w:p w14:paraId="49DD6DC2">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3.02 ± 0.76</w:t>
            </w:r>
          </w:p>
        </w:tc>
        <w:tc>
          <w:tcPr>
            <w:tcW w:w="1623" w:type="dxa"/>
            <w:tcBorders>
              <w:top w:val="nil"/>
              <w:left w:val="nil"/>
              <w:bottom w:val="nil"/>
              <w:right w:val="nil"/>
            </w:tcBorders>
            <w:shd w:val="clear" w:color="auto" w:fill="FFFFFF"/>
            <w:vAlign w:val="center"/>
          </w:tcPr>
          <w:p w14:paraId="4EC8755B">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3.12 ± 0.68</w:t>
            </w:r>
          </w:p>
        </w:tc>
        <w:tc>
          <w:tcPr>
            <w:tcW w:w="1624" w:type="dxa"/>
            <w:tcBorders>
              <w:top w:val="nil"/>
              <w:left w:val="nil"/>
              <w:bottom w:val="nil"/>
              <w:right w:val="nil"/>
            </w:tcBorders>
            <w:shd w:val="clear" w:color="auto" w:fill="FFFFFF"/>
            <w:vAlign w:val="center"/>
          </w:tcPr>
          <w:p w14:paraId="7B4B01A4">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3.12 ± 0.79</w:t>
            </w:r>
          </w:p>
        </w:tc>
        <w:tc>
          <w:tcPr>
            <w:tcW w:w="1624" w:type="dxa"/>
            <w:tcBorders>
              <w:top w:val="nil"/>
              <w:left w:val="nil"/>
              <w:bottom w:val="nil"/>
              <w:right w:val="nil"/>
            </w:tcBorders>
            <w:shd w:val="clear" w:color="auto" w:fill="FFFFFF"/>
            <w:vAlign w:val="center"/>
          </w:tcPr>
          <w:p w14:paraId="078AEBC4">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3.02 ± 0.75</w:t>
            </w:r>
          </w:p>
        </w:tc>
      </w:tr>
      <w:tr w14:paraId="0C31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tcBorders>
              <w:top w:val="nil"/>
              <w:left w:val="nil"/>
              <w:bottom w:val="nil"/>
              <w:right w:val="nil"/>
            </w:tcBorders>
            <w:shd w:val="clear" w:color="auto" w:fill="FFFFFF"/>
            <w:vAlign w:val="center"/>
          </w:tcPr>
          <w:p w14:paraId="06798B3C">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4</w:t>
            </w:r>
          </w:p>
        </w:tc>
        <w:tc>
          <w:tcPr>
            <w:tcW w:w="1618" w:type="dxa"/>
            <w:tcBorders>
              <w:top w:val="nil"/>
              <w:left w:val="nil"/>
              <w:bottom w:val="nil"/>
              <w:right w:val="nil"/>
            </w:tcBorders>
            <w:shd w:val="clear" w:color="auto" w:fill="FFFFFF"/>
            <w:vAlign w:val="center"/>
          </w:tcPr>
          <w:p w14:paraId="7FDF3211">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42</w:t>
            </w:r>
          </w:p>
        </w:tc>
        <w:tc>
          <w:tcPr>
            <w:tcW w:w="1623" w:type="dxa"/>
            <w:tcBorders>
              <w:top w:val="nil"/>
              <w:left w:val="nil"/>
              <w:bottom w:val="nil"/>
              <w:right w:val="nil"/>
            </w:tcBorders>
            <w:shd w:val="clear" w:color="auto" w:fill="FFFFFF"/>
            <w:vAlign w:val="center"/>
          </w:tcPr>
          <w:p w14:paraId="3090BC00">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2.37 ± 1.03</w:t>
            </w:r>
          </w:p>
        </w:tc>
        <w:tc>
          <w:tcPr>
            <w:tcW w:w="1623" w:type="dxa"/>
            <w:tcBorders>
              <w:top w:val="nil"/>
              <w:left w:val="nil"/>
              <w:bottom w:val="nil"/>
              <w:right w:val="nil"/>
            </w:tcBorders>
            <w:shd w:val="clear" w:color="auto" w:fill="FFFFFF"/>
            <w:vAlign w:val="center"/>
          </w:tcPr>
          <w:p w14:paraId="3B890F5C">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3.48 ± 0.87</w:t>
            </w:r>
          </w:p>
        </w:tc>
        <w:tc>
          <w:tcPr>
            <w:tcW w:w="1624" w:type="dxa"/>
            <w:tcBorders>
              <w:top w:val="nil"/>
              <w:left w:val="nil"/>
              <w:bottom w:val="nil"/>
              <w:right w:val="nil"/>
            </w:tcBorders>
            <w:shd w:val="clear" w:color="auto" w:fill="FFFFFF"/>
            <w:vAlign w:val="center"/>
          </w:tcPr>
          <w:p w14:paraId="141F2194">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3.56 ± 1.11</w:t>
            </w:r>
          </w:p>
        </w:tc>
        <w:tc>
          <w:tcPr>
            <w:tcW w:w="1624" w:type="dxa"/>
            <w:tcBorders>
              <w:top w:val="nil"/>
              <w:left w:val="nil"/>
              <w:bottom w:val="nil"/>
              <w:right w:val="nil"/>
            </w:tcBorders>
            <w:shd w:val="clear" w:color="auto" w:fill="FFFFFF"/>
            <w:vAlign w:val="center"/>
          </w:tcPr>
          <w:p w14:paraId="0957E67D">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3.58 ± 1.11</w:t>
            </w:r>
          </w:p>
        </w:tc>
      </w:tr>
      <w:tr w14:paraId="3C8F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tcBorders>
              <w:top w:val="nil"/>
              <w:left w:val="nil"/>
              <w:bottom w:val="nil"/>
              <w:right w:val="nil"/>
            </w:tcBorders>
            <w:shd w:val="clear" w:color="auto" w:fill="FFFFFF"/>
            <w:vAlign w:val="center"/>
          </w:tcPr>
          <w:p w14:paraId="73695186">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5</w:t>
            </w:r>
          </w:p>
        </w:tc>
        <w:tc>
          <w:tcPr>
            <w:tcW w:w="1618" w:type="dxa"/>
            <w:tcBorders>
              <w:top w:val="nil"/>
              <w:left w:val="nil"/>
              <w:bottom w:val="nil"/>
              <w:right w:val="nil"/>
            </w:tcBorders>
            <w:shd w:val="clear" w:color="auto" w:fill="FFFFFF"/>
            <w:vAlign w:val="center"/>
          </w:tcPr>
          <w:p w14:paraId="2A69791E">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83</w:t>
            </w:r>
          </w:p>
        </w:tc>
        <w:tc>
          <w:tcPr>
            <w:tcW w:w="1623" w:type="dxa"/>
            <w:tcBorders>
              <w:top w:val="nil"/>
              <w:left w:val="nil"/>
              <w:bottom w:val="nil"/>
              <w:right w:val="nil"/>
            </w:tcBorders>
            <w:shd w:val="clear" w:color="auto" w:fill="FFFFFF"/>
            <w:vAlign w:val="center"/>
          </w:tcPr>
          <w:p w14:paraId="2B583C0E">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2.80 ± 0.80</w:t>
            </w:r>
          </w:p>
        </w:tc>
        <w:tc>
          <w:tcPr>
            <w:tcW w:w="1623" w:type="dxa"/>
            <w:tcBorders>
              <w:top w:val="nil"/>
              <w:left w:val="nil"/>
              <w:bottom w:val="nil"/>
              <w:right w:val="nil"/>
            </w:tcBorders>
            <w:shd w:val="clear" w:color="auto" w:fill="FFFFFF"/>
            <w:vAlign w:val="center"/>
          </w:tcPr>
          <w:p w14:paraId="7304BBDA">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3.54 ± 0.82</w:t>
            </w:r>
          </w:p>
        </w:tc>
        <w:tc>
          <w:tcPr>
            <w:tcW w:w="1624" w:type="dxa"/>
            <w:tcBorders>
              <w:top w:val="nil"/>
              <w:left w:val="nil"/>
              <w:bottom w:val="nil"/>
              <w:right w:val="nil"/>
            </w:tcBorders>
            <w:shd w:val="clear" w:color="auto" w:fill="FFFFFF"/>
            <w:vAlign w:val="center"/>
          </w:tcPr>
          <w:p w14:paraId="17A78113">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3.44 ± 0.92</w:t>
            </w:r>
          </w:p>
        </w:tc>
        <w:tc>
          <w:tcPr>
            <w:tcW w:w="1624" w:type="dxa"/>
            <w:tcBorders>
              <w:top w:val="nil"/>
              <w:left w:val="nil"/>
              <w:bottom w:val="nil"/>
              <w:right w:val="nil"/>
            </w:tcBorders>
            <w:shd w:val="clear" w:color="auto" w:fill="FFFFFF"/>
            <w:vAlign w:val="center"/>
          </w:tcPr>
          <w:p w14:paraId="100F7884">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3.47 ± 0.87</w:t>
            </w:r>
          </w:p>
        </w:tc>
      </w:tr>
      <w:tr w14:paraId="23AF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dxa"/>
            <w:tcBorders>
              <w:top w:val="nil"/>
              <w:left w:val="nil"/>
              <w:bottom w:val="single" w:color="auto" w:sz="12" w:space="0"/>
              <w:right w:val="nil"/>
            </w:tcBorders>
            <w:shd w:val="clear" w:color="auto" w:fill="FFFFFF"/>
            <w:vAlign w:val="center"/>
          </w:tcPr>
          <w:p w14:paraId="5AA974F2">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6</w:t>
            </w:r>
          </w:p>
        </w:tc>
        <w:tc>
          <w:tcPr>
            <w:tcW w:w="1618" w:type="dxa"/>
            <w:tcBorders>
              <w:top w:val="nil"/>
              <w:left w:val="nil"/>
              <w:bottom w:val="single" w:color="auto" w:sz="12" w:space="0"/>
              <w:right w:val="nil"/>
            </w:tcBorders>
            <w:shd w:val="clear" w:color="auto" w:fill="FFFFFF"/>
            <w:vAlign w:val="center"/>
          </w:tcPr>
          <w:p w14:paraId="31F85B74">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83</w:t>
            </w:r>
          </w:p>
        </w:tc>
        <w:tc>
          <w:tcPr>
            <w:tcW w:w="1623" w:type="dxa"/>
            <w:tcBorders>
              <w:top w:val="nil"/>
              <w:left w:val="nil"/>
              <w:bottom w:val="single" w:color="auto" w:sz="12" w:space="0"/>
              <w:right w:val="nil"/>
            </w:tcBorders>
            <w:shd w:val="clear" w:color="auto" w:fill="FFFFFF"/>
            <w:vAlign w:val="center"/>
          </w:tcPr>
          <w:p w14:paraId="1FD94E6E">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2.97 ± 0.58</w:t>
            </w:r>
          </w:p>
        </w:tc>
        <w:tc>
          <w:tcPr>
            <w:tcW w:w="1623" w:type="dxa"/>
            <w:tcBorders>
              <w:top w:val="nil"/>
              <w:left w:val="nil"/>
              <w:bottom w:val="single" w:color="auto" w:sz="12" w:space="0"/>
              <w:right w:val="nil"/>
            </w:tcBorders>
            <w:shd w:val="clear" w:color="auto" w:fill="FFFFFF"/>
            <w:vAlign w:val="center"/>
          </w:tcPr>
          <w:p w14:paraId="6EA28AE7">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3.28 ± 0.63</w:t>
            </w:r>
          </w:p>
        </w:tc>
        <w:tc>
          <w:tcPr>
            <w:tcW w:w="1624" w:type="dxa"/>
            <w:tcBorders>
              <w:top w:val="nil"/>
              <w:left w:val="nil"/>
              <w:bottom w:val="single" w:color="auto" w:sz="12" w:space="0"/>
              <w:right w:val="nil"/>
            </w:tcBorders>
            <w:shd w:val="clear" w:color="auto" w:fill="FFFFFF"/>
            <w:vAlign w:val="center"/>
          </w:tcPr>
          <w:p w14:paraId="6CB7C1EB">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3.20 ± 0.81</w:t>
            </w:r>
          </w:p>
        </w:tc>
        <w:tc>
          <w:tcPr>
            <w:tcW w:w="1624" w:type="dxa"/>
            <w:tcBorders>
              <w:top w:val="nil"/>
              <w:left w:val="nil"/>
              <w:bottom w:val="single" w:color="auto" w:sz="12" w:space="0"/>
              <w:right w:val="nil"/>
            </w:tcBorders>
            <w:shd w:val="clear" w:color="auto" w:fill="FFFFFF"/>
            <w:vAlign w:val="center"/>
          </w:tcPr>
          <w:p w14:paraId="609733E7">
            <w:pPr>
              <w:widowControl/>
              <w:jc w:val="center"/>
              <w:rPr>
                <w:rFonts w:ascii="Times New Roman Regular" w:hAnsi="Times New Roman Regular" w:eastAsia="宋体" w:cs="Times New Roman Regular"/>
                <w:color w:val="000000"/>
                <w:sz w:val="18"/>
                <w:szCs w:val="18"/>
              </w:rPr>
            </w:pPr>
            <w:r>
              <w:rPr>
                <w:rFonts w:ascii="Times New Roman Regular" w:hAnsi="Times New Roman Regular" w:eastAsia="宋体" w:cs="Times New Roman Regular"/>
                <w:color w:val="000000"/>
                <w:kern w:val="0"/>
                <w:sz w:val="18"/>
                <w:szCs w:val="18"/>
                <w:lang w:bidi="ar"/>
              </w:rPr>
              <w:t>3.12 ± 0.75</w:t>
            </w:r>
          </w:p>
        </w:tc>
      </w:tr>
      <w:tr w14:paraId="72F2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6" w:type="dxa"/>
            <w:gridSpan w:val="6"/>
            <w:tcBorders>
              <w:top w:val="single" w:color="auto" w:sz="12" w:space="0"/>
              <w:left w:val="nil"/>
              <w:bottom w:val="single" w:color="auto" w:sz="12" w:space="0"/>
              <w:right w:val="nil"/>
            </w:tcBorders>
            <w:shd w:val="clear" w:color="auto" w:fill="FFFFFF"/>
            <w:vAlign w:val="center"/>
          </w:tcPr>
          <w:p w14:paraId="0EDA02D6">
            <w:pPr>
              <w:rPr>
                <w:rFonts w:ascii="Times New Roman Regular" w:hAnsi="Times New Roman Regular" w:eastAsia="宋体" w:cs="Times New Roman Regular"/>
                <w:color w:val="000000"/>
                <w:kern w:val="0"/>
                <w:sz w:val="18"/>
                <w:szCs w:val="18"/>
                <w:lang w:bidi="ar"/>
              </w:rPr>
            </w:pPr>
            <w:r>
              <w:rPr>
                <w:rFonts w:ascii="Times New Roman Regular" w:hAnsi="Times New Roman Regular" w:eastAsia="宋体" w:cs="Times New Roman Regular"/>
                <w:color w:val="000000"/>
                <w:kern w:val="0"/>
                <w:sz w:val="18"/>
                <w:szCs w:val="18"/>
                <w:lang w:bidi="ar"/>
              </w:rPr>
              <w:t>Note: One way ANOVA indicates significant between scenario differences for all constructs:</w:t>
            </w:r>
          </w:p>
          <w:p w14:paraId="5CAB8BF4">
            <w:pPr>
              <w:rPr>
                <w:rFonts w:ascii="Times New Roman Regular" w:hAnsi="Times New Roman Regular" w:eastAsia="宋体" w:cs="Times New Roman Regular"/>
                <w:color w:val="000000"/>
                <w:kern w:val="0"/>
                <w:sz w:val="18"/>
                <w:szCs w:val="18"/>
                <w:lang w:bidi="ar"/>
              </w:rPr>
            </w:pPr>
            <w:r>
              <w:rPr>
                <w:rFonts w:ascii="Times New Roman Regular" w:hAnsi="Times New Roman Regular" w:eastAsia="宋体" w:cs="Times New Roman Regular"/>
                <w:color w:val="000000"/>
                <w:kern w:val="0"/>
                <w:sz w:val="18"/>
                <w:szCs w:val="18"/>
                <w:lang w:bidi="ar"/>
              </w:rPr>
              <w:t>VD: F(5,319) = 10.87, p &lt; 0.001, η² = 0.146; CU: F(5,319) = 4.00, p = 0.002, η² = 0.059;</w:t>
            </w:r>
          </w:p>
          <w:p w14:paraId="3C250308">
            <w:pPr>
              <w:pStyle w:val="15"/>
              <w:spacing w:line="240" w:lineRule="auto"/>
              <w:rPr>
                <w:rFonts w:ascii="Times New Roman Regular" w:hAnsi="Times New Roman Regular" w:eastAsia="宋体" w:cs="Times New Roman Regular"/>
                <w:color w:val="000000"/>
                <w:kern w:val="0"/>
                <w:sz w:val="18"/>
                <w:szCs w:val="18"/>
                <w:lang w:bidi="ar"/>
              </w:rPr>
            </w:pPr>
            <w:r>
              <w:rPr>
                <w:rFonts w:ascii="Times New Roman Regular" w:hAnsi="Times New Roman Regular" w:eastAsia="宋体" w:cs="Times New Roman Regular"/>
                <w:color w:val="000000"/>
                <w:kern w:val="0"/>
                <w:sz w:val="18"/>
                <w:szCs w:val="18"/>
                <w:lang w:bidi="ar"/>
              </w:rPr>
              <w:t>CP: F(5,319) = 6.32, p &lt; 0.001, η² = 0.090; IM: F(5,319) = 8.04, p &lt; 0.001, η² = 0.112.</w:t>
            </w:r>
          </w:p>
        </w:tc>
      </w:tr>
    </w:tbl>
    <w:p w14:paraId="78067BDB">
      <w:pPr>
        <w:jc w:val="cente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New Roman Bold">
    <w:panose1 w:val="02020803070505020304"/>
    <w:charset w:val="00"/>
    <w:family w:val="auto"/>
    <w:pitch w:val="default"/>
    <w:sig w:usb0="00000000" w:usb1="00000000" w:usb2="00000009" w:usb3="00000000" w:csb0="400001FF" w:csb1="FFFF0000"/>
  </w:font>
  <w:font w:name="Times New Roman Regular">
    <w:altName w:val="Times New Roman"/>
    <w:panose1 w:val="00000000000000000000"/>
    <w:charset w:val="00"/>
    <w:family w:val="auto"/>
    <w:pitch w:val="default"/>
    <w:sig w:usb0="00000000" w:usb1="00000000"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438"/>
    <w:rsid w:val="000002D5"/>
    <w:rsid w:val="0001581B"/>
    <w:rsid w:val="00032B7B"/>
    <w:rsid w:val="000416B5"/>
    <w:rsid w:val="000440E5"/>
    <w:rsid w:val="00060438"/>
    <w:rsid w:val="00063872"/>
    <w:rsid w:val="000B536F"/>
    <w:rsid w:val="000C217A"/>
    <w:rsid w:val="000E31BE"/>
    <w:rsid w:val="000F679C"/>
    <w:rsid w:val="00110FD3"/>
    <w:rsid w:val="00111980"/>
    <w:rsid w:val="001200BF"/>
    <w:rsid w:val="001328FE"/>
    <w:rsid w:val="00135B9B"/>
    <w:rsid w:val="00135EF2"/>
    <w:rsid w:val="00143485"/>
    <w:rsid w:val="00173A79"/>
    <w:rsid w:val="00184846"/>
    <w:rsid w:val="00194F4B"/>
    <w:rsid w:val="001C3B45"/>
    <w:rsid w:val="001E1661"/>
    <w:rsid w:val="001E3881"/>
    <w:rsid w:val="001F0A6E"/>
    <w:rsid w:val="001F1FD5"/>
    <w:rsid w:val="00206BBD"/>
    <w:rsid w:val="00217F9F"/>
    <w:rsid w:val="00243FFF"/>
    <w:rsid w:val="002711DA"/>
    <w:rsid w:val="002749C7"/>
    <w:rsid w:val="002B1D77"/>
    <w:rsid w:val="002B2629"/>
    <w:rsid w:val="002C5C32"/>
    <w:rsid w:val="002E1C03"/>
    <w:rsid w:val="00307791"/>
    <w:rsid w:val="00312FA1"/>
    <w:rsid w:val="0032108F"/>
    <w:rsid w:val="0033532F"/>
    <w:rsid w:val="003469C3"/>
    <w:rsid w:val="00350023"/>
    <w:rsid w:val="00363567"/>
    <w:rsid w:val="00363887"/>
    <w:rsid w:val="003B0476"/>
    <w:rsid w:val="003C2233"/>
    <w:rsid w:val="003D1CAF"/>
    <w:rsid w:val="003E1DF7"/>
    <w:rsid w:val="003E311F"/>
    <w:rsid w:val="003F46A7"/>
    <w:rsid w:val="0043001E"/>
    <w:rsid w:val="00447938"/>
    <w:rsid w:val="00451E6D"/>
    <w:rsid w:val="00457B90"/>
    <w:rsid w:val="00465C7E"/>
    <w:rsid w:val="004A0D89"/>
    <w:rsid w:val="004A43B2"/>
    <w:rsid w:val="004B2177"/>
    <w:rsid w:val="004B2D73"/>
    <w:rsid w:val="004C212D"/>
    <w:rsid w:val="004C3B68"/>
    <w:rsid w:val="004D52BC"/>
    <w:rsid w:val="0052161B"/>
    <w:rsid w:val="005611A0"/>
    <w:rsid w:val="00566605"/>
    <w:rsid w:val="005966DD"/>
    <w:rsid w:val="005A327B"/>
    <w:rsid w:val="005B3C6C"/>
    <w:rsid w:val="005C4B5C"/>
    <w:rsid w:val="005D61DF"/>
    <w:rsid w:val="005F320B"/>
    <w:rsid w:val="005F3276"/>
    <w:rsid w:val="005F56F0"/>
    <w:rsid w:val="00602822"/>
    <w:rsid w:val="00614AFA"/>
    <w:rsid w:val="00620E71"/>
    <w:rsid w:val="00644092"/>
    <w:rsid w:val="00671376"/>
    <w:rsid w:val="006865DD"/>
    <w:rsid w:val="006B3917"/>
    <w:rsid w:val="006C3A79"/>
    <w:rsid w:val="006C5DD5"/>
    <w:rsid w:val="00734787"/>
    <w:rsid w:val="00735E5B"/>
    <w:rsid w:val="00755291"/>
    <w:rsid w:val="00774765"/>
    <w:rsid w:val="007C0E27"/>
    <w:rsid w:val="007C6653"/>
    <w:rsid w:val="007C6C58"/>
    <w:rsid w:val="007D7AC8"/>
    <w:rsid w:val="00802014"/>
    <w:rsid w:val="0085676B"/>
    <w:rsid w:val="00856FFA"/>
    <w:rsid w:val="00860A71"/>
    <w:rsid w:val="0087215F"/>
    <w:rsid w:val="0088112F"/>
    <w:rsid w:val="00886940"/>
    <w:rsid w:val="008A6A4F"/>
    <w:rsid w:val="008C221B"/>
    <w:rsid w:val="00900347"/>
    <w:rsid w:val="00904A57"/>
    <w:rsid w:val="009211DB"/>
    <w:rsid w:val="009346CF"/>
    <w:rsid w:val="00963059"/>
    <w:rsid w:val="009D2FAE"/>
    <w:rsid w:val="009F3C10"/>
    <w:rsid w:val="00A40D70"/>
    <w:rsid w:val="00A94864"/>
    <w:rsid w:val="00AC122F"/>
    <w:rsid w:val="00AD119B"/>
    <w:rsid w:val="00B10BDE"/>
    <w:rsid w:val="00B56A38"/>
    <w:rsid w:val="00B625AC"/>
    <w:rsid w:val="00B70140"/>
    <w:rsid w:val="00B706A0"/>
    <w:rsid w:val="00BA047B"/>
    <w:rsid w:val="00BB45A2"/>
    <w:rsid w:val="00BC22FD"/>
    <w:rsid w:val="00BC6EDA"/>
    <w:rsid w:val="00BD7BC0"/>
    <w:rsid w:val="00C55134"/>
    <w:rsid w:val="00C568FF"/>
    <w:rsid w:val="00C61EC5"/>
    <w:rsid w:val="00CA100C"/>
    <w:rsid w:val="00CA560F"/>
    <w:rsid w:val="00CC7A83"/>
    <w:rsid w:val="00CC7AE4"/>
    <w:rsid w:val="00CD6993"/>
    <w:rsid w:val="00CE0241"/>
    <w:rsid w:val="00D0637B"/>
    <w:rsid w:val="00D35589"/>
    <w:rsid w:val="00D60ADF"/>
    <w:rsid w:val="00D6324D"/>
    <w:rsid w:val="00DA037C"/>
    <w:rsid w:val="00DD36F3"/>
    <w:rsid w:val="00DF4E45"/>
    <w:rsid w:val="00E07A78"/>
    <w:rsid w:val="00E17B99"/>
    <w:rsid w:val="00E30758"/>
    <w:rsid w:val="00E5328D"/>
    <w:rsid w:val="00E55037"/>
    <w:rsid w:val="00E606EE"/>
    <w:rsid w:val="00E641DE"/>
    <w:rsid w:val="00E707A6"/>
    <w:rsid w:val="00E87A73"/>
    <w:rsid w:val="00EB5699"/>
    <w:rsid w:val="00ED45F3"/>
    <w:rsid w:val="00ED4D3B"/>
    <w:rsid w:val="00F01DF6"/>
    <w:rsid w:val="00F072B8"/>
    <w:rsid w:val="00F07CB3"/>
    <w:rsid w:val="00F2250D"/>
    <w:rsid w:val="00F25C55"/>
    <w:rsid w:val="00F4498D"/>
    <w:rsid w:val="00F52FC5"/>
    <w:rsid w:val="00F74A90"/>
    <w:rsid w:val="00F75217"/>
    <w:rsid w:val="00F83AB9"/>
    <w:rsid w:val="00F8545A"/>
    <w:rsid w:val="00F85BF1"/>
    <w:rsid w:val="00F877CA"/>
    <w:rsid w:val="00F95552"/>
    <w:rsid w:val="00FC3260"/>
    <w:rsid w:val="00FF7DA3"/>
    <w:rsid w:val="0742566D"/>
    <w:rsid w:val="2BB73AA5"/>
    <w:rsid w:val="595E12AB"/>
    <w:rsid w:val="7BE45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3"/>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4"/>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5"/>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6"/>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7"/>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8"/>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2"/>
    <w:unhideWhenUsed/>
    <w:qFormat/>
    <w:uiPriority w:val="0"/>
    <w:pPr>
      <w:jc w:val="left"/>
    </w:pPr>
  </w:style>
  <w:style w:type="paragraph" w:styleId="12">
    <w:name w:val="footer"/>
    <w:basedOn w:val="1"/>
    <w:link w:val="41"/>
    <w:unhideWhenUsed/>
    <w:qFormat/>
    <w:uiPriority w:val="99"/>
    <w:pPr>
      <w:tabs>
        <w:tab w:val="center" w:pos="4153"/>
        <w:tab w:val="right" w:pos="8306"/>
      </w:tabs>
      <w:snapToGrid w:val="0"/>
      <w:jc w:val="left"/>
    </w:pPr>
    <w:rPr>
      <w:sz w:val="18"/>
      <w:szCs w:val="18"/>
    </w:rPr>
  </w:style>
  <w:style w:type="paragraph" w:styleId="13">
    <w:name w:val="header"/>
    <w:basedOn w:val="1"/>
    <w:link w:val="40"/>
    <w:unhideWhenUsed/>
    <w:qFormat/>
    <w:uiPriority w:val="99"/>
    <w:pPr>
      <w:tabs>
        <w:tab w:val="center" w:pos="4153"/>
        <w:tab w:val="right" w:pos="8306"/>
      </w:tabs>
      <w:snapToGrid w:val="0"/>
      <w:jc w:val="center"/>
    </w:pPr>
    <w:rPr>
      <w:sz w:val="18"/>
      <w:szCs w:val="18"/>
    </w:rPr>
  </w:style>
  <w:style w:type="paragraph" w:styleId="14">
    <w:name w:val="Subtitle"/>
    <w:basedOn w:val="1"/>
    <w:next w:val="1"/>
    <w:link w:val="32"/>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qFormat/>
    <w:uiPriority w:val="99"/>
    <w:pPr>
      <w:widowControl/>
      <w:kinsoku w:val="0"/>
      <w:overflowPunct w:val="0"/>
      <w:autoSpaceDE w:val="0"/>
      <w:autoSpaceDN w:val="0"/>
      <w:adjustRightInd w:val="0"/>
      <w:snapToGrid w:val="0"/>
      <w:spacing w:line="480" w:lineRule="auto"/>
      <w:jc w:val="left"/>
    </w:pPr>
    <w:rPr>
      <w:rFonts w:ascii="Times New Roman" w:hAnsi="Times New Roman" w:cs="Times New Roman"/>
      <w:sz w:val="24"/>
      <w:szCs w:val="24"/>
    </w:rPr>
  </w:style>
  <w:style w:type="paragraph" w:styleId="16">
    <w:name w:val="Title"/>
    <w:basedOn w:val="1"/>
    <w:next w:val="1"/>
    <w:link w:val="31"/>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8">
    <w:name w:val="Table Grid"/>
    <w:basedOn w:val="1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annotation reference"/>
    <w:basedOn w:val="19"/>
    <w:semiHidden/>
    <w:unhideWhenUsed/>
    <w:qFormat/>
    <w:uiPriority w:val="99"/>
    <w:rPr>
      <w:sz w:val="21"/>
      <w:szCs w:val="21"/>
    </w:rPr>
  </w:style>
  <w:style w:type="character" w:customStyle="1" w:styleId="22">
    <w:name w:val="标题 1 字符"/>
    <w:basedOn w:val="19"/>
    <w:link w:val="2"/>
    <w:qFormat/>
    <w:uiPriority w:val="9"/>
    <w:rPr>
      <w:rFonts w:asciiTheme="majorHAnsi" w:hAnsiTheme="majorHAnsi" w:eastAsiaTheme="majorEastAsia" w:cstheme="majorBidi"/>
      <w:color w:val="2F5597" w:themeColor="accent1" w:themeShade="BF"/>
      <w:sz w:val="48"/>
      <w:szCs w:val="48"/>
    </w:rPr>
  </w:style>
  <w:style w:type="character" w:customStyle="1" w:styleId="23">
    <w:name w:val="标题 2 字符"/>
    <w:basedOn w:val="19"/>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4">
    <w:name w:val="标题 3 字符"/>
    <w:basedOn w:val="19"/>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5">
    <w:name w:val="标题 4 字符"/>
    <w:basedOn w:val="19"/>
    <w:link w:val="5"/>
    <w:semiHidden/>
    <w:qFormat/>
    <w:uiPriority w:val="9"/>
    <w:rPr>
      <w:rFonts w:cstheme="majorBidi"/>
      <w:color w:val="2F5597" w:themeColor="accent1" w:themeShade="BF"/>
      <w:sz w:val="28"/>
      <w:szCs w:val="28"/>
    </w:rPr>
  </w:style>
  <w:style w:type="character" w:customStyle="1" w:styleId="26">
    <w:name w:val="标题 5 字符"/>
    <w:basedOn w:val="19"/>
    <w:link w:val="6"/>
    <w:semiHidden/>
    <w:qFormat/>
    <w:uiPriority w:val="9"/>
    <w:rPr>
      <w:rFonts w:cstheme="majorBidi"/>
      <w:color w:val="2F5597" w:themeColor="accent1" w:themeShade="BF"/>
      <w:sz w:val="24"/>
      <w:szCs w:val="24"/>
    </w:rPr>
  </w:style>
  <w:style w:type="character" w:customStyle="1" w:styleId="27">
    <w:name w:val="标题 6 字符"/>
    <w:basedOn w:val="19"/>
    <w:link w:val="7"/>
    <w:semiHidden/>
    <w:qFormat/>
    <w:uiPriority w:val="9"/>
    <w:rPr>
      <w:rFonts w:cstheme="majorBidi"/>
      <w:b/>
      <w:bCs/>
      <w:color w:val="2F5597" w:themeColor="accent1" w:themeShade="BF"/>
    </w:rPr>
  </w:style>
  <w:style w:type="character" w:customStyle="1" w:styleId="28">
    <w:name w:val="标题 7 字符"/>
    <w:basedOn w:val="19"/>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字符"/>
    <w:basedOn w:val="19"/>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字符"/>
    <w:basedOn w:val="19"/>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字符"/>
    <w:basedOn w:val="19"/>
    <w:link w:val="16"/>
    <w:qFormat/>
    <w:uiPriority w:val="10"/>
    <w:rPr>
      <w:rFonts w:asciiTheme="majorHAnsi" w:hAnsiTheme="majorHAnsi" w:eastAsiaTheme="majorEastAsia" w:cstheme="majorBidi"/>
      <w:spacing w:val="-10"/>
      <w:kern w:val="28"/>
      <w:sz w:val="56"/>
      <w:szCs w:val="56"/>
    </w:rPr>
  </w:style>
  <w:style w:type="character" w:customStyle="1" w:styleId="32">
    <w:name w:val="副标题 字符"/>
    <w:basedOn w:val="19"/>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字符"/>
    <w:basedOn w:val="19"/>
    <w:link w:val="33"/>
    <w:qFormat/>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明显强调1"/>
    <w:basedOn w:val="19"/>
    <w:qFormat/>
    <w:uiPriority w:val="21"/>
    <w:rPr>
      <w:i/>
      <w:iCs/>
      <w:color w:val="2F5597" w:themeColor="accent1" w:themeShade="BF"/>
    </w:rPr>
  </w:style>
  <w:style w:type="paragraph" w:styleId="37">
    <w:name w:val="Intense Quote"/>
    <w:basedOn w:val="1"/>
    <w:next w:val="1"/>
    <w:link w:val="38"/>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8">
    <w:name w:val="明显引用 字符"/>
    <w:basedOn w:val="19"/>
    <w:link w:val="37"/>
    <w:qFormat/>
    <w:uiPriority w:val="30"/>
    <w:rPr>
      <w:i/>
      <w:iCs/>
      <w:color w:val="2F5597" w:themeColor="accent1" w:themeShade="BF"/>
    </w:rPr>
  </w:style>
  <w:style w:type="character" w:customStyle="1" w:styleId="39">
    <w:name w:val="明显参考1"/>
    <w:basedOn w:val="19"/>
    <w:qFormat/>
    <w:uiPriority w:val="32"/>
    <w:rPr>
      <w:b/>
      <w:bCs/>
      <w:smallCaps/>
      <w:color w:val="2F5597" w:themeColor="accent1" w:themeShade="BF"/>
      <w:spacing w:val="5"/>
    </w:rPr>
  </w:style>
  <w:style w:type="character" w:customStyle="1" w:styleId="40">
    <w:name w:val="页眉 字符"/>
    <w:basedOn w:val="19"/>
    <w:link w:val="13"/>
    <w:qFormat/>
    <w:uiPriority w:val="99"/>
    <w:rPr>
      <w:sz w:val="18"/>
      <w:szCs w:val="18"/>
    </w:rPr>
  </w:style>
  <w:style w:type="character" w:customStyle="1" w:styleId="41">
    <w:name w:val="页脚 字符"/>
    <w:basedOn w:val="19"/>
    <w:link w:val="12"/>
    <w:qFormat/>
    <w:uiPriority w:val="99"/>
    <w:rPr>
      <w:sz w:val="18"/>
      <w:szCs w:val="18"/>
    </w:rPr>
  </w:style>
  <w:style w:type="character" w:customStyle="1" w:styleId="42">
    <w:name w:val="批注文字 字符"/>
    <w:basedOn w:val="19"/>
    <w:link w:val="11"/>
    <w:qFormat/>
    <w:uiPriority w:val="0"/>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2563</Words>
  <Characters>14310</Characters>
  <Lines>143</Lines>
  <Paragraphs>40</Paragraphs>
  <TotalTime>2</TotalTime>
  <ScaleCrop>false</ScaleCrop>
  <LinksUpToDate>false</LinksUpToDate>
  <CharactersWithSpaces>16264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2026-01-04T12:13:00Z</dcterms:created>
  <dc:creator>ZhW</dc:creator>
  <cp:lastModifiedBy>冷杉</cp:lastModifiedBy>
  <dcterms:modified xsi:type="dcterms:W3CDTF">2026-01-24T10:03:01Z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eyJoZGlkIjoiZDMzYjBhMTIxNzNhOGIyMWRhMTY2M2ExMjI4NWZjN2UiLCJ1c2VySWQiOiIyOTgxNzY1NTYifQ==</vt:lpwstr>
  </property>
  <property fmtid="{D5CDD505-2E9C-101B-9397-08002B2CF9AE}" pid="3" name="KSOProductBuildVer">
    <vt:lpwstr>2052-12.1.0.24657</vt:lpwstr>
  </property>
  <property fmtid="{D5CDD505-2E9C-101B-9397-08002B2CF9AE}" pid="4" name="ICV">
    <vt:lpwstr>22EC72553674472096DABB208D08AF58_12</vt:lpwstr>
  </property>
</Properties>
</file>