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AC604">
      <w:pPr>
        <w:spacing w:line="480" w:lineRule="auto"/>
        <w:jc w:val="left"/>
        <w:rPr>
          <w:rFonts w:ascii="Times New Roman Regular" w:hAnsi="Times New Roman Regular" w:cs="Times New Roman Regular"/>
          <w:sz w:val="24"/>
        </w:rPr>
      </w:pPr>
      <w:bookmarkStart w:id="0" w:name="_GoBack"/>
      <w:r>
        <w:rPr>
          <w:rFonts w:ascii="Times New Roman Regular" w:hAnsi="Times New Roman Regular" w:cs="Times New Roman Regular"/>
          <w:sz w:val="24"/>
        </w:rPr>
        <w:t>Supplementary analysis</w:t>
      </w:r>
    </w:p>
    <w:bookmarkEnd w:id="0"/>
    <w:p w14:paraId="62670432">
      <w:pPr>
        <w:spacing w:line="480" w:lineRule="auto"/>
        <w:jc w:val="left"/>
        <w:rPr>
          <w:rFonts w:ascii="Times New Roman Regular" w:hAnsi="Times New Roman Regular" w:cs="Times New Roman Regular"/>
          <w:sz w:val="24"/>
        </w:rPr>
      </w:pPr>
      <w:r>
        <w:rPr>
          <w:rFonts w:hint="eastAsia" w:ascii="Times New Roman Regular" w:hAnsi="Times New Roman Regular" w:cs="Times New Roman Regular"/>
          <w:sz w:val="24"/>
        </w:rPr>
        <w:t>CT a</w:t>
      </w:r>
      <w:r>
        <w:rPr>
          <w:rFonts w:ascii="Times New Roman Regular" w:hAnsi="Times New Roman Regular" w:cs="Times New Roman Regular"/>
          <w:sz w:val="24"/>
        </w:rPr>
        <w:t>ttenuation and CNR measurements for the superior vena cava (SVC) and right atrium (RA) are summarized in Supplementary Table 5. No statistically significant differences were detected among groups (P &gt; 0.05), confirming that the increased flow rate and contrast volume in the improved P3T protocol did not cause excessive enhancement or venous artifacts.</w:t>
      </w:r>
    </w:p>
    <w:p w14:paraId="66B3FC91">
      <w:pPr>
        <w:spacing w:line="480" w:lineRule="auto"/>
        <w:jc w:val="left"/>
        <w:rPr>
          <w:rFonts w:ascii="Times New Roman Regular" w:hAnsi="Times New Roman Regular" w:cs="Times New Roman Regular"/>
          <w:sz w:val="24"/>
        </w:rPr>
      </w:pPr>
    </w:p>
    <w:p w14:paraId="55B5A39F">
      <w:pPr>
        <w:spacing w:line="480" w:lineRule="auto"/>
        <w:jc w:val="center"/>
        <w:rPr>
          <w:rFonts w:ascii="Times New Roman Regular" w:hAnsi="Times New Roman Regular" w:cs="Times New Roman Regular"/>
          <w:sz w:val="24"/>
        </w:rPr>
      </w:pPr>
      <w:r>
        <w:rPr>
          <w:rFonts w:ascii="Times New Roman Regular" w:hAnsi="Times New Roman Regular" w:cs="Times New Roman Regular"/>
          <w:sz w:val="24"/>
        </w:rPr>
        <w:t xml:space="preserve">Supplementary Table 5. </w:t>
      </w:r>
      <w:r>
        <w:rPr>
          <w:rFonts w:hint="eastAsia" w:ascii="Times New Roman Regular" w:hAnsi="Times New Roman Regular" w:cs="Times New Roman Regular"/>
          <w:sz w:val="24"/>
        </w:rPr>
        <w:t>CT a</w:t>
      </w:r>
      <w:r>
        <w:rPr>
          <w:rFonts w:ascii="Times New Roman Regular" w:hAnsi="Times New Roman Regular" w:cs="Times New Roman Regular"/>
          <w:sz w:val="24"/>
        </w:rPr>
        <w:t>ttenuation and CNR values of the SVC and RA across the three groups.</w:t>
      </w:r>
    </w:p>
    <w:tbl>
      <w:tblPr>
        <w:tblStyle w:val="3"/>
        <w:tblW w:w="8232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776"/>
        <w:gridCol w:w="1753"/>
        <w:gridCol w:w="1809"/>
        <w:gridCol w:w="1794"/>
        <w:gridCol w:w="956"/>
      </w:tblGrid>
      <w:tr w14:paraId="0F2FBEC9">
        <w:trPr>
          <w:trHeight w:val="575" w:hRule="atLeast"/>
        </w:trPr>
        <w:tc>
          <w:tcPr>
            <w:tcW w:w="1920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452F78F">
            <w:pPr>
              <w:widowControl/>
              <w:spacing w:line="480" w:lineRule="auto"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Anatomical structure</w:t>
            </w:r>
          </w:p>
        </w:tc>
        <w:tc>
          <w:tcPr>
            <w:tcW w:w="3562" w:type="dxa"/>
            <w:gridSpan w:val="2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F8E5">
            <w:pPr>
              <w:widowControl/>
              <w:spacing w:line="48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2"/>
                <w:szCs w:val="22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2"/>
                <w:szCs w:val="22"/>
                <w:lang w:bidi="ar"/>
              </w:rPr>
              <w:t>Primary Cohort</w:t>
            </w:r>
          </w:p>
        </w:tc>
        <w:tc>
          <w:tcPr>
            <w:tcW w:w="179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A2C6221">
            <w:pPr>
              <w:widowControl/>
              <w:spacing w:line="480" w:lineRule="auto"/>
              <w:jc w:val="center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18"/>
                <w:szCs w:val="18"/>
                <w:lang w:bidi="ar"/>
              </w:rPr>
              <w:t>Validation Cohort</w:t>
            </w: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 xml:space="preserve"> (≥90 bpm)</w:t>
            </w:r>
          </w:p>
        </w:tc>
        <w:tc>
          <w:tcPr>
            <w:tcW w:w="9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3BD45E9">
            <w:pPr>
              <w:widowControl/>
              <w:spacing w:line="480" w:lineRule="auto"/>
              <w:jc w:val="center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P-value</w:t>
            </w:r>
          </w:p>
        </w:tc>
      </w:tr>
      <w:tr w14:paraId="10D032A2">
        <w:trPr>
          <w:trHeight w:val="336" w:hRule="atLeast"/>
        </w:trPr>
        <w:tc>
          <w:tcPr>
            <w:tcW w:w="192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5B6CEE8">
            <w:pPr>
              <w:spacing w:line="480" w:lineRule="auto"/>
              <w:jc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12C625D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Low HR (&lt;90 bpm)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EC65995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High HR (≥90 bpm)</w:t>
            </w:r>
          </w:p>
        </w:tc>
        <w:tc>
          <w:tcPr>
            <w:tcW w:w="179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A679420">
            <w:pPr>
              <w:spacing w:line="480" w:lineRule="auto"/>
              <w:jc w:val="center"/>
              <w:rPr>
                <w:rFonts w:ascii="Times New Roman Regular" w:hAnsi="Times New Roman Regular" w:eastAsia="宋体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2AA7826">
            <w:pPr>
              <w:spacing w:line="480" w:lineRule="auto"/>
              <w:jc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</w:p>
        </w:tc>
      </w:tr>
      <w:tr w14:paraId="54D6DDB7">
        <w:trPr>
          <w:trHeight w:val="835" w:hRule="atLeast"/>
        </w:trPr>
        <w:tc>
          <w:tcPr>
            <w:tcW w:w="11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328D3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CT value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1F46E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SVC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AE844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120.6 (107.6–135.0)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D5D69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118.4 (109.0–127.6)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53D6A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120.8 (113.9–128.2)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1F528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P&gt;0.05</w:t>
            </w:r>
          </w:p>
        </w:tc>
      </w:tr>
      <w:tr w14:paraId="04B180D1">
        <w:trPr>
          <w:trHeight w:val="820" w:hRule="atLeast"/>
        </w:trPr>
        <w:tc>
          <w:tcPr>
            <w:tcW w:w="11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49BAF">
            <w:pPr>
              <w:spacing w:line="480" w:lineRule="auto"/>
              <w:jc w:val="left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5920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RA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8DE38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118.6 (97.2–133.3)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1C9A9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110.7 (100.0–123.0)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21E86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116.4 (107.5–122.8)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9FB7C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P&gt;0.05</w:t>
            </w:r>
          </w:p>
        </w:tc>
      </w:tr>
      <w:tr w14:paraId="033F81C2">
        <w:trPr>
          <w:trHeight w:val="835" w:hRule="atLeast"/>
        </w:trPr>
        <w:tc>
          <w:tcPr>
            <w:tcW w:w="1144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8A79151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CNR value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E9D87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SVC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E1A5B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2.02 (1.54–2.72)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61EDA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2.02 (1.55–2.33)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A6C88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1.95 (1.62–2.39)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2875B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P&gt;0.05</w:t>
            </w:r>
          </w:p>
        </w:tc>
      </w:tr>
      <w:tr w14:paraId="69F32FDC">
        <w:trPr>
          <w:trHeight w:val="487" w:hRule="atLeast"/>
        </w:trPr>
        <w:tc>
          <w:tcPr>
            <w:tcW w:w="1144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6619ED5">
            <w:pPr>
              <w:spacing w:line="480" w:lineRule="auto"/>
              <w:jc w:val="left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A17236D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RA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4B6F978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2.11 (1.49–2.74)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A8D4783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2.12 (1.54–2.53)</w:t>
            </w:r>
          </w:p>
        </w:tc>
        <w:tc>
          <w:tcPr>
            <w:tcW w:w="179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8FD3B0A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1.96 (1.70–2.30)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5CECF4B">
            <w:pPr>
              <w:widowControl/>
              <w:spacing w:line="480" w:lineRule="auto"/>
              <w:jc w:val="left"/>
              <w:textAlignment w:val="center"/>
              <w:rPr>
                <w:rFonts w:ascii="Times New Roman Regular" w:hAnsi="Times New Roman Regular" w:eastAsia="Times New Roman Regular" w:cs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18"/>
                <w:szCs w:val="18"/>
                <w:lang w:bidi="ar"/>
              </w:rPr>
              <w:t>P&gt;0.05</w:t>
            </w:r>
          </w:p>
        </w:tc>
      </w:tr>
    </w:tbl>
    <w:p w14:paraId="317FECEE">
      <w:pPr>
        <w:widowControl/>
        <w:spacing w:line="480" w:lineRule="auto"/>
        <w:jc w:val="left"/>
        <w:rPr>
          <w:rFonts w:ascii="Times New Roman Regular" w:hAnsi="Times New Roman Regular" w:eastAsia="Arial Unicode MS" w:cs="Times New Roman Regular"/>
          <w:sz w:val="20"/>
          <w:szCs w:val="20"/>
        </w:rPr>
      </w:pPr>
      <w:r>
        <w:rPr>
          <w:rFonts w:ascii="Times New Roman Regular" w:hAnsi="Times New Roman Regular" w:eastAsia="Arial Unicode MS" w:cs="Times New Roman Regular"/>
          <w:sz w:val="20"/>
          <w:szCs w:val="20"/>
        </w:rPr>
        <w:t>Note: SVC = superior vena cava, RA = right atrium, CT value=Computed Tomography Value, CNR=contrast-to-noise ratio,SNR=Signal-to-Noise Ratio. P&lt;0.05 indicated statistically significant difference.</w:t>
      </w:r>
    </w:p>
    <w:p w14:paraId="20EC12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6F3257"/>
    <w:multiLevelType w:val="singleLevel"/>
    <w:tmpl w:val="F36F3257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A93FC2"/>
    <w:rsid w:val="FFA9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2026-01-20T14:14:00Z</dcterms:created>
  <dc:creator>smiling嫣然^_^</dc:creator>
  <cp:lastModifiedBy>smiling嫣然^_^</cp:lastModifiedBy>
  <dcterms:modified xsi:type="dcterms:W3CDTF">2026-01-20T14:19:11Z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28A4AD5FBEBC65893F1D6F69EDA2C589_41</vt:lpwstr>
  </property>
</Properties>
</file>