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361D79" w14:textId="77777777" w:rsidR="00E8187C" w:rsidRPr="00E8187C" w:rsidRDefault="00E8187C" w:rsidP="00E8187C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color w:val="000000" w:themeColor="text1"/>
          <w:szCs w:val="24"/>
        </w:rPr>
      </w:pPr>
      <w:proofErr w:type="spellStart"/>
      <w:proofErr w:type="gramStart"/>
      <w:r w:rsidRPr="00E8187C">
        <w:rPr>
          <w:rFonts w:cs="Arial"/>
          <w:color w:val="000000" w:themeColor="text1"/>
          <w:szCs w:val="24"/>
        </w:rPr>
        <w:t>eTable</w:t>
      </w:r>
      <w:proofErr w:type="spellEnd"/>
      <w:proofErr w:type="gramEnd"/>
      <w:r w:rsidRPr="00E8187C">
        <w:rPr>
          <w:rFonts w:cs="Arial"/>
          <w:color w:val="000000" w:themeColor="text1"/>
          <w:szCs w:val="24"/>
        </w:rPr>
        <w:t xml:space="preserve"> 1. The cumulative incidence rates of major adverse cardiovascular and cerebral events per the annual height decrease rate in subjects aged ≥60 years</w:t>
      </w:r>
    </w:p>
    <w:p w14:paraId="443E6D16" w14:textId="77777777" w:rsidR="00E8187C" w:rsidRPr="00E8187C" w:rsidRDefault="00E8187C" w:rsidP="00960BEF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color w:val="000000" w:themeColor="text1"/>
          <w:szCs w:val="24"/>
        </w:rPr>
      </w:pPr>
    </w:p>
    <w:p w14:paraId="30F3C4B2" w14:textId="77777777" w:rsidR="00E8187C" w:rsidRPr="00E8187C" w:rsidRDefault="00E8187C" w:rsidP="00E8187C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color w:val="000000" w:themeColor="text1"/>
          <w:szCs w:val="24"/>
        </w:rPr>
      </w:pPr>
      <w:proofErr w:type="spellStart"/>
      <w:proofErr w:type="gramStart"/>
      <w:r w:rsidRPr="00E8187C">
        <w:rPr>
          <w:rFonts w:cs="Arial"/>
          <w:color w:val="000000" w:themeColor="text1"/>
          <w:szCs w:val="24"/>
        </w:rPr>
        <w:t>eTable</w:t>
      </w:r>
      <w:proofErr w:type="spellEnd"/>
      <w:proofErr w:type="gramEnd"/>
      <w:r w:rsidRPr="00E8187C">
        <w:rPr>
          <w:rFonts w:cs="Arial"/>
          <w:color w:val="000000" w:themeColor="text1"/>
          <w:szCs w:val="24"/>
        </w:rPr>
        <w:t xml:space="preserve"> 2. The hazard ratios of major adverse cardiovascular and cerebral events per the annual height decrease rate in subjects aged ≥60 years</w:t>
      </w:r>
    </w:p>
    <w:p w14:paraId="53902910" w14:textId="77777777" w:rsidR="00E8187C" w:rsidRPr="00E8187C" w:rsidRDefault="00E8187C" w:rsidP="00960BEF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color w:val="000000" w:themeColor="text1"/>
          <w:szCs w:val="24"/>
        </w:rPr>
      </w:pPr>
    </w:p>
    <w:p w14:paraId="6DE88D16" w14:textId="77777777" w:rsidR="00E8187C" w:rsidRPr="00E8187C" w:rsidRDefault="00E8187C" w:rsidP="00E8187C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color w:val="000000" w:themeColor="text1"/>
          <w:szCs w:val="24"/>
        </w:rPr>
      </w:pPr>
      <w:proofErr w:type="spellStart"/>
      <w:proofErr w:type="gramStart"/>
      <w:r w:rsidRPr="00E8187C">
        <w:rPr>
          <w:rFonts w:cs="Arial"/>
          <w:color w:val="000000" w:themeColor="text1"/>
          <w:szCs w:val="24"/>
        </w:rPr>
        <w:t>eTable</w:t>
      </w:r>
      <w:proofErr w:type="spellEnd"/>
      <w:proofErr w:type="gramEnd"/>
      <w:r w:rsidRPr="00E8187C">
        <w:rPr>
          <w:rFonts w:cs="Arial"/>
          <w:color w:val="000000" w:themeColor="text1"/>
          <w:szCs w:val="24"/>
        </w:rPr>
        <w:t xml:space="preserve"> 3. The cumulative incidence rates of major adverse cardiovascular and cerebral events per the annual height decrease rate in female patients based on menopausal status</w:t>
      </w:r>
    </w:p>
    <w:p w14:paraId="4366BD86" w14:textId="77777777" w:rsidR="00E8187C" w:rsidRPr="00E8187C" w:rsidRDefault="00E8187C" w:rsidP="00960BEF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color w:val="000000" w:themeColor="text1"/>
          <w:szCs w:val="24"/>
        </w:rPr>
      </w:pPr>
    </w:p>
    <w:p w14:paraId="096C23D2" w14:textId="77777777" w:rsidR="00E8187C" w:rsidRPr="00E8187C" w:rsidRDefault="00E8187C" w:rsidP="00E8187C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color w:val="000000" w:themeColor="text1"/>
          <w:szCs w:val="24"/>
        </w:rPr>
      </w:pPr>
      <w:proofErr w:type="spellStart"/>
      <w:proofErr w:type="gramStart"/>
      <w:r w:rsidRPr="00E8187C">
        <w:rPr>
          <w:rFonts w:cs="Arial"/>
          <w:color w:val="000000" w:themeColor="text1"/>
          <w:szCs w:val="24"/>
        </w:rPr>
        <w:t>eTable</w:t>
      </w:r>
      <w:proofErr w:type="spellEnd"/>
      <w:proofErr w:type="gramEnd"/>
      <w:r w:rsidRPr="00E8187C">
        <w:rPr>
          <w:rFonts w:cs="Arial"/>
          <w:color w:val="000000" w:themeColor="text1"/>
          <w:szCs w:val="24"/>
        </w:rPr>
        <w:t xml:space="preserve"> 4. The hazard ratios of major adverse cardiovascular and cerebral events per the annual height decrease rate in female patients based on menopausal status</w:t>
      </w:r>
    </w:p>
    <w:p w14:paraId="3D2603D9" w14:textId="77777777" w:rsidR="00E8187C" w:rsidRPr="00E8187C" w:rsidRDefault="00E8187C" w:rsidP="00960BEF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color w:val="000000" w:themeColor="text1"/>
          <w:szCs w:val="24"/>
        </w:rPr>
      </w:pPr>
    </w:p>
    <w:p w14:paraId="30C2B2CA" w14:textId="3C4D7FDF" w:rsidR="00E8187C" w:rsidRDefault="00E8187C">
      <w:pPr>
        <w:widowControl/>
        <w:wordWrap/>
        <w:autoSpaceDE/>
        <w:autoSpaceDN/>
        <w:spacing w:line="259" w:lineRule="auto"/>
        <w:jc w:val="both"/>
        <w:rPr>
          <w:rFonts w:cs="Arial"/>
          <w:b/>
          <w:color w:val="000000" w:themeColor="text1"/>
          <w:szCs w:val="24"/>
        </w:rPr>
      </w:pPr>
      <w:r>
        <w:rPr>
          <w:rFonts w:cs="Arial"/>
          <w:b/>
          <w:color w:val="000000" w:themeColor="text1"/>
          <w:szCs w:val="24"/>
        </w:rPr>
        <w:br w:type="page"/>
      </w:r>
    </w:p>
    <w:p w14:paraId="66A0ED81" w14:textId="6B6962FD" w:rsidR="00960BEF" w:rsidRPr="00960BEF" w:rsidRDefault="006F1EE8" w:rsidP="00960BEF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b/>
          <w:color w:val="000000" w:themeColor="text1"/>
          <w:szCs w:val="24"/>
        </w:rPr>
      </w:pPr>
      <w:proofErr w:type="spellStart"/>
      <w:proofErr w:type="gramStart"/>
      <w:r>
        <w:rPr>
          <w:rFonts w:cs="Arial"/>
          <w:b/>
          <w:color w:val="000000" w:themeColor="text1"/>
          <w:szCs w:val="24"/>
        </w:rPr>
        <w:lastRenderedPageBreak/>
        <w:t>e</w:t>
      </w:r>
      <w:r w:rsidR="00E748A6" w:rsidRPr="006F1EE8">
        <w:rPr>
          <w:rFonts w:cs="Arial"/>
          <w:b/>
          <w:color w:val="000000" w:themeColor="text1"/>
          <w:szCs w:val="24"/>
        </w:rPr>
        <w:t>Table</w:t>
      </w:r>
      <w:proofErr w:type="spellEnd"/>
      <w:proofErr w:type="gramEnd"/>
      <w:r w:rsidR="00E748A6" w:rsidRPr="006F1EE8">
        <w:rPr>
          <w:rFonts w:cs="Arial"/>
          <w:b/>
          <w:color w:val="000000" w:themeColor="text1"/>
          <w:szCs w:val="24"/>
        </w:rPr>
        <w:t xml:space="preserve"> 1.</w:t>
      </w:r>
      <w:r w:rsidR="00E748A6" w:rsidRPr="006F1EE8">
        <w:rPr>
          <w:rFonts w:cs="Arial"/>
          <w:color w:val="000000" w:themeColor="text1"/>
          <w:szCs w:val="24"/>
        </w:rPr>
        <w:t xml:space="preserve"> </w:t>
      </w:r>
      <w:r w:rsidR="002F5CB6" w:rsidRPr="003D6BB5">
        <w:rPr>
          <w:rFonts w:cs="Arial"/>
          <w:b/>
          <w:color w:val="000000" w:themeColor="text1"/>
          <w:szCs w:val="24"/>
        </w:rPr>
        <w:t xml:space="preserve">The </w:t>
      </w:r>
      <w:r w:rsidR="002F5CB6" w:rsidRPr="002F5CB6">
        <w:rPr>
          <w:rFonts w:cs="Arial"/>
          <w:b/>
          <w:color w:val="000000" w:themeColor="text1"/>
          <w:szCs w:val="24"/>
        </w:rPr>
        <w:t>c</w:t>
      </w:r>
      <w:r w:rsidR="00E748A6" w:rsidRPr="003D6BB5">
        <w:rPr>
          <w:rFonts w:cs="Arial"/>
          <w:b/>
          <w:color w:val="000000" w:themeColor="text1"/>
          <w:szCs w:val="24"/>
        </w:rPr>
        <w:t xml:space="preserve">umulative incidence rates of major adverse cardiovascular and cerebral events </w:t>
      </w:r>
      <w:r w:rsidR="002F5CB6">
        <w:rPr>
          <w:rFonts w:cs="Arial"/>
          <w:b/>
          <w:color w:val="000000" w:themeColor="text1"/>
          <w:szCs w:val="24"/>
        </w:rPr>
        <w:t>per</w:t>
      </w:r>
      <w:r w:rsidR="00E748A6" w:rsidRPr="003D6BB5">
        <w:rPr>
          <w:rFonts w:cs="Arial"/>
          <w:b/>
          <w:color w:val="000000" w:themeColor="text1"/>
          <w:szCs w:val="24"/>
        </w:rPr>
        <w:t xml:space="preserve"> the annual height decrease </w:t>
      </w:r>
      <w:r w:rsidR="002F5CB6" w:rsidRPr="00F54AFC">
        <w:rPr>
          <w:rFonts w:cs="Arial"/>
          <w:b/>
          <w:color w:val="000000" w:themeColor="text1"/>
          <w:szCs w:val="24"/>
        </w:rPr>
        <w:t>rate</w:t>
      </w:r>
      <w:r w:rsidR="002F5CB6" w:rsidRPr="002F5CB6">
        <w:rPr>
          <w:rFonts w:cs="Arial"/>
          <w:b/>
          <w:color w:val="000000" w:themeColor="text1"/>
          <w:szCs w:val="24"/>
        </w:rPr>
        <w:t xml:space="preserve"> </w:t>
      </w:r>
      <w:r w:rsidR="00E748A6" w:rsidRPr="003D6BB5">
        <w:rPr>
          <w:rFonts w:cs="Arial"/>
          <w:b/>
          <w:color w:val="000000" w:themeColor="text1"/>
          <w:szCs w:val="24"/>
        </w:rPr>
        <w:t>in subjects age</w:t>
      </w:r>
      <w:r w:rsidR="002F5CB6">
        <w:rPr>
          <w:rFonts w:cs="Arial"/>
          <w:b/>
          <w:color w:val="000000" w:themeColor="text1"/>
          <w:szCs w:val="24"/>
        </w:rPr>
        <w:t>d</w:t>
      </w:r>
      <w:r w:rsidR="00E748A6" w:rsidRPr="003D6BB5">
        <w:rPr>
          <w:rFonts w:cs="Arial"/>
          <w:b/>
          <w:color w:val="000000" w:themeColor="text1"/>
          <w:szCs w:val="24"/>
        </w:rPr>
        <w:t xml:space="preserve"> </w:t>
      </w:r>
      <w:r w:rsidR="002F5CB6">
        <w:rPr>
          <w:rFonts w:cs="Arial"/>
          <w:b/>
          <w:color w:val="000000" w:themeColor="text1"/>
          <w:szCs w:val="24"/>
        </w:rPr>
        <w:t>≥</w:t>
      </w:r>
      <w:r w:rsidR="00E748A6" w:rsidRPr="003D6BB5">
        <w:rPr>
          <w:rFonts w:cs="Arial"/>
          <w:b/>
          <w:color w:val="000000" w:themeColor="text1"/>
          <w:szCs w:val="24"/>
        </w:rPr>
        <w:t>60</w:t>
      </w:r>
      <w:r w:rsidR="002F5CB6">
        <w:rPr>
          <w:rFonts w:cs="Arial"/>
          <w:b/>
          <w:color w:val="000000" w:themeColor="text1"/>
          <w:szCs w:val="24"/>
        </w:rPr>
        <w:t xml:space="preserve"> years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66"/>
        <w:gridCol w:w="1193"/>
        <w:gridCol w:w="569"/>
        <w:gridCol w:w="509"/>
        <w:gridCol w:w="584"/>
        <w:gridCol w:w="509"/>
        <w:gridCol w:w="584"/>
        <w:gridCol w:w="649"/>
        <w:gridCol w:w="569"/>
        <w:gridCol w:w="509"/>
        <w:gridCol w:w="584"/>
        <w:gridCol w:w="509"/>
        <w:gridCol w:w="584"/>
        <w:gridCol w:w="649"/>
        <w:gridCol w:w="669"/>
        <w:gridCol w:w="499"/>
        <w:gridCol w:w="669"/>
        <w:gridCol w:w="509"/>
        <w:gridCol w:w="584"/>
      </w:tblGrid>
      <w:tr w:rsidR="00960BEF" w:rsidRPr="00504C2D" w14:paraId="7D82F5A3" w14:textId="77777777" w:rsidTr="00513EFC">
        <w:trPr>
          <w:trHeight w:val="340"/>
        </w:trPr>
        <w:tc>
          <w:tcPr>
            <w:tcW w:w="6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6BA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굴림" w:cs="Arial"/>
                <w:kern w:val="0"/>
                <w:sz w:val="20"/>
                <w:szCs w:val="20"/>
              </w:rPr>
            </w:pPr>
            <w:bookmarkStart w:id="0" w:name="_Hlk74916816"/>
          </w:p>
        </w:tc>
        <w:tc>
          <w:tcPr>
            <w:tcW w:w="168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357F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13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3348B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3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9A38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Female</w:t>
            </w:r>
          </w:p>
        </w:tc>
      </w:tr>
      <w:tr w:rsidR="00960BEF" w:rsidRPr="00504C2D" w14:paraId="70C4AC1E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63A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8E33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333333"/>
                <w:kern w:val="0"/>
                <w:sz w:val="20"/>
                <w:szCs w:val="20"/>
              </w:rPr>
              <w:t>Annual rate of height decrease**</w:t>
            </w:r>
          </w:p>
        </w:tc>
        <w:tc>
          <w:tcPr>
            <w:tcW w:w="13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28D8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333333"/>
                <w:kern w:val="0"/>
                <w:sz w:val="20"/>
                <w:szCs w:val="20"/>
              </w:rPr>
              <w:t>Annual rate of height decrease**</w:t>
            </w:r>
          </w:p>
        </w:tc>
        <w:tc>
          <w:tcPr>
            <w:tcW w:w="13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B486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333333"/>
                <w:kern w:val="0"/>
                <w:sz w:val="20"/>
                <w:szCs w:val="20"/>
              </w:rPr>
              <w:t>Annual rate of height decrease**</w:t>
            </w:r>
          </w:p>
        </w:tc>
      </w:tr>
      <w:tr w:rsidR="00960BEF" w:rsidRPr="00504C2D" w14:paraId="69982200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F6E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BED7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Group1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09C4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Group2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9851A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Group3</w:t>
            </w:r>
          </w:p>
        </w:tc>
        <w:tc>
          <w:tcPr>
            <w:tcW w:w="4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0F87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Group1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8B8B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Group2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61E81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Group3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298D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Group1</w:t>
            </w:r>
          </w:p>
        </w:tc>
        <w:tc>
          <w:tcPr>
            <w:tcW w:w="4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F71E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Group2</w:t>
            </w:r>
          </w:p>
        </w:tc>
        <w:tc>
          <w:tcPr>
            <w:tcW w:w="415" w:type="pct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1DBC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Group3</w:t>
            </w:r>
          </w:p>
        </w:tc>
        <w:bookmarkStart w:id="1" w:name="_GoBack"/>
        <w:bookmarkEnd w:id="1"/>
      </w:tr>
      <w:tr w:rsidR="00960BEF" w:rsidRPr="00504C2D" w14:paraId="39687CB0" w14:textId="77777777" w:rsidTr="00513EFC">
        <w:trPr>
          <w:trHeight w:val="340"/>
        </w:trPr>
        <w:tc>
          <w:tcPr>
            <w:tcW w:w="6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3E4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A1EC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(N=42,139)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C7A7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(N=8,368)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23C2F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(N=3,711)</w:t>
            </w:r>
          </w:p>
        </w:tc>
        <w:tc>
          <w:tcPr>
            <w:tcW w:w="4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C128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(N=20,341)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F2B3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(N=3,365)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08DD7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(N=1,353)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47F2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(N=21,798)</w:t>
            </w:r>
          </w:p>
        </w:tc>
        <w:tc>
          <w:tcPr>
            <w:tcW w:w="4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E2CF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(N=5,003)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F017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(N=2,358)</w:t>
            </w:r>
          </w:p>
        </w:tc>
      </w:tr>
      <w:tr w:rsidR="00960BEF" w:rsidRPr="00504C2D" w14:paraId="484310E3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43DD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Accumulative incidence rate*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502A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468B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1DAF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B2A0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8FE2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03C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C821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7B14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8D37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5AB4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81AA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284E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179C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94B1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37B7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5501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E487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FBDD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</w:tr>
      <w:tr w:rsidR="00960BEF" w:rsidRPr="00504C2D" w14:paraId="13B475EF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B34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  <w:t>MACCE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6F7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4AE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408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84B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DB0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5F80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20B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722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782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C53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65A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50C0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803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16B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89E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7D8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FA3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E23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</w:tr>
      <w:tr w:rsidR="00960BEF" w:rsidRPr="00504C2D" w14:paraId="4DFB5C47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016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1st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B35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637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0D0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339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DE6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(2.0)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D22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114B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(2.2)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3FB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355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645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1A8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7A1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(2.2)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F9F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6F76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(2.4)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603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2AF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268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553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D48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FA7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(2.2)</w:t>
            </w:r>
          </w:p>
        </w:tc>
      </w:tr>
      <w:tr w:rsidR="00960BEF" w:rsidRPr="00504C2D" w14:paraId="636990D6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00B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2nd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15B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1,295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FD6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DA3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579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B72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5A8A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(4.0)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621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706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BCE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051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55E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(4.0)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66F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BDD7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(4.3)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AA0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891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(2.7)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FF5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358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20C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8C7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(3.8)</w:t>
            </w:r>
          </w:p>
        </w:tc>
      </w:tr>
      <w:tr w:rsidR="00960BEF" w:rsidRPr="00504C2D" w14:paraId="6EBFCB7F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594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3rd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E19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1,923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229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(4.6)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DDC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457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0C7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08E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A26F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(6.6)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892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1,033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6D1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30B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D88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B84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9E0E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(7.2)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830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890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F16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(4.1)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5BD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AD1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03B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946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(6.2)</w:t>
            </w:r>
          </w:p>
        </w:tc>
      </w:tr>
      <w:tr w:rsidR="00960BEF" w:rsidRPr="00504C2D" w14:paraId="3361992A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C64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4th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E82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2,646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609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(6.3)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1F5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620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96D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(7.4)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731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85A6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(8.9)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FC0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1,439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5D2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(7.1)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B61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ACB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(7.7)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5EF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C273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(9.8)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526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1,207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02F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C99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B75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(7.2)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A79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48A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(8.3)</w:t>
            </w:r>
          </w:p>
        </w:tc>
      </w:tr>
      <w:tr w:rsidR="00960BEF" w:rsidRPr="00504C2D" w14:paraId="3D222C11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DB51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Cardiac death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8B6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68D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688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EE6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176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3A6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C67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2B9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D73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E60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3EB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C81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189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F4F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38F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531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A6D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C3E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</w:tr>
      <w:tr w:rsidR="00960BEF" w:rsidRPr="00504C2D" w14:paraId="0666170C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1560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1st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19D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478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253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54E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D1A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C1E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6BA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B53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E19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38E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9D5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B44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EA2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86D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(0.03)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568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34B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(0.04)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341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0CA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</w:tr>
      <w:tr w:rsidR="00960BEF" w:rsidRPr="00504C2D" w14:paraId="1B7178D5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D99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2nd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379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54C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5E5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C42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43B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1848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AF4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B27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AB1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458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4FE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3922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CD9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C5E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745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926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A23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DAA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</w:tr>
      <w:tr w:rsidR="00960BEF" w:rsidRPr="00504C2D" w14:paraId="35AF8EF3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402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3rd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C83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10A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1B6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FE5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DA6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1348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(0.6)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DEB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94E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747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513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D16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31FE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(0.7)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006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B97C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B31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491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8E7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362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</w:tr>
      <w:tr w:rsidR="00960BEF" w:rsidRPr="00504C2D" w14:paraId="316DDCE5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C1C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4th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4C9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85F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1C4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084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FA5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782B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(1.0)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9FA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257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(0.6)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9D7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0BB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(0.6)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71F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75F7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EB0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A8E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E68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AFC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F38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76F8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(0.9)</w:t>
            </w:r>
          </w:p>
        </w:tc>
      </w:tr>
      <w:tr w:rsidR="00960BEF" w:rsidRPr="00504C2D" w14:paraId="3D28126D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01A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Non-fatal MI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C87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360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783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CA3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D58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3A0A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86E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024E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FCC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D9E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4AC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3C38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4A0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261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27A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70C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76F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67B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</w:tr>
      <w:tr w:rsidR="00960BEF" w:rsidRPr="00504C2D" w14:paraId="4044D026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C0D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1st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628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7C8F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5ED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0CA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C16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5738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B2E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0B9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2D8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3D0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1D2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1DC8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F69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27B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667E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F8C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F20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08A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</w:tr>
      <w:tr w:rsidR="00960BEF" w:rsidRPr="00504C2D" w14:paraId="33D76CAA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27B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2nd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25C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AAD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1E7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B5E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AC9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0E1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6DC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BC0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A7B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FAA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D23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E03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A6B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CDE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35E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3CC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984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AA8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</w:tr>
      <w:tr w:rsidR="00960BEF" w:rsidRPr="00504C2D" w14:paraId="3F6DC1BD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8B4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3rd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F9C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435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(0.6)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65E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2E1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82F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3256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(0.8)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FD5C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5E4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B6F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EE2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58D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FD21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(1.1)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212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D7D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4AE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DDD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F52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7D8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(0.6)</w:t>
            </w:r>
          </w:p>
        </w:tc>
      </w:tr>
      <w:tr w:rsidR="00960BEF" w:rsidRPr="00504C2D" w14:paraId="16FF9F69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3D8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4th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99D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940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4A6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08F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(0.9)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CFE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9CBC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(1.0)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270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DE9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C5F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1AF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B90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898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(1.3)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D22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721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DE9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C82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773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B7D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(0.9)</w:t>
            </w:r>
          </w:p>
        </w:tc>
      </w:tr>
      <w:tr w:rsidR="00960BEF" w:rsidRPr="00504C2D" w14:paraId="62A5211B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380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Stroke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C62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76D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FF4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2E1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678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814C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71F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73C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AD3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231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1D1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7D3F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B2E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3CE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726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E47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47A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C7D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</w:tr>
      <w:tr w:rsidR="00960BEF" w:rsidRPr="00504C2D" w14:paraId="71E40C8D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EF0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lastRenderedPageBreak/>
              <w:t>1st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16A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529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4F3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EA3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3BD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8A5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0B8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(1.7)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8D9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7E8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C74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C3B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C2D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766C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(1.6)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D4C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CDF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0CA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F67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71D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492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(1.7)</w:t>
            </w:r>
          </w:p>
        </w:tc>
      </w:tr>
      <w:tr w:rsidR="00960BEF" w:rsidRPr="00504C2D" w14:paraId="7707182F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68E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2nd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F3C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1,063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0A4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(2.5)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691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5CC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59E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B707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(3.3)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C59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568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564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(2.8)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566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BC5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0B2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B8A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(3.4)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C47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495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568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(2.3)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6DD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252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(2.9)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FE9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AE2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(3.2)</w:t>
            </w:r>
          </w:p>
        </w:tc>
      </w:tr>
      <w:tr w:rsidR="00960BEF" w:rsidRPr="00504C2D" w14:paraId="20583775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BEB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3rd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F48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1,559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CF0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3B6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367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19B9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(4.4)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9F2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C869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(5.0)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673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822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1FB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(4.0)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B52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74C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(4.4)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E24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E57D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07C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737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2E9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(3.4)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59D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2D6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(4.4)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AD0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DC33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(5.0)</w:t>
            </w:r>
          </w:p>
        </w:tc>
      </w:tr>
      <w:tr w:rsidR="00960BEF" w:rsidRPr="00504C2D" w14:paraId="12A49ED3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48B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4th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4E3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2,091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0F1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866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FAF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706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612B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(6.6)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7EA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1,112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9E8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2ED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650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(5.9)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0B6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A141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(7.0)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119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979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C5D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(4.5)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6F1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EF2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(5.8)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4F0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12B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(6.3)</w:t>
            </w:r>
          </w:p>
        </w:tc>
      </w:tr>
      <w:tr w:rsidR="00960BEF" w:rsidRPr="00504C2D" w14:paraId="08FC0014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C70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Hospitalization for HF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A1E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CC0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F49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531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AA1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0F1F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B69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AB5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762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D96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499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110F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FD5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8E1F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241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576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B8D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348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18"/>
                <w:szCs w:val="18"/>
              </w:rPr>
            </w:pPr>
          </w:p>
        </w:tc>
      </w:tr>
      <w:tr w:rsidR="00960BEF" w:rsidRPr="00504C2D" w14:paraId="7A4E5D0B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BB6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1st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65B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255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80D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449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480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EEED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93D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723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B30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03A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0DA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A27D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461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91D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878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CC1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899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F81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</w:tr>
      <w:tr w:rsidR="00960BEF" w:rsidRPr="00504C2D" w14:paraId="17C961A9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6A0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2nd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724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B83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756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305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E14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794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3E6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FCA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DA5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8B4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1CA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3337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65A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703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B35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1E7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893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BFF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</w:tr>
      <w:tr w:rsidR="00960BEF" w:rsidRPr="00504C2D" w14:paraId="74F97C53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537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3rd year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78C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833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F12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6D8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EB1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CD90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(0.7)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799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A1D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DAD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627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(0.6)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11B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DEEF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(0.8)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CD1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21D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7AC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917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2B8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6A1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(0.6)</w:t>
            </w:r>
          </w:p>
        </w:tc>
      </w:tr>
      <w:tr w:rsidR="00960BEF" w:rsidRPr="00504C2D" w14:paraId="00F71EDD" w14:textId="77777777" w:rsidTr="00513EFC">
        <w:trPr>
          <w:trHeight w:val="340"/>
        </w:trPr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3794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4th year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0A62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4298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ABCD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B944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(0.7)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3E0D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4DCB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(1.0)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3243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0B7A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3716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2DC3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(0.7)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78C6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2955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(1.3)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8652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E542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(0.5)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E353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CD79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(0.7)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7E72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B32C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18"/>
                <w:szCs w:val="18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18"/>
                <w:szCs w:val="18"/>
              </w:rPr>
              <w:t>(0.9)</w:t>
            </w:r>
          </w:p>
        </w:tc>
      </w:tr>
    </w:tbl>
    <w:bookmarkEnd w:id="0"/>
    <w:p w14:paraId="2367A46E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>MACCE, major adverse cardiovascular and cerebral events; MI, myocardial infarction; HF, heart failure.</w:t>
      </w:r>
    </w:p>
    <w:p w14:paraId="5A1BE6E1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 xml:space="preserve">*After observing the degrees of height reduction for 10 years form 2002, we annually calculated accumulative incidence rate of MACE from Jan of 2012. </w:t>
      </w:r>
    </w:p>
    <w:p w14:paraId="7B751FB0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>*Group1=0 ≤ annual rate of height decrease</w:t>
      </w:r>
      <w:r w:rsidRPr="00113FEA">
        <w:rPr>
          <w:rFonts w:ascii="Arial" w:hAnsi="Arial" w:cs="Arial"/>
          <w:sz w:val="16"/>
          <w:szCs w:val="16"/>
        </w:rPr>
        <w:t>＜</w:t>
      </w:r>
      <w:r w:rsidRPr="00113FEA">
        <w:rPr>
          <w:rFonts w:ascii="Arial" w:hAnsi="Arial" w:cs="Arial"/>
          <w:sz w:val="16"/>
          <w:szCs w:val="16"/>
        </w:rPr>
        <w:t xml:space="preserve">0.3, Group2=0.3≤ annual rate of height decrease </w:t>
      </w:r>
      <w:r w:rsidRPr="00113FEA">
        <w:rPr>
          <w:rFonts w:ascii="Arial" w:hAnsi="Arial" w:cs="Arial"/>
          <w:sz w:val="16"/>
          <w:szCs w:val="16"/>
        </w:rPr>
        <w:t>＜</w:t>
      </w:r>
      <w:r w:rsidRPr="00113FEA">
        <w:rPr>
          <w:rFonts w:ascii="Arial" w:hAnsi="Arial" w:cs="Arial"/>
          <w:sz w:val="16"/>
          <w:szCs w:val="16"/>
        </w:rPr>
        <w:t>0.6, Group3=0.6≥ annual rate of height decrease, unit (cm)</w:t>
      </w:r>
    </w:p>
    <w:p w14:paraId="13B02E6B" w14:textId="77777777" w:rsidR="00960BEF" w:rsidRPr="003D6BB5" w:rsidRDefault="00960BEF" w:rsidP="003D6BB5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b/>
          <w:color w:val="000000" w:themeColor="text1"/>
          <w:szCs w:val="24"/>
        </w:rPr>
      </w:pPr>
    </w:p>
    <w:p w14:paraId="0558AE91" w14:textId="77777777" w:rsidR="00E748A6" w:rsidRPr="00B05122" w:rsidRDefault="00E748A6" w:rsidP="003D6BB5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b/>
          <w:color w:val="000000" w:themeColor="text1"/>
          <w:szCs w:val="24"/>
        </w:rPr>
      </w:pPr>
    </w:p>
    <w:p w14:paraId="2743BC77" w14:textId="77777777" w:rsidR="00960BEF" w:rsidRDefault="00960BEF">
      <w:pPr>
        <w:widowControl/>
        <w:wordWrap/>
        <w:autoSpaceDE/>
        <w:autoSpaceDN/>
        <w:spacing w:line="259" w:lineRule="auto"/>
        <w:jc w:val="both"/>
        <w:rPr>
          <w:rFonts w:cs="Arial"/>
          <w:b/>
          <w:color w:val="000000" w:themeColor="text1"/>
          <w:szCs w:val="24"/>
        </w:rPr>
      </w:pPr>
      <w:r>
        <w:rPr>
          <w:rFonts w:cs="Arial"/>
          <w:b/>
          <w:color w:val="000000" w:themeColor="text1"/>
          <w:szCs w:val="24"/>
        </w:rPr>
        <w:br w:type="page"/>
      </w:r>
    </w:p>
    <w:p w14:paraId="22D74791" w14:textId="1CA2A940" w:rsidR="00960BEF" w:rsidRPr="00960BEF" w:rsidRDefault="006F1EE8" w:rsidP="00960BEF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b/>
          <w:color w:val="000000" w:themeColor="text1"/>
          <w:szCs w:val="24"/>
        </w:rPr>
      </w:pPr>
      <w:proofErr w:type="spellStart"/>
      <w:proofErr w:type="gramStart"/>
      <w:r w:rsidRPr="00C162DD">
        <w:rPr>
          <w:rFonts w:cs="Arial"/>
          <w:b/>
          <w:color w:val="000000" w:themeColor="text1"/>
          <w:szCs w:val="24"/>
        </w:rPr>
        <w:lastRenderedPageBreak/>
        <w:t>e</w:t>
      </w:r>
      <w:r w:rsidR="00E748A6" w:rsidRPr="00C162DD">
        <w:rPr>
          <w:rFonts w:cs="Arial"/>
          <w:b/>
          <w:color w:val="000000" w:themeColor="text1"/>
          <w:szCs w:val="24"/>
        </w:rPr>
        <w:t>Table</w:t>
      </w:r>
      <w:proofErr w:type="spellEnd"/>
      <w:proofErr w:type="gramEnd"/>
      <w:r w:rsidR="00E748A6" w:rsidRPr="00C162DD">
        <w:rPr>
          <w:rFonts w:cs="Arial"/>
          <w:b/>
          <w:color w:val="000000" w:themeColor="text1"/>
          <w:szCs w:val="24"/>
        </w:rPr>
        <w:t xml:space="preserve"> 2.</w:t>
      </w:r>
      <w:r w:rsidR="00E748A6" w:rsidRPr="003D6BB5">
        <w:rPr>
          <w:rFonts w:cs="Arial"/>
          <w:b/>
          <w:color w:val="000000" w:themeColor="text1"/>
          <w:szCs w:val="24"/>
        </w:rPr>
        <w:t xml:space="preserve"> </w:t>
      </w:r>
      <w:r w:rsidR="002F5CB6">
        <w:rPr>
          <w:rFonts w:cs="Arial"/>
          <w:b/>
          <w:color w:val="000000" w:themeColor="text1"/>
          <w:szCs w:val="24"/>
        </w:rPr>
        <w:t>The h</w:t>
      </w:r>
      <w:r w:rsidR="00E748A6" w:rsidRPr="003D6BB5">
        <w:rPr>
          <w:rFonts w:cs="Arial"/>
          <w:b/>
          <w:color w:val="000000" w:themeColor="text1"/>
          <w:szCs w:val="24"/>
        </w:rPr>
        <w:t xml:space="preserve">azard ratios of major adverse cardiovascular and cerebral events </w:t>
      </w:r>
      <w:r w:rsidR="002F5CB6">
        <w:rPr>
          <w:rFonts w:cs="Arial"/>
          <w:b/>
          <w:color w:val="000000" w:themeColor="text1"/>
          <w:szCs w:val="24"/>
        </w:rPr>
        <w:t>per</w:t>
      </w:r>
      <w:r w:rsidR="00E748A6" w:rsidRPr="003D6BB5">
        <w:rPr>
          <w:rFonts w:cs="Arial"/>
          <w:b/>
          <w:color w:val="000000" w:themeColor="text1"/>
          <w:szCs w:val="24"/>
        </w:rPr>
        <w:t xml:space="preserve"> the annual height decrease </w:t>
      </w:r>
      <w:r w:rsidR="002F5CB6" w:rsidRPr="006672E5">
        <w:rPr>
          <w:rFonts w:cs="Arial"/>
          <w:b/>
          <w:color w:val="000000" w:themeColor="text1"/>
          <w:szCs w:val="24"/>
        </w:rPr>
        <w:t xml:space="preserve">rate </w:t>
      </w:r>
      <w:r w:rsidR="00E748A6" w:rsidRPr="003D6BB5">
        <w:rPr>
          <w:rFonts w:cs="Arial"/>
          <w:b/>
          <w:color w:val="000000" w:themeColor="text1"/>
          <w:szCs w:val="24"/>
        </w:rPr>
        <w:t xml:space="preserve">in subjects aged </w:t>
      </w:r>
      <w:r w:rsidR="002F5CB6">
        <w:rPr>
          <w:rFonts w:cs="Arial"/>
          <w:b/>
          <w:color w:val="000000" w:themeColor="text1"/>
          <w:szCs w:val="24"/>
        </w:rPr>
        <w:t>≥</w:t>
      </w:r>
      <w:r w:rsidR="00E748A6" w:rsidRPr="003D6BB5">
        <w:rPr>
          <w:rFonts w:cs="Arial"/>
          <w:b/>
          <w:color w:val="000000" w:themeColor="text1"/>
          <w:szCs w:val="24"/>
        </w:rPr>
        <w:t xml:space="preserve">60 </w:t>
      </w:r>
      <w:r w:rsidR="002F5CB6">
        <w:rPr>
          <w:rFonts w:cs="Arial"/>
          <w:b/>
          <w:color w:val="000000" w:themeColor="text1"/>
          <w:szCs w:val="24"/>
        </w:rPr>
        <w:t>years</w:t>
      </w:r>
    </w:p>
    <w:tbl>
      <w:tblPr>
        <w:tblW w:w="503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62"/>
        <w:gridCol w:w="2243"/>
        <w:gridCol w:w="1808"/>
        <w:gridCol w:w="2037"/>
        <w:gridCol w:w="130"/>
        <w:gridCol w:w="74"/>
        <w:gridCol w:w="2012"/>
        <w:gridCol w:w="711"/>
        <w:gridCol w:w="1097"/>
        <w:gridCol w:w="133"/>
        <w:gridCol w:w="72"/>
      </w:tblGrid>
      <w:tr w:rsidR="00960BEF" w:rsidRPr="00504C2D" w14:paraId="19C27D29" w14:textId="77777777" w:rsidTr="00513EFC">
        <w:trPr>
          <w:gridAfter w:val="1"/>
          <w:wAfter w:w="26" w:type="pct"/>
          <w:trHeight w:val="340"/>
        </w:trPr>
        <w:tc>
          <w:tcPr>
            <w:tcW w:w="12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495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굴림" w:cs="Arial"/>
                <w:kern w:val="0"/>
                <w:sz w:val="20"/>
                <w:szCs w:val="20"/>
              </w:rPr>
            </w:pPr>
          </w:p>
        </w:tc>
        <w:tc>
          <w:tcPr>
            <w:tcW w:w="3271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742E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333333"/>
                <w:kern w:val="0"/>
                <w:sz w:val="20"/>
                <w:szCs w:val="20"/>
              </w:rPr>
              <w:t>Annual rate of height decrease**</w:t>
            </w:r>
          </w:p>
        </w:tc>
        <w:tc>
          <w:tcPr>
            <w:tcW w:w="4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E8FE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60BEF" w:rsidRPr="00504C2D" w14:paraId="40D98248" w14:textId="77777777" w:rsidTr="00513EFC">
        <w:trPr>
          <w:gridAfter w:val="1"/>
          <w:wAfter w:w="26" w:type="pct"/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603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0F5E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1</w:t>
            </w:r>
          </w:p>
        </w:tc>
        <w:tc>
          <w:tcPr>
            <w:tcW w:w="144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66E6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2</w:t>
            </w:r>
          </w:p>
        </w:tc>
        <w:tc>
          <w:tcPr>
            <w:tcW w:w="146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6CE0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3</w:t>
            </w:r>
          </w:p>
        </w:tc>
      </w:tr>
      <w:tr w:rsidR="00960BEF" w:rsidRPr="00504C2D" w14:paraId="00C33ABF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7EB6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Cardiovascular disease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EDA2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(ref.)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4279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FBDD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9205B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1406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1695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7417D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6BB980F2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683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  <w:t>Crude model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A9A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A9A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6AE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6BD5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817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5C3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792D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</w:tr>
      <w:tr w:rsidR="00960BEF" w:rsidRPr="00504C2D" w14:paraId="227EB48B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B64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  <w:t>MACCE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BCA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E86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5E7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1.09, 1.30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D7A5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E1D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1.43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386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1.28, 1.67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F0F6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5965AB2F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EEF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Cardiac death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7BF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342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A75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0.78, 1.50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49EA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1B0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2.15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CC2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1.52, 3.04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3F4D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3E621BDC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0F4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Non-fatal MI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E60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40F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BDF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0.95, 1.57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F86D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266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1.36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A19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0.97, 1.90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D61E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6C67D591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963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Stroke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DCB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6A6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1.18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8AD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1.07, 1.30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263D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23B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1.33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558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1.17, 1.52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64C3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64C8318C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8FCD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Hospitalization for HF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94E0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32EA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1.43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244F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1.07, 1.91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3B9DD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2A46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2.03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A142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1.43, 2.87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B4FFD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0E32EC5B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C28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  <w:t>Adjusted model*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290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D58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74F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BB25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FEA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569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61C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</w:tr>
      <w:tr w:rsidR="00960BEF" w:rsidRPr="00504C2D" w14:paraId="4D47B2B8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297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  <w:t>MACCE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7BD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D1F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7E5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1.00, 1.20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BFE7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B33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1.26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D6E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1.12, 1.41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0AC1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3F998CDE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230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Cardiac death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53E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CF3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0.97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167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0.67, 1.30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20C7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989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1.71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48D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1.20, 2.43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C7F3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195A7754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EE5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Non-fatal MI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B40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7FB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1.20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12B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0.93, 1.54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70C1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5E2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1.30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465F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0.92, 1.82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9C15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7EFF8E69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93C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Stroke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1C7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FAC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1.09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FC8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0.99, 1.20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8CFC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18B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1.18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437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1.03, 1.35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58A1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710D087C" w14:textId="77777777" w:rsidTr="00513EFC">
        <w:trPr>
          <w:trHeight w:val="340"/>
        </w:trPr>
        <w:tc>
          <w:tcPr>
            <w:tcW w:w="12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74E4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Hospitalization for HF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3B91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F738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FDE4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0.91, 1.63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6F3AA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95ED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1.56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795C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1.09, 2.22</w:t>
            </w:r>
          </w:p>
        </w:tc>
        <w:tc>
          <w:tcPr>
            <w:tcW w:w="7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AAA87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</w:tbl>
    <w:p w14:paraId="1C0B6C8B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>MACCE, major adverse cardiovascular and cerebral events; MI, myocardial infarction; HF, heart failure.</w:t>
      </w:r>
    </w:p>
    <w:p w14:paraId="7D4FCEC2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 xml:space="preserve">*sex, age, income deciles, diabetes, dyslipidemia, osteoporosis, hypertension, smoke, drink, </w:t>
      </w:r>
      <w:proofErr w:type="spellStart"/>
      <w:r w:rsidRPr="00113FEA">
        <w:rPr>
          <w:rFonts w:ascii="Arial" w:hAnsi="Arial" w:cs="Arial"/>
          <w:sz w:val="16"/>
          <w:szCs w:val="16"/>
        </w:rPr>
        <w:t>bmi</w:t>
      </w:r>
      <w:proofErr w:type="spellEnd"/>
      <w:r w:rsidRPr="00113FEA">
        <w:rPr>
          <w:rFonts w:ascii="Arial" w:hAnsi="Arial" w:cs="Arial"/>
          <w:sz w:val="16"/>
          <w:szCs w:val="16"/>
        </w:rPr>
        <w:t xml:space="preserve"> were interpolated. </w:t>
      </w:r>
    </w:p>
    <w:p w14:paraId="79BBE681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 xml:space="preserve">*Group1=0 ≤ annual rate of height decrease </w:t>
      </w:r>
      <w:r w:rsidRPr="00113FEA">
        <w:rPr>
          <w:rFonts w:ascii="Arial" w:hAnsi="Arial" w:cs="Arial"/>
          <w:sz w:val="16"/>
          <w:szCs w:val="16"/>
        </w:rPr>
        <w:t>＜</w:t>
      </w:r>
      <w:r w:rsidRPr="00113FEA">
        <w:rPr>
          <w:rFonts w:ascii="Arial" w:hAnsi="Arial" w:cs="Arial"/>
          <w:sz w:val="16"/>
          <w:szCs w:val="16"/>
        </w:rPr>
        <w:t xml:space="preserve">0.3, Group2=0.3≤ annual rate of height decrease </w:t>
      </w:r>
      <w:r w:rsidRPr="00113FEA">
        <w:rPr>
          <w:rFonts w:ascii="Arial" w:hAnsi="Arial" w:cs="Arial"/>
          <w:sz w:val="16"/>
          <w:szCs w:val="16"/>
        </w:rPr>
        <w:t>＜</w:t>
      </w:r>
      <w:r w:rsidRPr="00113FEA">
        <w:rPr>
          <w:rFonts w:ascii="Arial" w:hAnsi="Arial" w:cs="Arial"/>
          <w:sz w:val="16"/>
          <w:szCs w:val="16"/>
        </w:rPr>
        <w:t>0.6, Group3=0.6≥ annual rate of height decrease, unit (cm) †Cox proportional hazard model.</w:t>
      </w:r>
    </w:p>
    <w:p w14:paraId="11FEE6D3" w14:textId="77777777" w:rsidR="00E748A6" w:rsidRPr="00960BEF" w:rsidRDefault="00E748A6" w:rsidP="003D6BB5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b/>
          <w:color w:val="000000" w:themeColor="text1"/>
          <w:szCs w:val="24"/>
        </w:rPr>
      </w:pPr>
    </w:p>
    <w:p w14:paraId="1B3E2954" w14:textId="77777777" w:rsidR="00960BEF" w:rsidRDefault="00960BEF">
      <w:pPr>
        <w:widowControl/>
        <w:wordWrap/>
        <w:autoSpaceDE/>
        <w:autoSpaceDN/>
        <w:spacing w:line="259" w:lineRule="auto"/>
        <w:jc w:val="both"/>
        <w:rPr>
          <w:rFonts w:cs="Arial"/>
          <w:b/>
          <w:color w:val="000000" w:themeColor="text1"/>
          <w:szCs w:val="24"/>
        </w:rPr>
      </w:pPr>
      <w:r>
        <w:rPr>
          <w:rFonts w:cs="Arial"/>
          <w:b/>
          <w:color w:val="000000" w:themeColor="text1"/>
          <w:szCs w:val="24"/>
        </w:rPr>
        <w:br w:type="page"/>
      </w:r>
    </w:p>
    <w:p w14:paraId="28C2F2C7" w14:textId="6CA1EE41" w:rsidR="00960BEF" w:rsidRPr="00960BEF" w:rsidRDefault="006F1EE8" w:rsidP="00960BEF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b/>
          <w:color w:val="000000" w:themeColor="text1"/>
          <w:szCs w:val="24"/>
        </w:rPr>
      </w:pPr>
      <w:proofErr w:type="spellStart"/>
      <w:proofErr w:type="gramStart"/>
      <w:r w:rsidRPr="00C162DD">
        <w:rPr>
          <w:rFonts w:cs="Arial"/>
          <w:b/>
          <w:color w:val="000000" w:themeColor="text1"/>
          <w:szCs w:val="24"/>
        </w:rPr>
        <w:lastRenderedPageBreak/>
        <w:t>e</w:t>
      </w:r>
      <w:r w:rsidR="00E748A6" w:rsidRPr="00C162DD">
        <w:rPr>
          <w:rFonts w:cs="Arial"/>
          <w:b/>
          <w:color w:val="000000" w:themeColor="text1"/>
          <w:szCs w:val="24"/>
        </w:rPr>
        <w:t>Table</w:t>
      </w:r>
      <w:proofErr w:type="spellEnd"/>
      <w:proofErr w:type="gramEnd"/>
      <w:r w:rsidR="00E748A6" w:rsidRPr="00C162DD">
        <w:rPr>
          <w:rFonts w:cs="Arial"/>
          <w:b/>
          <w:color w:val="000000" w:themeColor="text1"/>
          <w:szCs w:val="24"/>
        </w:rPr>
        <w:t xml:space="preserve"> 3.</w:t>
      </w:r>
      <w:r w:rsidR="00E748A6" w:rsidRPr="003D6BB5">
        <w:rPr>
          <w:rFonts w:cs="Arial"/>
          <w:b/>
          <w:color w:val="000000" w:themeColor="text1"/>
          <w:szCs w:val="24"/>
        </w:rPr>
        <w:t xml:space="preserve"> </w:t>
      </w:r>
      <w:r w:rsidR="002F5CB6">
        <w:rPr>
          <w:rFonts w:cs="Arial"/>
          <w:b/>
          <w:color w:val="000000" w:themeColor="text1"/>
          <w:szCs w:val="24"/>
        </w:rPr>
        <w:t>The c</w:t>
      </w:r>
      <w:r w:rsidR="00E748A6" w:rsidRPr="003D6BB5">
        <w:rPr>
          <w:rFonts w:cs="Arial"/>
          <w:b/>
          <w:color w:val="000000" w:themeColor="text1"/>
          <w:szCs w:val="24"/>
        </w:rPr>
        <w:t xml:space="preserve">umulative incidence rates of major adverse cardiovascular and cerebral events </w:t>
      </w:r>
      <w:r w:rsidR="002F5CB6">
        <w:rPr>
          <w:rFonts w:cs="Arial"/>
          <w:b/>
          <w:color w:val="000000" w:themeColor="text1"/>
          <w:szCs w:val="24"/>
        </w:rPr>
        <w:t>per</w:t>
      </w:r>
      <w:r w:rsidR="00E748A6" w:rsidRPr="003D6BB5">
        <w:rPr>
          <w:rFonts w:cs="Arial"/>
          <w:b/>
          <w:color w:val="000000" w:themeColor="text1"/>
          <w:szCs w:val="24"/>
        </w:rPr>
        <w:t xml:space="preserve"> the annual height decrease </w:t>
      </w:r>
      <w:r w:rsidR="002F5CB6" w:rsidRPr="00A93F9C">
        <w:rPr>
          <w:rFonts w:cs="Arial"/>
          <w:b/>
          <w:color w:val="000000" w:themeColor="text1"/>
          <w:szCs w:val="24"/>
        </w:rPr>
        <w:t>rate</w:t>
      </w:r>
      <w:r w:rsidR="002F5CB6" w:rsidRPr="002F5CB6">
        <w:rPr>
          <w:rFonts w:cs="Arial"/>
          <w:b/>
          <w:color w:val="000000" w:themeColor="text1"/>
          <w:szCs w:val="24"/>
        </w:rPr>
        <w:t xml:space="preserve"> </w:t>
      </w:r>
      <w:r w:rsidR="00E748A6" w:rsidRPr="003D6BB5">
        <w:rPr>
          <w:rFonts w:cs="Arial"/>
          <w:b/>
          <w:color w:val="000000" w:themeColor="text1"/>
          <w:szCs w:val="24"/>
        </w:rPr>
        <w:t xml:space="preserve">in female </w:t>
      </w:r>
      <w:r w:rsidR="008F1FCC">
        <w:rPr>
          <w:rFonts w:cs="Arial"/>
          <w:b/>
          <w:color w:val="000000" w:themeColor="text1"/>
          <w:szCs w:val="24"/>
        </w:rPr>
        <w:t>patients</w:t>
      </w:r>
      <w:r w:rsidR="008F1FCC" w:rsidRPr="003D6BB5">
        <w:rPr>
          <w:rFonts w:cs="Arial"/>
          <w:b/>
          <w:color w:val="000000" w:themeColor="text1"/>
          <w:szCs w:val="24"/>
        </w:rPr>
        <w:t xml:space="preserve"> </w:t>
      </w:r>
      <w:r w:rsidR="002F5CB6">
        <w:rPr>
          <w:rFonts w:cs="Arial"/>
          <w:b/>
          <w:color w:val="000000" w:themeColor="text1"/>
          <w:szCs w:val="24"/>
        </w:rPr>
        <w:t>based on</w:t>
      </w:r>
      <w:r w:rsidR="002F5CB6" w:rsidRPr="003D6BB5">
        <w:rPr>
          <w:rFonts w:cs="Arial"/>
          <w:b/>
          <w:color w:val="000000" w:themeColor="text1"/>
          <w:szCs w:val="24"/>
        </w:rPr>
        <w:t xml:space="preserve"> </w:t>
      </w:r>
      <w:r w:rsidR="00E748A6" w:rsidRPr="003D6BB5">
        <w:rPr>
          <w:rFonts w:cs="Arial"/>
          <w:b/>
          <w:color w:val="000000" w:themeColor="text1"/>
          <w:szCs w:val="24"/>
        </w:rPr>
        <w:t>menopausal status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75"/>
        <w:gridCol w:w="756"/>
        <w:gridCol w:w="1260"/>
        <w:gridCol w:w="438"/>
        <w:gridCol w:w="1260"/>
        <w:gridCol w:w="438"/>
        <w:gridCol w:w="1260"/>
        <w:gridCol w:w="1120"/>
        <w:gridCol w:w="907"/>
        <w:gridCol w:w="786"/>
        <w:gridCol w:w="907"/>
        <w:gridCol w:w="786"/>
        <w:gridCol w:w="904"/>
      </w:tblGrid>
      <w:tr w:rsidR="00960BEF" w:rsidRPr="00504C2D" w14:paraId="6AF766D1" w14:textId="77777777" w:rsidTr="00513EFC">
        <w:trPr>
          <w:trHeight w:val="340"/>
        </w:trPr>
        <w:tc>
          <w:tcPr>
            <w:tcW w:w="10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94D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7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38A3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97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A7F6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Yes</w:t>
            </w:r>
          </w:p>
        </w:tc>
      </w:tr>
      <w:tr w:rsidR="00960BEF" w:rsidRPr="00504C2D" w14:paraId="78E13A98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414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44590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333333"/>
                <w:kern w:val="0"/>
                <w:sz w:val="20"/>
                <w:szCs w:val="20"/>
              </w:rPr>
              <w:t>Annual rate of height decrease**</w:t>
            </w:r>
          </w:p>
        </w:tc>
        <w:tc>
          <w:tcPr>
            <w:tcW w:w="197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7D8B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333333"/>
                <w:kern w:val="0"/>
                <w:sz w:val="20"/>
                <w:szCs w:val="20"/>
              </w:rPr>
              <w:t>Annual rate of height decrease**</w:t>
            </w:r>
          </w:p>
        </w:tc>
      </w:tr>
      <w:tr w:rsidR="00960BEF" w:rsidRPr="00504C2D" w14:paraId="7F8ED851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C4D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8597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1</w:t>
            </w:r>
          </w:p>
        </w:tc>
        <w:tc>
          <w:tcPr>
            <w:tcW w:w="6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D3ED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2</w:t>
            </w:r>
          </w:p>
        </w:tc>
        <w:tc>
          <w:tcPr>
            <w:tcW w:w="6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EF92D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3</w:t>
            </w:r>
          </w:p>
        </w:tc>
        <w:tc>
          <w:tcPr>
            <w:tcW w:w="7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0534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1</w:t>
            </w:r>
          </w:p>
        </w:tc>
        <w:tc>
          <w:tcPr>
            <w:tcW w:w="61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7FEE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2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B70A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3</w:t>
            </w:r>
          </w:p>
        </w:tc>
      </w:tr>
      <w:tr w:rsidR="00960BEF" w:rsidRPr="00504C2D" w14:paraId="5B77E5CD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871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4A4A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(N=9,070)</w:t>
            </w:r>
          </w:p>
        </w:tc>
        <w:tc>
          <w:tcPr>
            <w:tcW w:w="6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E251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(N=1,939)</w:t>
            </w:r>
          </w:p>
        </w:tc>
        <w:tc>
          <w:tcPr>
            <w:tcW w:w="6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52A01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(N=1,098)</w:t>
            </w:r>
          </w:p>
        </w:tc>
        <w:tc>
          <w:tcPr>
            <w:tcW w:w="74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3F14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(N=45,431)</w:t>
            </w:r>
          </w:p>
        </w:tc>
        <w:tc>
          <w:tcPr>
            <w:tcW w:w="61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D600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(N=8,605)</w:t>
            </w:r>
          </w:p>
        </w:tc>
        <w:tc>
          <w:tcPr>
            <w:tcW w:w="6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ED6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(N=3,807)</w:t>
            </w:r>
          </w:p>
        </w:tc>
      </w:tr>
      <w:tr w:rsidR="00960BEF" w:rsidRPr="00504C2D" w14:paraId="3F6F5222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7C67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Accumulative incidence rate*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5604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C561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FB4A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3488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1802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DA18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B41D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8AD1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6289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0411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EAC9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0A38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(%)</w:t>
            </w:r>
          </w:p>
        </w:tc>
      </w:tr>
      <w:tr w:rsidR="00960BEF" w:rsidRPr="00504C2D" w14:paraId="404F624E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AA2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  <w:t>MACCE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B4A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CCB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AFB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E9D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0DC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BDB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3422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F95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14E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F39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78E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BF2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60BEF" w:rsidRPr="00504C2D" w14:paraId="4A356846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13D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1st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003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010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CC4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8BF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852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65EE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109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86E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(0.8)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BEA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071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(1.3)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42C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312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(1.4)</w:t>
            </w:r>
          </w:p>
        </w:tc>
      </w:tr>
      <w:tr w:rsidR="00960BEF" w:rsidRPr="00504C2D" w14:paraId="3D86E2A5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227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2nd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062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D46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188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2FC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211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43F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57A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780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004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(1.7)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96B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763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(2.5)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5C7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33B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(2.7)</w:t>
            </w:r>
          </w:p>
        </w:tc>
      </w:tr>
      <w:tr w:rsidR="00960BEF" w:rsidRPr="00504C2D" w14:paraId="211665A3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A98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3rd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0CAB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133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(0.6)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E4D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1CD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21C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C6F3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52F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1,173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B51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(2.6)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EC8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C13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(3.7)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7AC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F52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(4.3)</w:t>
            </w:r>
          </w:p>
        </w:tc>
      </w:tr>
      <w:tr w:rsidR="00960BEF" w:rsidRPr="00504C2D" w14:paraId="6CB2800C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F11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4th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AEC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2E1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(0.8)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C0E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A0B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(0.4)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E3D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AA9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499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1,577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DA3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(3.5)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283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E2C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(5.1)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D95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DD0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(5.9)</w:t>
            </w:r>
          </w:p>
        </w:tc>
      </w:tr>
      <w:tr w:rsidR="00960BEF" w:rsidRPr="00504C2D" w14:paraId="230FCCA5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42F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Cardiac death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129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E7C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8A5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613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F9A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4B18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0F1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9BA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302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84F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877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BF9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</w:tr>
      <w:tr w:rsidR="00960BEF" w:rsidRPr="00504C2D" w14:paraId="4EBBE039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8AE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1st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1CF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B6B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C6D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3F4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651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3B71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B1E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197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FFC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B12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73D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D1B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</w:tr>
      <w:tr w:rsidR="00960BEF" w:rsidRPr="00504C2D" w14:paraId="2ABC8A29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D1E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2nd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A98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DB5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366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D8A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3FF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E956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BD3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487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B0A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27B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C65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B5A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</w:tr>
      <w:tr w:rsidR="00960BEF" w:rsidRPr="00504C2D" w14:paraId="19292E5C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185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3rd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AC7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B8B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A8A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52C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574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EA36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610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8B9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7E4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A85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C1B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2E1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</w:tr>
      <w:tr w:rsidR="00960BEF" w:rsidRPr="00504C2D" w14:paraId="2C8D1365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43C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4th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362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62D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67B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B07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C9E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1C37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4FF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CFA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55D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217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E92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709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(0.6)</w:t>
            </w:r>
          </w:p>
        </w:tc>
      </w:tr>
      <w:tr w:rsidR="00960BEF" w:rsidRPr="00504C2D" w14:paraId="70A8D52B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C88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Non-fatal MI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D8A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B20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244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EBE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639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88E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A33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75B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A2F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8B6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F3C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728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</w:tr>
      <w:tr w:rsidR="00960BEF" w:rsidRPr="00504C2D" w14:paraId="40976DE3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BAB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1st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240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8A9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BA5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BD6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A5B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B09E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24E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BC6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EF3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F53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D9F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749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</w:tr>
      <w:tr w:rsidR="00960BEF" w:rsidRPr="00504C2D" w14:paraId="183DF8A9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727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2nd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E56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EC3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22F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686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B34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644D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20C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439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FAD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AA8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F5D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522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</w:tr>
      <w:tr w:rsidR="00960BEF" w:rsidRPr="00504C2D" w14:paraId="5F0EBBFA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2D1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3rd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44A1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043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948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F3B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5F9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299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B57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273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31F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A72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(0.4)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60C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A0E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(0.4)</w:t>
            </w:r>
          </w:p>
        </w:tc>
      </w:tr>
      <w:tr w:rsidR="00960BEF" w:rsidRPr="00504C2D" w14:paraId="31EAF5B1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46C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4th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1BC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992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452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32B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D49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0DE6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B8F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AC8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A35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D9C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CEC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E72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(0.5)</w:t>
            </w:r>
          </w:p>
        </w:tc>
      </w:tr>
      <w:tr w:rsidR="00960BEF" w:rsidRPr="00504C2D" w14:paraId="460C0C1F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682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Stroke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A79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47D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B45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2DC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0E48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534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C02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9D1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380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DD0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0F4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91D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</w:tr>
      <w:tr w:rsidR="00960BEF" w:rsidRPr="00504C2D" w14:paraId="56BD96B0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D66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lastRenderedPageBreak/>
              <w:t>1st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2E4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B72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165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A4A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6CF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5440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9E6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F29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(0.7)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4E4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590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(1.1)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595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967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(1.1)</w:t>
            </w:r>
          </w:p>
        </w:tc>
      </w:tr>
      <w:tr w:rsidR="00960BEF" w:rsidRPr="00504C2D" w14:paraId="4DCB95D0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C0C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2nd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0F7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660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E2D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5D7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990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DBD5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785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665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ABF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(1.5)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1C3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483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(2.1)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133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D9E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(2.3)</w:t>
            </w:r>
          </w:p>
        </w:tc>
      </w:tr>
      <w:tr w:rsidR="00960BEF" w:rsidRPr="00504C2D" w14:paraId="0B2F0AEB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F220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3rd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569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C11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(0.5)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47D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4E6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FDC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0EF5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EF5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991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C2E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(2.2)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E96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A5B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(3.1)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BFD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6AE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(3.6)</w:t>
            </w:r>
          </w:p>
        </w:tc>
      </w:tr>
      <w:tr w:rsidR="00960BEF" w:rsidRPr="00504C2D" w14:paraId="7B97CC36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9B8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4th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992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16AD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(0.6)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EB9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7F2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EF8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337D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D6E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1,300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350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(2.9)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203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DEC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(4.2)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81B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01E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(4.6)</w:t>
            </w:r>
          </w:p>
        </w:tc>
      </w:tr>
      <w:tr w:rsidR="00960BEF" w:rsidRPr="00504C2D" w14:paraId="7A1023C0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36E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Hospitalization for HF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ABA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3C4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270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994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DD9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17E1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EDA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18F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E57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C3A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BB7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FAF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</w:tr>
      <w:tr w:rsidR="00960BEF" w:rsidRPr="00504C2D" w14:paraId="56D8461C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770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1st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588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1F1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8C5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07C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2D4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2FE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5C7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4FD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1E4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AF6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E68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960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</w:tr>
      <w:tr w:rsidR="00960BEF" w:rsidRPr="00504C2D" w14:paraId="39E602FD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898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2nd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9BF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2F9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CFA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458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376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DC28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EFB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D87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06B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E71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D33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B75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</w:tr>
      <w:tr w:rsidR="00960BEF" w:rsidRPr="00504C2D" w14:paraId="5359D319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711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3rd year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364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211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BE1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0B1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349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D75E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962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265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(0.2)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BF3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1C4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3C4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E06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(0.4)</w:t>
            </w:r>
          </w:p>
        </w:tc>
      </w:tr>
      <w:tr w:rsidR="00960BEF" w:rsidRPr="00504C2D" w14:paraId="01BC102C" w14:textId="77777777" w:rsidTr="00513EFC">
        <w:trPr>
          <w:trHeight w:val="340"/>
        </w:trPr>
        <w:tc>
          <w:tcPr>
            <w:tcW w:w="10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4389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4th year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B5F1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B6FE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(0.0)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0275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2003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(0.1)</w:t>
            </w:r>
          </w:p>
        </w:tc>
        <w:tc>
          <w:tcPr>
            <w:tcW w:w="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ED5A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7772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30D6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4FF8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(0.3)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BCE3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2C43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(0.4)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F0AB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BBF7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(0.6)</w:t>
            </w:r>
          </w:p>
        </w:tc>
      </w:tr>
    </w:tbl>
    <w:p w14:paraId="26C50B6D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>MACCE, major adverse cardiovascular and cerebral events; MI, myocardial infarction; HF, heart failure.</w:t>
      </w:r>
    </w:p>
    <w:p w14:paraId="70542B37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 xml:space="preserve">*After observing the degrees of height reduction for 10 years form 2002, we annually calculated accumulative incidence rate of MACCE from Jan of 2012. *Group1=0 ≤ annual rate of height decrease </w:t>
      </w:r>
      <w:r w:rsidRPr="00113FEA">
        <w:rPr>
          <w:rFonts w:ascii="Arial" w:hAnsi="Arial" w:cs="Arial"/>
          <w:sz w:val="16"/>
          <w:szCs w:val="16"/>
        </w:rPr>
        <w:t>＜</w:t>
      </w:r>
      <w:r w:rsidRPr="00113FEA">
        <w:rPr>
          <w:rFonts w:ascii="Arial" w:hAnsi="Arial" w:cs="Arial"/>
          <w:sz w:val="16"/>
          <w:szCs w:val="16"/>
        </w:rPr>
        <w:t xml:space="preserve">0.3, Group2=0.3≤ annual rate of height decrease </w:t>
      </w:r>
      <w:r w:rsidRPr="00113FEA">
        <w:rPr>
          <w:rFonts w:ascii="Arial" w:hAnsi="Arial" w:cs="Arial"/>
          <w:sz w:val="16"/>
          <w:szCs w:val="16"/>
        </w:rPr>
        <w:t>＜</w:t>
      </w:r>
      <w:r w:rsidRPr="00113FEA">
        <w:rPr>
          <w:rFonts w:ascii="Arial" w:hAnsi="Arial" w:cs="Arial"/>
          <w:sz w:val="16"/>
          <w:szCs w:val="16"/>
        </w:rPr>
        <w:t>0.6, Group3=0.6≥ annual rate of height decrease, unit (cm)</w:t>
      </w:r>
    </w:p>
    <w:p w14:paraId="58E80F33" w14:textId="77777777" w:rsidR="00E748A6" w:rsidRPr="00960BEF" w:rsidRDefault="00E748A6" w:rsidP="003D6BB5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b/>
          <w:color w:val="000000" w:themeColor="text1"/>
          <w:szCs w:val="24"/>
        </w:rPr>
      </w:pPr>
    </w:p>
    <w:p w14:paraId="155C8027" w14:textId="77777777" w:rsidR="00960BEF" w:rsidRDefault="00960BEF">
      <w:pPr>
        <w:widowControl/>
        <w:wordWrap/>
        <w:autoSpaceDE/>
        <w:autoSpaceDN/>
        <w:spacing w:line="259" w:lineRule="auto"/>
        <w:jc w:val="both"/>
        <w:rPr>
          <w:rFonts w:cs="Arial"/>
          <w:b/>
          <w:color w:val="000000" w:themeColor="text1"/>
          <w:szCs w:val="24"/>
        </w:rPr>
      </w:pPr>
      <w:r>
        <w:rPr>
          <w:rFonts w:cs="Arial"/>
          <w:b/>
          <w:color w:val="000000" w:themeColor="text1"/>
          <w:szCs w:val="24"/>
        </w:rPr>
        <w:br w:type="page"/>
      </w:r>
    </w:p>
    <w:p w14:paraId="61886891" w14:textId="3AC43CC7" w:rsidR="00E748A6" w:rsidRPr="003D6BB5" w:rsidRDefault="006F1EE8" w:rsidP="003D6BB5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b/>
          <w:color w:val="000000" w:themeColor="text1"/>
          <w:szCs w:val="24"/>
        </w:rPr>
      </w:pPr>
      <w:proofErr w:type="spellStart"/>
      <w:proofErr w:type="gramStart"/>
      <w:r w:rsidRPr="00C162DD">
        <w:rPr>
          <w:rFonts w:cs="Arial"/>
          <w:b/>
          <w:color w:val="000000" w:themeColor="text1"/>
          <w:szCs w:val="24"/>
        </w:rPr>
        <w:lastRenderedPageBreak/>
        <w:t>e</w:t>
      </w:r>
      <w:r w:rsidR="00E748A6" w:rsidRPr="00C162DD">
        <w:rPr>
          <w:rFonts w:cs="Arial"/>
          <w:b/>
          <w:color w:val="000000" w:themeColor="text1"/>
          <w:szCs w:val="24"/>
        </w:rPr>
        <w:t>Table</w:t>
      </w:r>
      <w:proofErr w:type="spellEnd"/>
      <w:proofErr w:type="gramEnd"/>
      <w:r w:rsidR="00E748A6" w:rsidRPr="00C162DD">
        <w:rPr>
          <w:rFonts w:cs="Arial"/>
          <w:b/>
          <w:color w:val="000000" w:themeColor="text1"/>
          <w:szCs w:val="24"/>
        </w:rPr>
        <w:t xml:space="preserve"> 4.</w:t>
      </w:r>
      <w:r w:rsidR="00E748A6" w:rsidRPr="003D6BB5">
        <w:rPr>
          <w:rFonts w:cs="Arial"/>
          <w:b/>
          <w:color w:val="000000" w:themeColor="text1"/>
          <w:szCs w:val="24"/>
        </w:rPr>
        <w:t xml:space="preserve"> </w:t>
      </w:r>
      <w:r w:rsidR="001D1B8E">
        <w:rPr>
          <w:rFonts w:cs="Arial"/>
          <w:b/>
          <w:color w:val="000000" w:themeColor="text1"/>
          <w:szCs w:val="24"/>
        </w:rPr>
        <w:t>The h</w:t>
      </w:r>
      <w:r w:rsidR="00E748A6" w:rsidRPr="003D6BB5">
        <w:rPr>
          <w:rFonts w:cs="Arial"/>
          <w:b/>
          <w:color w:val="000000" w:themeColor="text1"/>
          <w:szCs w:val="24"/>
        </w:rPr>
        <w:t xml:space="preserve">azard ratios of major adverse cardiovascular and cerebral events </w:t>
      </w:r>
      <w:r w:rsidR="001D1B8E">
        <w:rPr>
          <w:rFonts w:cs="Arial"/>
          <w:b/>
          <w:color w:val="000000" w:themeColor="text1"/>
          <w:szCs w:val="24"/>
        </w:rPr>
        <w:t>per</w:t>
      </w:r>
      <w:r w:rsidR="00E748A6" w:rsidRPr="003D6BB5">
        <w:rPr>
          <w:rFonts w:cs="Arial"/>
          <w:b/>
          <w:color w:val="000000" w:themeColor="text1"/>
          <w:szCs w:val="24"/>
        </w:rPr>
        <w:t xml:space="preserve"> the annual height decrease </w:t>
      </w:r>
      <w:r w:rsidR="001D1B8E" w:rsidRPr="005A27DA">
        <w:rPr>
          <w:rFonts w:cs="Arial"/>
          <w:b/>
          <w:color w:val="000000" w:themeColor="text1"/>
          <w:szCs w:val="24"/>
        </w:rPr>
        <w:t xml:space="preserve">rate </w:t>
      </w:r>
      <w:r w:rsidR="00E748A6" w:rsidRPr="003D6BB5">
        <w:rPr>
          <w:rFonts w:cs="Arial"/>
          <w:b/>
          <w:color w:val="000000" w:themeColor="text1"/>
          <w:szCs w:val="24"/>
        </w:rPr>
        <w:t xml:space="preserve">in female patients </w:t>
      </w:r>
      <w:r w:rsidR="001D1B8E">
        <w:rPr>
          <w:rFonts w:cs="Arial"/>
          <w:b/>
          <w:color w:val="000000" w:themeColor="text1"/>
          <w:szCs w:val="24"/>
        </w:rPr>
        <w:t>based on</w:t>
      </w:r>
      <w:r w:rsidR="001D1B8E" w:rsidRPr="003D6BB5">
        <w:rPr>
          <w:rFonts w:cs="Arial"/>
          <w:b/>
          <w:color w:val="000000" w:themeColor="text1"/>
          <w:szCs w:val="24"/>
        </w:rPr>
        <w:t xml:space="preserve"> </w:t>
      </w:r>
      <w:r w:rsidR="00E748A6" w:rsidRPr="003D6BB5">
        <w:rPr>
          <w:rFonts w:cs="Arial"/>
          <w:b/>
          <w:color w:val="000000" w:themeColor="text1"/>
          <w:szCs w:val="24"/>
        </w:rPr>
        <w:t>menopausal status</w:t>
      </w:r>
    </w:p>
    <w:p w14:paraId="6D377264" w14:textId="097F7063" w:rsidR="00960BEF" w:rsidRPr="00113FEA" w:rsidRDefault="00960BEF" w:rsidP="00960BEF">
      <w:pPr>
        <w:wordWrap/>
        <w:adjustRightInd w:val="0"/>
        <w:spacing w:after="0" w:line="240" w:lineRule="auto"/>
        <w:rPr>
          <w:rFonts w:cs="Arial"/>
          <w:b/>
          <w:kern w:val="0"/>
          <w:szCs w:val="24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849"/>
        <w:gridCol w:w="852"/>
        <w:gridCol w:w="1255"/>
        <w:gridCol w:w="22"/>
        <w:gridCol w:w="1277"/>
        <w:gridCol w:w="1537"/>
        <w:gridCol w:w="25"/>
        <w:gridCol w:w="992"/>
        <w:gridCol w:w="1134"/>
        <w:gridCol w:w="1134"/>
        <w:gridCol w:w="153"/>
        <w:gridCol w:w="274"/>
        <w:gridCol w:w="992"/>
        <w:gridCol w:w="1134"/>
        <w:gridCol w:w="82"/>
      </w:tblGrid>
      <w:tr w:rsidR="00960BEF" w:rsidRPr="00504C2D" w14:paraId="45B87E82" w14:textId="77777777" w:rsidTr="00513EFC">
        <w:trPr>
          <w:trHeight w:val="340"/>
        </w:trPr>
        <w:tc>
          <w:tcPr>
            <w:tcW w:w="7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5D7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굴림" w:cs="Arial"/>
                <w:kern w:val="0"/>
                <w:sz w:val="20"/>
                <w:szCs w:val="20"/>
              </w:rPr>
            </w:pPr>
          </w:p>
        </w:tc>
        <w:tc>
          <w:tcPr>
            <w:tcW w:w="2123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0A70E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15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928A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Yes</w:t>
            </w:r>
          </w:p>
        </w:tc>
      </w:tr>
      <w:tr w:rsidR="00960BEF" w:rsidRPr="00504C2D" w14:paraId="4ADB9975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08C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3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CC6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333333"/>
                <w:kern w:val="0"/>
                <w:sz w:val="20"/>
                <w:szCs w:val="20"/>
              </w:rPr>
              <w:t>Annual rate of height decrease**</w:t>
            </w:r>
          </w:p>
        </w:tc>
        <w:tc>
          <w:tcPr>
            <w:tcW w:w="215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16CE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333333"/>
                <w:kern w:val="0"/>
                <w:sz w:val="20"/>
                <w:szCs w:val="20"/>
              </w:rPr>
              <w:t>Annual rate of height decrease**</w:t>
            </w:r>
          </w:p>
        </w:tc>
      </w:tr>
      <w:tr w:rsidR="00960BEF" w:rsidRPr="00504C2D" w14:paraId="76F56E64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F88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DBA9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1</w:t>
            </w:r>
          </w:p>
        </w:tc>
        <w:tc>
          <w:tcPr>
            <w:tcW w:w="7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B573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2</w:t>
            </w:r>
          </w:p>
        </w:tc>
        <w:tc>
          <w:tcPr>
            <w:tcW w:w="103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DD39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3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A1B7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1</w:t>
            </w:r>
          </w:p>
        </w:tc>
        <w:tc>
          <w:tcPr>
            <w:tcW w:w="8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BBFF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2</w:t>
            </w:r>
          </w:p>
        </w:tc>
        <w:tc>
          <w:tcPr>
            <w:tcW w:w="90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0B24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Group 3</w:t>
            </w:r>
          </w:p>
        </w:tc>
      </w:tr>
      <w:tr w:rsidR="00960BEF" w:rsidRPr="00504C2D" w14:paraId="7D276879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8EF8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Cardiovascular disease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A225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(ref.)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3B5E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61A0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F1B12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6C00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1744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5C5C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1D0F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(ref.)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A73D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BC0D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921D5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BC07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42BE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64915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676ADB91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F5E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  <w:t>Crude model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444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9CF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E61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3782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F13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B9C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2B9C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D12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3C7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CEB7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1F14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CBD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0CF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3442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</w:tr>
      <w:tr w:rsidR="00960BEF" w:rsidRPr="00504C2D" w14:paraId="72704699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417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  <w:t>MACCE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1CE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57C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5E4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0.22, 1.05</w:t>
            </w:r>
          </w:p>
        </w:tc>
        <w:tc>
          <w:tcPr>
            <w:tcW w:w="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1ED1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50D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DDC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0.39, 1.85 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B6E5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D9C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61A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1.49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7D6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1.34, 1.65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B305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25F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1.72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62A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1.50, 1.98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F8C2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62296CDC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4FC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Cardiac death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147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B40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57F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0.000, -</w:t>
            </w:r>
          </w:p>
        </w:tc>
        <w:tc>
          <w:tcPr>
            <w:tcW w:w="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3D1F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906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1.18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791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0.15, 9.59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8685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231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978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1.46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E6D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0.92, 2.32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DD88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16F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3.17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175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1.98, 5.07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CF46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103215C7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126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Non-fatal MI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FB7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F73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44F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0.000, -</w:t>
            </w:r>
          </w:p>
        </w:tc>
        <w:tc>
          <w:tcPr>
            <w:tcW w:w="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F28C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1AB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59D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0.00, -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65CA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9B8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5A5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1.62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973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1.16, 2.26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F4B3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F54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1.63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F05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1.02, 2.59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E341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2E343371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A339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Stroke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AF2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29E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0.50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57F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0.22, 1.16</w:t>
            </w:r>
          </w:p>
        </w:tc>
        <w:tc>
          <w:tcPr>
            <w:tcW w:w="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D7E8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869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134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0.21, 1.62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AEB5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9DE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7D1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1.47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8A7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1.31, 1.65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C9A8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F57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1.63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41F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1.39, 1.91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AD25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77B0D79D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635B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leftChars="50" w:left="120" w:firstLineChars="50" w:firstLine="1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Hospitalization for HF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87CA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23F0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4.68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9944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0.29, 74.77</w:t>
            </w:r>
          </w:p>
        </w:tc>
        <w:tc>
          <w:tcPr>
            <w:tcW w:w="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7AA80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E24B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24.88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42B1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2.58, 238.48</w:t>
            </w:r>
          </w:p>
        </w:tc>
        <w:tc>
          <w:tcPr>
            <w:tcW w:w="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5253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2448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B4DF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1.63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C2BD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1.12, 2.36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ABC3C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2AB3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2.25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F5BD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1.43, 3.54</w:t>
            </w:r>
          </w:p>
        </w:tc>
        <w:tc>
          <w:tcPr>
            <w:tcW w:w="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A2E82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4CEA38CD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8BC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  <w:t>Adjusted model*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76B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C07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7BD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B3B0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62E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84C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06AC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661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DF9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9BA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A8DA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773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601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4032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Times New Roman" w:cs="Arial"/>
                <w:kern w:val="0"/>
                <w:sz w:val="20"/>
                <w:szCs w:val="20"/>
              </w:rPr>
            </w:pPr>
          </w:p>
        </w:tc>
      </w:tr>
      <w:tr w:rsidR="00960BEF" w:rsidRPr="00504C2D" w14:paraId="6ACA9B14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E27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b/>
                <w:bCs/>
                <w:color w:val="000000"/>
                <w:kern w:val="0"/>
                <w:sz w:val="20"/>
                <w:szCs w:val="20"/>
              </w:rPr>
              <w:t>MACCE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FE5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272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69D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 xml:space="preserve">0.22, 1.03 </w:t>
            </w:r>
          </w:p>
        </w:tc>
        <w:tc>
          <w:tcPr>
            <w:tcW w:w="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2745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0FD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639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0.38, 1.82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BE34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474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4DE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777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1.09, 1.35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6226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250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1.27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8CA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1.11, 1.47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0E05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2EEF096A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40A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Cardiac death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3B2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852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286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0.00, -</w:t>
            </w:r>
          </w:p>
        </w:tc>
        <w:tc>
          <w:tcPr>
            <w:tcW w:w="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A94D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CAE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1.13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2FD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0.14, 9.22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5E7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A02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808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1B3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0.63, 1.59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C45E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6DC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1.74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549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1.08, 2.81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6DA3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25EF1566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E44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Non-fatal MI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372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D32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3BA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0.00, -</w:t>
            </w:r>
          </w:p>
        </w:tc>
        <w:tc>
          <w:tcPr>
            <w:tcW w:w="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2CC2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28B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3E2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0.00, -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B6A5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1F7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0E0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1.33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C41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0.95, 1.87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2949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667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A5E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0.74, 1.92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2CF1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2D3DCF70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A971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Stroke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478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694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5F8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0.21, 1.14</w:t>
            </w:r>
          </w:p>
        </w:tc>
        <w:tc>
          <w:tcPr>
            <w:tcW w:w="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06667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3A0A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0.57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4315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0.21, 1.58</w:t>
            </w:r>
          </w:p>
        </w:tc>
        <w:tc>
          <w:tcPr>
            <w:tcW w:w="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A785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50E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DF8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B17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1.09, 1.37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7C1A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1B2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1.24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82B0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1.06, 1.46</w:t>
            </w:r>
          </w:p>
        </w:tc>
        <w:tc>
          <w:tcPr>
            <w:tcW w:w="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A5EA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60BEF" w:rsidRPr="00504C2D" w14:paraId="16129A53" w14:textId="77777777" w:rsidTr="00513EFC">
        <w:trPr>
          <w:trHeight w:val="340"/>
        </w:trPr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BB9F4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ind w:leftChars="50" w:left="120" w:firstLineChars="50" w:firstLine="100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Hospitalization for HF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99D4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4A71C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4.57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B94B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0.29, 73.28</w:t>
            </w:r>
          </w:p>
        </w:tc>
        <w:tc>
          <w:tcPr>
            <w:tcW w:w="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543AFE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8034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23.69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3A9CB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2.45, 229.50</w:t>
            </w:r>
          </w:p>
        </w:tc>
        <w:tc>
          <w:tcPr>
            <w:tcW w:w="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59E26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0E3A3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990CD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1.15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4BEDF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0.79, 1.67</w:t>
            </w:r>
          </w:p>
        </w:tc>
        <w:tc>
          <w:tcPr>
            <w:tcW w:w="1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AB45E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5A768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1.30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3F742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  <w:r w:rsidRPr="00504C2D">
              <w:rPr>
                <w:rFonts w:eastAsia="맑은 고딕" w:cs="Arial"/>
                <w:color w:val="000000"/>
                <w:kern w:val="0"/>
                <w:sz w:val="20"/>
                <w:szCs w:val="20"/>
              </w:rPr>
              <w:t>0.82, 2.07</w:t>
            </w:r>
          </w:p>
        </w:tc>
        <w:tc>
          <w:tcPr>
            <w:tcW w:w="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015479" w14:textId="77777777" w:rsidR="00960BEF" w:rsidRPr="00504C2D" w:rsidRDefault="00960BEF" w:rsidP="00513EF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="맑은 고딕" w:cs="Arial"/>
                <w:color w:val="000000"/>
                <w:kern w:val="0"/>
                <w:sz w:val="20"/>
                <w:szCs w:val="20"/>
              </w:rPr>
            </w:pPr>
          </w:p>
        </w:tc>
      </w:tr>
    </w:tbl>
    <w:p w14:paraId="62B71900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>MACCE, major adverse cardiovascular and cerebral events; MI, myocardial infarction; HF, heart failure.</w:t>
      </w:r>
    </w:p>
    <w:p w14:paraId="2546ED58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 xml:space="preserve">*age, income deciles, diabetes, dyslipidemia, osteoporosis, hypertension, smoke, drink, body mass index were interpolated. </w:t>
      </w:r>
    </w:p>
    <w:p w14:paraId="2D0C025E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>*Group1=0≤annual rate of height decrease</w:t>
      </w:r>
      <w:r w:rsidRPr="00113FEA">
        <w:rPr>
          <w:rFonts w:ascii="Arial" w:hAnsi="Arial" w:cs="Arial"/>
          <w:sz w:val="16"/>
          <w:szCs w:val="16"/>
        </w:rPr>
        <w:t>＜</w:t>
      </w:r>
      <w:r w:rsidRPr="00113FEA">
        <w:rPr>
          <w:rFonts w:ascii="Arial" w:hAnsi="Arial" w:cs="Arial"/>
          <w:sz w:val="16"/>
          <w:szCs w:val="16"/>
        </w:rPr>
        <w:t>0.3, Group2=0.3≤annual rate of height decrease</w:t>
      </w:r>
      <w:r w:rsidRPr="00113FEA">
        <w:rPr>
          <w:rFonts w:ascii="Arial" w:hAnsi="Arial" w:cs="Arial"/>
          <w:sz w:val="16"/>
          <w:szCs w:val="16"/>
        </w:rPr>
        <w:t>＜</w:t>
      </w:r>
      <w:r w:rsidRPr="00113FEA">
        <w:rPr>
          <w:rFonts w:ascii="Arial" w:hAnsi="Arial" w:cs="Arial"/>
          <w:sz w:val="16"/>
          <w:szCs w:val="16"/>
        </w:rPr>
        <w:t>0.6, Group3=0.6≥ annual rate of height decrease, unit (cm). †Cox proportional hazard model.</w:t>
      </w:r>
    </w:p>
    <w:p w14:paraId="609A9025" w14:textId="77777777" w:rsidR="00960BEF" w:rsidRDefault="00960BEF" w:rsidP="003D6BB5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b/>
          <w:color w:val="000000" w:themeColor="text1"/>
          <w:szCs w:val="24"/>
        </w:rPr>
      </w:pPr>
    </w:p>
    <w:p w14:paraId="42EC3BDF" w14:textId="77777777" w:rsidR="00960BEF" w:rsidRDefault="00960BEF">
      <w:pPr>
        <w:widowControl/>
        <w:wordWrap/>
        <w:autoSpaceDE/>
        <w:autoSpaceDN/>
        <w:spacing w:line="259" w:lineRule="auto"/>
        <w:jc w:val="both"/>
        <w:rPr>
          <w:rFonts w:cs="Arial"/>
          <w:b/>
          <w:color w:val="000000" w:themeColor="text1"/>
          <w:szCs w:val="24"/>
        </w:rPr>
      </w:pPr>
      <w:r>
        <w:rPr>
          <w:rFonts w:cs="Arial"/>
          <w:b/>
          <w:color w:val="000000" w:themeColor="text1"/>
          <w:szCs w:val="24"/>
        </w:rPr>
        <w:br w:type="page"/>
      </w:r>
    </w:p>
    <w:p w14:paraId="2AC9D0FF" w14:textId="18AD1430" w:rsidR="006F1EE8" w:rsidRPr="006F1EE8" w:rsidRDefault="00E11D58" w:rsidP="003D6BB5">
      <w:pPr>
        <w:pStyle w:val="a3"/>
        <w:widowControl/>
        <w:wordWrap/>
        <w:autoSpaceDE/>
        <w:autoSpaceDN/>
        <w:spacing w:after="0" w:line="240" w:lineRule="auto"/>
        <w:ind w:leftChars="0" w:left="0"/>
        <w:rPr>
          <w:rFonts w:cs="Arial"/>
          <w:color w:val="000000" w:themeColor="text1"/>
          <w:szCs w:val="24"/>
        </w:rPr>
      </w:pPr>
      <w:proofErr w:type="spellStart"/>
      <w:proofErr w:type="gramStart"/>
      <w:r>
        <w:rPr>
          <w:rFonts w:cs="Arial"/>
          <w:b/>
          <w:color w:val="000000" w:themeColor="text1"/>
          <w:szCs w:val="24"/>
        </w:rPr>
        <w:lastRenderedPageBreak/>
        <w:t>e</w:t>
      </w:r>
      <w:r w:rsidR="006F1EE8" w:rsidRPr="006F1EE8">
        <w:rPr>
          <w:rFonts w:cs="Arial"/>
          <w:b/>
          <w:color w:val="000000" w:themeColor="text1"/>
          <w:szCs w:val="24"/>
        </w:rPr>
        <w:t>Figure</w:t>
      </w:r>
      <w:proofErr w:type="spellEnd"/>
      <w:proofErr w:type="gramEnd"/>
      <w:r w:rsidR="006F1EE8" w:rsidRPr="006F1EE8">
        <w:rPr>
          <w:rFonts w:cs="Arial"/>
          <w:b/>
          <w:color w:val="000000" w:themeColor="text1"/>
          <w:szCs w:val="24"/>
        </w:rPr>
        <w:t xml:space="preserve"> 1.</w:t>
      </w:r>
      <w:r w:rsidR="006F1EE8" w:rsidRPr="006F1EE8">
        <w:rPr>
          <w:rFonts w:cs="Arial"/>
          <w:color w:val="000000" w:themeColor="text1"/>
          <w:szCs w:val="24"/>
        </w:rPr>
        <w:t xml:space="preserve"> </w:t>
      </w:r>
      <w:r w:rsidR="00BB1923">
        <w:rPr>
          <w:rFonts w:cs="Arial"/>
          <w:b/>
          <w:color w:val="000000" w:themeColor="text1"/>
          <w:szCs w:val="24"/>
        </w:rPr>
        <w:t>F</w:t>
      </w:r>
      <w:r w:rsidR="00BB1923" w:rsidRPr="00114C93">
        <w:rPr>
          <w:rFonts w:cs="Arial"/>
          <w:b/>
          <w:color w:val="000000" w:themeColor="text1"/>
          <w:szCs w:val="24"/>
        </w:rPr>
        <w:t>actors</w:t>
      </w:r>
      <w:r w:rsidR="00BB1923" w:rsidRPr="00BB1923">
        <w:rPr>
          <w:rFonts w:cs="Arial"/>
          <w:b/>
          <w:color w:val="000000" w:themeColor="text1"/>
          <w:szCs w:val="24"/>
        </w:rPr>
        <w:t xml:space="preserve"> </w:t>
      </w:r>
      <w:r w:rsidR="00BB1923">
        <w:rPr>
          <w:rFonts w:cs="Arial"/>
          <w:b/>
          <w:color w:val="000000" w:themeColor="text1"/>
          <w:szCs w:val="24"/>
        </w:rPr>
        <w:t>a</w:t>
      </w:r>
      <w:r w:rsidR="006F1EE8" w:rsidRPr="003D6BB5">
        <w:rPr>
          <w:rFonts w:cs="Arial"/>
          <w:b/>
          <w:color w:val="000000" w:themeColor="text1"/>
          <w:szCs w:val="24"/>
        </w:rPr>
        <w:t xml:space="preserve">ffecting </w:t>
      </w:r>
      <w:r w:rsidR="00BB1923">
        <w:rPr>
          <w:rFonts w:cs="Arial"/>
          <w:b/>
          <w:color w:val="000000" w:themeColor="text1"/>
          <w:szCs w:val="24"/>
        </w:rPr>
        <w:t>the</w:t>
      </w:r>
      <w:r w:rsidR="006F1EE8" w:rsidRPr="003D6BB5">
        <w:rPr>
          <w:rFonts w:cs="Arial"/>
          <w:b/>
          <w:color w:val="000000" w:themeColor="text1"/>
          <w:szCs w:val="24"/>
        </w:rPr>
        <w:t xml:space="preserve"> annual height decrease</w:t>
      </w:r>
      <w:r w:rsidR="00BB1923" w:rsidRPr="00BB1923">
        <w:rPr>
          <w:rFonts w:cs="Arial"/>
          <w:b/>
          <w:color w:val="000000" w:themeColor="text1"/>
          <w:szCs w:val="24"/>
        </w:rPr>
        <w:t xml:space="preserve"> </w:t>
      </w:r>
      <w:r w:rsidR="00BB1923" w:rsidRPr="008C63B3">
        <w:rPr>
          <w:rFonts w:cs="Arial"/>
          <w:b/>
          <w:color w:val="000000" w:themeColor="text1"/>
          <w:szCs w:val="24"/>
        </w:rPr>
        <w:t>rate</w:t>
      </w:r>
    </w:p>
    <w:p w14:paraId="2498C95D" w14:textId="77777777" w:rsidR="00960BEF" w:rsidRPr="00113FEA" w:rsidRDefault="00960BEF" w:rsidP="00960BEF">
      <w:pPr>
        <w:widowControl/>
        <w:wordWrap/>
        <w:autoSpaceDE/>
        <w:autoSpaceDN/>
        <w:jc w:val="center"/>
        <w:rPr>
          <w:rFonts w:cs="Arial"/>
        </w:rPr>
      </w:pPr>
      <w:r w:rsidRPr="00113FEA">
        <w:rPr>
          <w:rFonts w:cs="Arial"/>
          <w:noProof/>
        </w:rPr>
        <w:drawing>
          <wp:inline distT="0" distB="0" distL="0" distR="0" wp14:anchorId="1904FC5A" wp14:editId="6F51BD5E">
            <wp:extent cx="8697595" cy="4057650"/>
            <wp:effectExtent l="0" t="0" r="825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759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1BA2C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 xml:space="preserve">*References are on the right side of slash </w:t>
      </w:r>
    </w:p>
    <w:p w14:paraId="69FFE51A" w14:textId="77777777" w:rsidR="00960BEF" w:rsidRPr="00113FEA" w:rsidRDefault="00960BEF" w:rsidP="00960BEF">
      <w:pPr>
        <w:pStyle w:val="af"/>
        <w:rPr>
          <w:rFonts w:ascii="Arial" w:hAnsi="Arial" w:cs="Arial"/>
          <w:sz w:val="16"/>
          <w:szCs w:val="16"/>
        </w:rPr>
      </w:pPr>
      <w:r w:rsidRPr="00113FEA">
        <w:rPr>
          <w:rFonts w:ascii="Arial" w:hAnsi="Arial" w:cs="Arial"/>
          <w:sz w:val="16"/>
          <w:szCs w:val="16"/>
        </w:rPr>
        <w:t>**Group 1: 0 ≤ annual rate of height decrease</w:t>
      </w:r>
      <w:r w:rsidRPr="00113FEA">
        <w:rPr>
          <w:rFonts w:ascii="Arial" w:hAnsi="Arial" w:cs="Arial"/>
          <w:sz w:val="16"/>
          <w:szCs w:val="16"/>
        </w:rPr>
        <w:t>＜</w:t>
      </w:r>
      <w:r w:rsidRPr="00113FEA">
        <w:rPr>
          <w:rFonts w:ascii="Arial" w:hAnsi="Arial" w:cs="Arial"/>
          <w:sz w:val="16"/>
          <w:szCs w:val="16"/>
        </w:rPr>
        <w:t>0.3, Group 2: 0.3≤ annual rate of height decrease</w:t>
      </w:r>
      <w:r w:rsidRPr="00113FEA">
        <w:rPr>
          <w:rFonts w:ascii="Arial" w:hAnsi="Arial" w:cs="Arial"/>
          <w:sz w:val="16"/>
          <w:szCs w:val="16"/>
        </w:rPr>
        <w:t>＜</w:t>
      </w:r>
      <w:r w:rsidRPr="00113FEA">
        <w:rPr>
          <w:rFonts w:ascii="Arial" w:hAnsi="Arial" w:cs="Arial"/>
          <w:sz w:val="16"/>
          <w:szCs w:val="16"/>
        </w:rPr>
        <w:t xml:space="preserve">0.6, Group 3: 0.6≥ annual rate of height decrease, unit (cm). †Logistic regression </w:t>
      </w:r>
    </w:p>
    <w:p w14:paraId="434FF444" w14:textId="37A10EB5" w:rsidR="00E5190F" w:rsidRPr="00960BEF" w:rsidRDefault="00E5190F" w:rsidP="003D6BB5">
      <w:pPr>
        <w:pStyle w:val="a3"/>
        <w:ind w:leftChars="0" w:left="0"/>
        <w:rPr>
          <w:rFonts w:cs="Arial"/>
          <w:b/>
          <w:color w:val="000000" w:themeColor="text1"/>
          <w:szCs w:val="24"/>
        </w:rPr>
      </w:pPr>
    </w:p>
    <w:sectPr w:rsidR="00E5190F" w:rsidRPr="00960BEF" w:rsidSect="00960BEF">
      <w:footerReference w:type="default" r:id="rId9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8FC754" w14:textId="77777777" w:rsidR="00C611C8" w:rsidRDefault="00C611C8" w:rsidP="002D55AB">
      <w:pPr>
        <w:spacing w:after="0" w:line="240" w:lineRule="auto"/>
      </w:pPr>
      <w:r>
        <w:separator/>
      </w:r>
    </w:p>
  </w:endnote>
  <w:endnote w:type="continuationSeparator" w:id="0">
    <w:p w14:paraId="412D0586" w14:textId="77777777" w:rsidR="00C611C8" w:rsidRDefault="00C611C8" w:rsidP="002D55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9640902"/>
      <w:docPartObj>
        <w:docPartGallery w:val="Page Numbers (Bottom of Page)"/>
        <w:docPartUnique/>
      </w:docPartObj>
    </w:sdtPr>
    <w:sdtEndPr/>
    <w:sdtContent>
      <w:p w14:paraId="7E9B55B6" w14:textId="58B5A3AB" w:rsidR="001542C2" w:rsidRDefault="001542C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187C" w:rsidRPr="00E8187C">
          <w:rPr>
            <w:noProof/>
            <w:lang w:val="ko-KR"/>
          </w:rPr>
          <w:t>8</w:t>
        </w:r>
        <w:r>
          <w:fldChar w:fldCharType="end"/>
        </w:r>
      </w:p>
    </w:sdtContent>
  </w:sdt>
  <w:p w14:paraId="34F559CB" w14:textId="77777777" w:rsidR="001542C2" w:rsidRDefault="001542C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C1586D" w14:textId="77777777" w:rsidR="00C611C8" w:rsidRDefault="00C611C8" w:rsidP="002D55AB">
      <w:pPr>
        <w:spacing w:after="0" w:line="240" w:lineRule="auto"/>
      </w:pPr>
      <w:r>
        <w:separator/>
      </w:r>
    </w:p>
  </w:footnote>
  <w:footnote w:type="continuationSeparator" w:id="0">
    <w:p w14:paraId="517D0292" w14:textId="77777777" w:rsidR="00C611C8" w:rsidRDefault="00C611C8" w:rsidP="002D55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5C0E0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5409B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83A6E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5C44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634DC4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3985C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77A0FA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3AE1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D7081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F8ACF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5E2A02"/>
    <w:multiLevelType w:val="multilevel"/>
    <w:tmpl w:val="97B22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E96632"/>
    <w:multiLevelType w:val="hybridMultilevel"/>
    <w:tmpl w:val="96245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146FC4"/>
    <w:multiLevelType w:val="hybridMultilevel"/>
    <w:tmpl w:val="DD1C35EE"/>
    <w:lvl w:ilvl="0" w:tplc="4BEE46A8">
      <w:start w:val="1"/>
      <w:numFmt w:val="upperLetter"/>
      <w:lvlText w:val="%1)"/>
      <w:lvlJc w:val="left"/>
      <w:pPr>
        <w:ind w:left="760" w:hanging="360"/>
      </w:pPr>
      <w:rPr>
        <w:rFonts w:ascii="Arial" w:eastAsiaTheme="minorEastAsia" w:hAnsi="Arial" w:cs="Arial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3AEE7F61"/>
    <w:multiLevelType w:val="hybridMultilevel"/>
    <w:tmpl w:val="C35C58F8"/>
    <w:lvl w:ilvl="0" w:tplc="19206A70">
      <w:start w:val="1"/>
      <w:numFmt w:val="upperLetter"/>
      <w:lvlText w:val="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4" w15:restartNumberingAfterBreak="0">
    <w:nsid w:val="41274157"/>
    <w:multiLevelType w:val="hybridMultilevel"/>
    <w:tmpl w:val="82FEA848"/>
    <w:lvl w:ilvl="0" w:tplc="C892244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49102CFF"/>
    <w:multiLevelType w:val="hybridMultilevel"/>
    <w:tmpl w:val="865605D4"/>
    <w:lvl w:ilvl="0" w:tplc="16A06BB0">
      <w:start w:val="1"/>
      <w:numFmt w:val="upperLetter"/>
      <w:lvlText w:val="%1)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4E5E3A76"/>
    <w:multiLevelType w:val="hybridMultilevel"/>
    <w:tmpl w:val="82FEA848"/>
    <w:lvl w:ilvl="0" w:tplc="C892244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68BD6FAB"/>
    <w:multiLevelType w:val="hybridMultilevel"/>
    <w:tmpl w:val="86D63A58"/>
    <w:lvl w:ilvl="0" w:tplc="B8C88262">
      <w:start w:val="1"/>
      <w:numFmt w:val="lowerLetter"/>
      <w:lvlText w:val="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8" w15:restartNumberingAfterBreak="0">
    <w:nsid w:val="6CD0309F"/>
    <w:multiLevelType w:val="hybridMultilevel"/>
    <w:tmpl w:val="53487E68"/>
    <w:lvl w:ilvl="0" w:tplc="B5062D6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67270B"/>
    <w:multiLevelType w:val="hybridMultilevel"/>
    <w:tmpl w:val="323CAC14"/>
    <w:lvl w:ilvl="0" w:tplc="B5062D6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17"/>
  </w:num>
  <w:num w:numId="4">
    <w:abstractNumId w:val="13"/>
  </w:num>
  <w:num w:numId="5">
    <w:abstractNumId w:val="15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8"/>
  </w:num>
  <w:num w:numId="11">
    <w:abstractNumId w:val="4"/>
  </w:num>
  <w:num w:numId="12">
    <w:abstractNumId w:val="5"/>
  </w:num>
  <w:num w:numId="13">
    <w:abstractNumId w:val="6"/>
  </w:num>
  <w:num w:numId="14">
    <w:abstractNumId w:val="7"/>
  </w:num>
  <w:num w:numId="15">
    <w:abstractNumId w:val="9"/>
  </w:num>
  <w:num w:numId="16">
    <w:abstractNumId w:val="10"/>
  </w:num>
  <w:num w:numId="17">
    <w:abstractNumId w:val="16"/>
  </w:num>
  <w:num w:numId="18">
    <w:abstractNumId w:val="18"/>
  </w:num>
  <w:num w:numId="19">
    <w:abstractNumId w:val="19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AD78C4"/>
    <w:rsid w:val="00032AE2"/>
    <w:rsid w:val="00046A73"/>
    <w:rsid w:val="000473CB"/>
    <w:rsid w:val="00050FEA"/>
    <w:rsid w:val="00065EF9"/>
    <w:rsid w:val="000734F1"/>
    <w:rsid w:val="00082E49"/>
    <w:rsid w:val="000B5627"/>
    <w:rsid w:val="000B64A2"/>
    <w:rsid w:val="000C19D5"/>
    <w:rsid w:val="000D2698"/>
    <w:rsid w:val="000D3B66"/>
    <w:rsid w:val="000D761F"/>
    <w:rsid w:val="00116A8E"/>
    <w:rsid w:val="001248DA"/>
    <w:rsid w:val="00127C99"/>
    <w:rsid w:val="00143217"/>
    <w:rsid w:val="001476E8"/>
    <w:rsid w:val="00152895"/>
    <w:rsid w:val="001542C2"/>
    <w:rsid w:val="00157643"/>
    <w:rsid w:val="00197519"/>
    <w:rsid w:val="001A1EFF"/>
    <w:rsid w:val="001B072A"/>
    <w:rsid w:val="001B525B"/>
    <w:rsid w:val="001B5AC2"/>
    <w:rsid w:val="001C0CBE"/>
    <w:rsid w:val="001C5DA0"/>
    <w:rsid w:val="001D130B"/>
    <w:rsid w:val="001D1B8E"/>
    <w:rsid w:val="001F31C0"/>
    <w:rsid w:val="001F5B35"/>
    <w:rsid w:val="00207693"/>
    <w:rsid w:val="00230813"/>
    <w:rsid w:val="00231FFF"/>
    <w:rsid w:val="002472C4"/>
    <w:rsid w:val="0026174F"/>
    <w:rsid w:val="0026343C"/>
    <w:rsid w:val="002646DD"/>
    <w:rsid w:val="00265767"/>
    <w:rsid w:val="00281A33"/>
    <w:rsid w:val="00285A02"/>
    <w:rsid w:val="002A2449"/>
    <w:rsid w:val="002C3C90"/>
    <w:rsid w:val="002C45C1"/>
    <w:rsid w:val="002C76B3"/>
    <w:rsid w:val="002D5550"/>
    <w:rsid w:val="002D55AB"/>
    <w:rsid w:val="002E2C9D"/>
    <w:rsid w:val="002E615F"/>
    <w:rsid w:val="002F31D3"/>
    <w:rsid w:val="002F5CB6"/>
    <w:rsid w:val="003036D5"/>
    <w:rsid w:val="00305522"/>
    <w:rsid w:val="0031082B"/>
    <w:rsid w:val="00314017"/>
    <w:rsid w:val="00320E2F"/>
    <w:rsid w:val="003219DA"/>
    <w:rsid w:val="00321C40"/>
    <w:rsid w:val="003245AB"/>
    <w:rsid w:val="0034116D"/>
    <w:rsid w:val="003428E1"/>
    <w:rsid w:val="003533FC"/>
    <w:rsid w:val="00367F9D"/>
    <w:rsid w:val="003B3BB2"/>
    <w:rsid w:val="003D6BB5"/>
    <w:rsid w:val="003E4626"/>
    <w:rsid w:val="0040125B"/>
    <w:rsid w:val="004129A2"/>
    <w:rsid w:val="00420FE7"/>
    <w:rsid w:val="004230ED"/>
    <w:rsid w:val="00424173"/>
    <w:rsid w:val="004349BD"/>
    <w:rsid w:val="00442213"/>
    <w:rsid w:val="00455D2B"/>
    <w:rsid w:val="004571A3"/>
    <w:rsid w:val="00460063"/>
    <w:rsid w:val="00467C45"/>
    <w:rsid w:val="004A15DE"/>
    <w:rsid w:val="004A38A6"/>
    <w:rsid w:val="004A50BC"/>
    <w:rsid w:val="004A5902"/>
    <w:rsid w:val="004D0460"/>
    <w:rsid w:val="004D573D"/>
    <w:rsid w:val="004D6144"/>
    <w:rsid w:val="004D7655"/>
    <w:rsid w:val="004E1A58"/>
    <w:rsid w:val="004E2477"/>
    <w:rsid w:val="004F16C5"/>
    <w:rsid w:val="004F6E20"/>
    <w:rsid w:val="00504814"/>
    <w:rsid w:val="005147DF"/>
    <w:rsid w:val="00516F34"/>
    <w:rsid w:val="00521EAF"/>
    <w:rsid w:val="005226A4"/>
    <w:rsid w:val="00544827"/>
    <w:rsid w:val="00544932"/>
    <w:rsid w:val="005565C9"/>
    <w:rsid w:val="005571A5"/>
    <w:rsid w:val="00571337"/>
    <w:rsid w:val="005750E3"/>
    <w:rsid w:val="0057577B"/>
    <w:rsid w:val="00582486"/>
    <w:rsid w:val="00591849"/>
    <w:rsid w:val="005956A0"/>
    <w:rsid w:val="00595F8A"/>
    <w:rsid w:val="005A3090"/>
    <w:rsid w:val="005B4B6A"/>
    <w:rsid w:val="005B6075"/>
    <w:rsid w:val="005C01DE"/>
    <w:rsid w:val="005C31B7"/>
    <w:rsid w:val="005C54A9"/>
    <w:rsid w:val="005D15FC"/>
    <w:rsid w:val="005D2D9C"/>
    <w:rsid w:val="005E7393"/>
    <w:rsid w:val="005F48C2"/>
    <w:rsid w:val="00601028"/>
    <w:rsid w:val="00604439"/>
    <w:rsid w:val="0061146A"/>
    <w:rsid w:val="006259A3"/>
    <w:rsid w:val="00626C7C"/>
    <w:rsid w:val="00636536"/>
    <w:rsid w:val="006365DE"/>
    <w:rsid w:val="00640E0E"/>
    <w:rsid w:val="0065407A"/>
    <w:rsid w:val="00654DC6"/>
    <w:rsid w:val="0066353A"/>
    <w:rsid w:val="00670856"/>
    <w:rsid w:val="00681F1A"/>
    <w:rsid w:val="00682B33"/>
    <w:rsid w:val="006847BA"/>
    <w:rsid w:val="0069550F"/>
    <w:rsid w:val="006B60A8"/>
    <w:rsid w:val="006D6E44"/>
    <w:rsid w:val="006F1EE8"/>
    <w:rsid w:val="006F49D6"/>
    <w:rsid w:val="00702F6F"/>
    <w:rsid w:val="00707424"/>
    <w:rsid w:val="00716E9E"/>
    <w:rsid w:val="007315EF"/>
    <w:rsid w:val="007420BD"/>
    <w:rsid w:val="00744840"/>
    <w:rsid w:val="007601DB"/>
    <w:rsid w:val="00761497"/>
    <w:rsid w:val="00761856"/>
    <w:rsid w:val="007868BE"/>
    <w:rsid w:val="007958C2"/>
    <w:rsid w:val="007B2F2A"/>
    <w:rsid w:val="007B610E"/>
    <w:rsid w:val="007D1EA5"/>
    <w:rsid w:val="007F1678"/>
    <w:rsid w:val="007F234D"/>
    <w:rsid w:val="00814F93"/>
    <w:rsid w:val="008157B1"/>
    <w:rsid w:val="00830668"/>
    <w:rsid w:val="00836C29"/>
    <w:rsid w:val="00855D94"/>
    <w:rsid w:val="00867E34"/>
    <w:rsid w:val="00873114"/>
    <w:rsid w:val="00873786"/>
    <w:rsid w:val="008807BD"/>
    <w:rsid w:val="00880C59"/>
    <w:rsid w:val="008A4871"/>
    <w:rsid w:val="008A559F"/>
    <w:rsid w:val="008C6D08"/>
    <w:rsid w:val="008D059C"/>
    <w:rsid w:val="008D2A05"/>
    <w:rsid w:val="008F1FCC"/>
    <w:rsid w:val="00907D25"/>
    <w:rsid w:val="009230EF"/>
    <w:rsid w:val="009467C1"/>
    <w:rsid w:val="00960BEF"/>
    <w:rsid w:val="00975C70"/>
    <w:rsid w:val="00992CF5"/>
    <w:rsid w:val="00996DAC"/>
    <w:rsid w:val="009A29D7"/>
    <w:rsid w:val="009A4F0C"/>
    <w:rsid w:val="009B1E86"/>
    <w:rsid w:val="009B25B7"/>
    <w:rsid w:val="009C15AB"/>
    <w:rsid w:val="009C27FB"/>
    <w:rsid w:val="009C507F"/>
    <w:rsid w:val="009C726D"/>
    <w:rsid w:val="00A03E63"/>
    <w:rsid w:val="00A04228"/>
    <w:rsid w:val="00A068E7"/>
    <w:rsid w:val="00A15A68"/>
    <w:rsid w:val="00A217DE"/>
    <w:rsid w:val="00A247A6"/>
    <w:rsid w:val="00A2494F"/>
    <w:rsid w:val="00A25E81"/>
    <w:rsid w:val="00A2728D"/>
    <w:rsid w:val="00A54700"/>
    <w:rsid w:val="00A746E6"/>
    <w:rsid w:val="00A86A74"/>
    <w:rsid w:val="00A86F91"/>
    <w:rsid w:val="00A91508"/>
    <w:rsid w:val="00AA4F1D"/>
    <w:rsid w:val="00AA63EF"/>
    <w:rsid w:val="00AD78C4"/>
    <w:rsid w:val="00AE476B"/>
    <w:rsid w:val="00B027F0"/>
    <w:rsid w:val="00B02A00"/>
    <w:rsid w:val="00B05122"/>
    <w:rsid w:val="00B12AD7"/>
    <w:rsid w:val="00B17710"/>
    <w:rsid w:val="00B379B7"/>
    <w:rsid w:val="00B504E1"/>
    <w:rsid w:val="00B650E8"/>
    <w:rsid w:val="00B81BAB"/>
    <w:rsid w:val="00B8787B"/>
    <w:rsid w:val="00B96F0C"/>
    <w:rsid w:val="00BA200F"/>
    <w:rsid w:val="00BA2F65"/>
    <w:rsid w:val="00BB1923"/>
    <w:rsid w:val="00BD1C7C"/>
    <w:rsid w:val="00BD310B"/>
    <w:rsid w:val="00BF4F8A"/>
    <w:rsid w:val="00C0439D"/>
    <w:rsid w:val="00C046AE"/>
    <w:rsid w:val="00C0660A"/>
    <w:rsid w:val="00C11687"/>
    <w:rsid w:val="00C162DD"/>
    <w:rsid w:val="00C259B0"/>
    <w:rsid w:val="00C42B2C"/>
    <w:rsid w:val="00C5047E"/>
    <w:rsid w:val="00C543E7"/>
    <w:rsid w:val="00C611C8"/>
    <w:rsid w:val="00C65D59"/>
    <w:rsid w:val="00C71335"/>
    <w:rsid w:val="00C73D41"/>
    <w:rsid w:val="00C804F9"/>
    <w:rsid w:val="00C86335"/>
    <w:rsid w:val="00C91D2B"/>
    <w:rsid w:val="00CA0753"/>
    <w:rsid w:val="00CB676B"/>
    <w:rsid w:val="00CC0AD1"/>
    <w:rsid w:val="00CC59E5"/>
    <w:rsid w:val="00CD64C2"/>
    <w:rsid w:val="00CD7470"/>
    <w:rsid w:val="00CE1193"/>
    <w:rsid w:val="00CE6E54"/>
    <w:rsid w:val="00D03970"/>
    <w:rsid w:val="00D107ED"/>
    <w:rsid w:val="00D14693"/>
    <w:rsid w:val="00D21BCF"/>
    <w:rsid w:val="00D3600B"/>
    <w:rsid w:val="00D426E5"/>
    <w:rsid w:val="00D55BC9"/>
    <w:rsid w:val="00D6261A"/>
    <w:rsid w:val="00D63D62"/>
    <w:rsid w:val="00D64DD0"/>
    <w:rsid w:val="00D702EA"/>
    <w:rsid w:val="00D72B46"/>
    <w:rsid w:val="00D80694"/>
    <w:rsid w:val="00D912DA"/>
    <w:rsid w:val="00D9296F"/>
    <w:rsid w:val="00DA0C76"/>
    <w:rsid w:val="00DA1566"/>
    <w:rsid w:val="00DA30AD"/>
    <w:rsid w:val="00DB2BA9"/>
    <w:rsid w:val="00DB38D9"/>
    <w:rsid w:val="00DB7AD0"/>
    <w:rsid w:val="00DC2538"/>
    <w:rsid w:val="00DC75D2"/>
    <w:rsid w:val="00DE4AB7"/>
    <w:rsid w:val="00DF2BC8"/>
    <w:rsid w:val="00DF3311"/>
    <w:rsid w:val="00E03A7B"/>
    <w:rsid w:val="00E11D58"/>
    <w:rsid w:val="00E12BE2"/>
    <w:rsid w:val="00E24737"/>
    <w:rsid w:val="00E348D1"/>
    <w:rsid w:val="00E36E7E"/>
    <w:rsid w:val="00E36FFA"/>
    <w:rsid w:val="00E5190F"/>
    <w:rsid w:val="00E56BF1"/>
    <w:rsid w:val="00E748A6"/>
    <w:rsid w:val="00E8187C"/>
    <w:rsid w:val="00E82122"/>
    <w:rsid w:val="00E96BCA"/>
    <w:rsid w:val="00E96E16"/>
    <w:rsid w:val="00EB4999"/>
    <w:rsid w:val="00EC4755"/>
    <w:rsid w:val="00EC7C17"/>
    <w:rsid w:val="00EE145F"/>
    <w:rsid w:val="00EE5A4D"/>
    <w:rsid w:val="00EE7512"/>
    <w:rsid w:val="00F033AD"/>
    <w:rsid w:val="00F079ED"/>
    <w:rsid w:val="00F2044A"/>
    <w:rsid w:val="00F25DE7"/>
    <w:rsid w:val="00F27C30"/>
    <w:rsid w:val="00F43F03"/>
    <w:rsid w:val="00F609CE"/>
    <w:rsid w:val="00F65744"/>
    <w:rsid w:val="00F81213"/>
    <w:rsid w:val="00F9181B"/>
    <w:rsid w:val="00FA03C2"/>
    <w:rsid w:val="00FA1325"/>
    <w:rsid w:val="00FA7C1B"/>
    <w:rsid w:val="00FE1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6581FD"/>
  <w15:docId w15:val="{15D25138-7FD8-4E43-A3F1-0782EBA23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EE8"/>
    <w:pPr>
      <w:widowControl w:val="0"/>
      <w:wordWrap w:val="0"/>
      <w:autoSpaceDE w:val="0"/>
      <w:autoSpaceDN w:val="0"/>
      <w:spacing w:line="480" w:lineRule="auto"/>
      <w:jc w:val="left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26E5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2D55A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D55AB"/>
  </w:style>
  <w:style w:type="paragraph" w:styleId="a5">
    <w:name w:val="footer"/>
    <w:basedOn w:val="a"/>
    <w:link w:val="Char0"/>
    <w:uiPriority w:val="99"/>
    <w:unhideWhenUsed/>
    <w:rsid w:val="002D55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D55AB"/>
  </w:style>
  <w:style w:type="character" w:styleId="a6">
    <w:name w:val="annotation reference"/>
    <w:basedOn w:val="a0"/>
    <w:uiPriority w:val="99"/>
    <w:semiHidden/>
    <w:unhideWhenUsed/>
    <w:rsid w:val="005750E3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5750E3"/>
  </w:style>
  <w:style w:type="character" w:customStyle="1" w:styleId="Char1">
    <w:name w:val="메모 텍스트 Char"/>
    <w:basedOn w:val="a0"/>
    <w:link w:val="a7"/>
    <w:uiPriority w:val="99"/>
    <w:semiHidden/>
    <w:rsid w:val="005750E3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5750E3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5750E3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D64C2"/>
    <w:pPr>
      <w:spacing w:after="0" w:line="240" w:lineRule="auto"/>
    </w:pPr>
    <w:rPr>
      <w:rFonts w:eastAsiaTheme="majorEastAsia" w:cstheme="majorBidi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CD64C2"/>
    <w:rPr>
      <w:rFonts w:ascii="Times New Roman" w:eastAsiaTheme="majorEastAsia" w:hAnsi="Times New Roman" w:cstheme="majorBidi"/>
      <w:sz w:val="24"/>
      <w:szCs w:val="18"/>
    </w:rPr>
  </w:style>
  <w:style w:type="paragraph" w:styleId="aa">
    <w:name w:val="Revision"/>
    <w:hidden/>
    <w:uiPriority w:val="99"/>
    <w:semiHidden/>
    <w:rsid w:val="006365DE"/>
    <w:pPr>
      <w:spacing w:after="0" w:line="240" w:lineRule="auto"/>
      <w:jc w:val="left"/>
    </w:pPr>
  </w:style>
  <w:style w:type="paragraph" w:customStyle="1" w:styleId="EndNoteBibliographyTitle">
    <w:name w:val="EndNote Bibliography Title"/>
    <w:basedOn w:val="a"/>
    <w:link w:val="EndNoteBibliographyTitleChar"/>
    <w:rsid w:val="00A54700"/>
    <w:pPr>
      <w:spacing w:after="0"/>
      <w:jc w:val="center"/>
    </w:pPr>
    <w:rPr>
      <w:rFonts w:eastAsia="맑은 고딕" w:cs="Arial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A54700"/>
    <w:rPr>
      <w:rFonts w:ascii="Arial" w:eastAsia="맑은 고딕" w:hAnsi="Arial" w:cs="Arial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A54700"/>
    <w:rPr>
      <w:rFonts w:eastAsia="맑은 고딕" w:cs="Arial"/>
      <w:noProof/>
    </w:rPr>
  </w:style>
  <w:style w:type="character" w:customStyle="1" w:styleId="EndNoteBibliographyChar">
    <w:name w:val="EndNote Bibliography Char"/>
    <w:basedOn w:val="a0"/>
    <w:link w:val="EndNoteBibliography"/>
    <w:rsid w:val="00A54700"/>
    <w:rPr>
      <w:rFonts w:ascii="Arial" w:eastAsia="맑은 고딕" w:hAnsi="Arial" w:cs="Arial"/>
      <w:noProof/>
      <w:sz w:val="24"/>
    </w:rPr>
  </w:style>
  <w:style w:type="character" w:styleId="ab">
    <w:name w:val="Emphasis"/>
    <w:basedOn w:val="a0"/>
    <w:uiPriority w:val="20"/>
    <w:qFormat/>
    <w:rsid w:val="00E12BE2"/>
    <w:rPr>
      <w:i/>
      <w:iCs/>
    </w:rPr>
  </w:style>
  <w:style w:type="character" w:styleId="ac">
    <w:name w:val="Hyperlink"/>
    <w:basedOn w:val="a0"/>
    <w:uiPriority w:val="99"/>
    <w:unhideWhenUsed/>
    <w:rsid w:val="00367F9D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367F9D"/>
    <w:rPr>
      <w:color w:val="605E5C"/>
      <w:shd w:val="clear" w:color="auto" w:fill="E1DFDD"/>
    </w:rPr>
  </w:style>
  <w:style w:type="paragraph" w:styleId="ad">
    <w:name w:val="Normal (Web)"/>
    <w:basedOn w:val="a"/>
    <w:uiPriority w:val="99"/>
    <w:semiHidden/>
    <w:unhideWhenUsed/>
    <w:rsid w:val="00C162DD"/>
    <w:pPr>
      <w:widowControl/>
      <w:wordWrap/>
      <w:autoSpaceDE/>
      <w:autoSpaceDN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eastAsia="en-US"/>
    </w:rPr>
  </w:style>
  <w:style w:type="paragraph" w:customStyle="1" w:styleId="i4a-back-to-top">
    <w:name w:val="i4a-back-to-top"/>
    <w:basedOn w:val="a"/>
    <w:rsid w:val="00C162DD"/>
    <w:pPr>
      <w:widowControl/>
      <w:wordWrap/>
      <w:autoSpaceDE/>
      <w:autoSpaceDN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eastAsia="en-US"/>
    </w:rPr>
  </w:style>
  <w:style w:type="character" w:styleId="ae">
    <w:name w:val="FollowedHyperlink"/>
    <w:basedOn w:val="a0"/>
    <w:uiPriority w:val="99"/>
    <w:semiHidden/>
    <w:unhideWhenUsed/>
    <w:rsid w:val="002C45C1"/>
    <w:rPr>
      <w:color w:val="954F72" w:themeColor="followedHyperlink"/>
      <w:u w:val="single"/>
    </w:rPr>
  </w:style>
  <w:style w:type="paragraph" w:styleId="af">
    <w:name w:val="No Spacing"/>
    <w:uiPriority w:val="1"/>
    <w:qFormat/>
    <w:rsid w:val="00960BEF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1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0482C-F3BD-41CF-8A94-8CCD13E37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5329</TotalTime>
  <Pages>8</Pages>
  <Words>1350</Words>
  <Characters>7698</Characters>
  <Application>Microsoft Office Word</Application>
  <DocSecurity>0</DocSecurity>
  <Lines>64</Lines>
  <Paragraphs>18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계정</dc:creator>
  <cp:lastModifiedBy>Windows User</cp:lastModifiedBy>
  <cp:revision>3</cp:revision>
  <dcterms:created xsi:type="dcterms:W3CDTF">2021-06-21T10:31:00Z</dcterms:created>
  <dcterms:modified xsi:type="dcterms:W3CDTF">2021-06-28T22:15:00Z</dcterms:modified>
</cp:coreProperties>
</file>