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39F16" w14:textId="77777777" w:rsidR="00695C79" w:rsidRPr="00F06082" w:rsidRDefault="00695C79" w:rsidP="00695C79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F06082">
        <w:rPr>
          <w:noProof/>
        </w:rPr>
        <w:drawing>
          <wp:anchor distT="0" distB="0" distL="114300" distR="114300" simplePos="0" relativeHeight="251667968" behindDoc="1" locked="0" layoutInCell="1" allowOverlap="1" wp14:anchorId="085D2C60" wp14:editId="797C12CC">
            <wp:simplePos x="0" y="0"/>
            <wp:positionH relativeFrom="column">
              <wp:posOffset>297180</wp:posOffset>
            </wp:positionH>
            <wp:positionV relativeFrom="paragraph">
              <wp:posOffset>8255</wp:posOffset>
            </wp:positionV>
            <wp:extent cx="4679950" cy="5106035"/>
            <wp:effectExtent l="0" t="0" r="0" b="0"/>
            <wp:wrapTight wrapText="bothSides">
              <wp:wrapPolygon edited="0">
                <wp:start x="967" y="967"/>
                <wp:lineTo x="791" y="2418"/>
                <wp:lineTo x="791" y="8703"/>
                <wp:lineTo x="1143" y="8865"/>
                <wp:lineTo x="703" y="9268"/>
                <wp:lineTo x="703" y="11766"/>
                <wp:lineTo x="879" y="12088"/>
                <wp:lineTo x="8441" y="12733"/>
                <wp:lineTo x="5539" y="12733"/>
                <wp:lineTo x="3693" y="13216"/>
                <wp:lineTo x="3693" y="14022"/>
                <wp:lineTo x="2989" y="14747"/>
                <wp:lineTo x="2638" y="15231"/>
                <wp:lineTo x="791" y="16601"/>
                <wp:lineTo x="791" y="17084"/>
                <wp:lineTo x="4396" y="17890"/>
                <wp:lineTo x="6155" y="18051"/>
                <wp:lineTo x="4748" y="19180"/>
                <wp:lineTo x="4748" y="19502"/>
                <wp:lineTo x="7122" y="20227"/>
                <wp:lineTo x="8001" y="20389"/>
                <wp:lineTo x="8353" y="20389"/>
                <wp:lineTo x="8441" y="20227"/>
                <wp:lineTo x="9672" y="19180"/>
                <wp:lineTo x="12397" y="16601"/>
                <wp:lineTo x="14420" y="16601"/>
                <wp:lineTo x="17145" y="15876"/>
                <wp:lineTo x="17145" y="15312"/>
                <wp:lineTo x="19607" y="13055"/>
                <wp:lineTo x="19167" y="12733"/>
                <wp:lineTo x="15914" y="12733"/>
                <wp:lineTo x="19607" y="12249"/>
                <wp:lineTo x="20926" y="11927"/>
                <wp:lineTo x="20398" y="11443"/>
                <wp:lineTo x="20486" y="4674"/>
                <wp:lineTo x="20223" y="4352"/>
                <wp:lineTo x="19343" y="3707"/>
                <wp:lineTo x="20135" y="2982"/>
                <wp:lineTo x="19695" y="2579"/>
                <wp:lineTo x="4132" y="2418"/>
                <wp:lineTo x="4220" y="1612"/>
                <wp:lineTo x="3605" y="1209"/>
                <wp:lineTo x="1846" y="967"/>
                <wp:lineTo x="967" y="96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0" cy="510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ACC35" w14:textId="77777777" w:rsidR="00695C79" w:rsidRDefault="00695C79" w:rsidP="00695C79">
      <w:pPr>
        <w:bidi w:val="0"/>
        <w:jc w:val="both"/>
      </w:pPr>
    </w:p>
    <w:p w14:paraId="0B58F675" w14:textId="77777777" w:rsidR="00695C79" w:rsidRDefault="00695C79" w:rsidP="00695C79">
      <w:pPr>
        <w:bidi w:val="0"/>
        <w:jc w:val="both"/>
      </w:pPr>
    </w:p>
    <w:p w14:paraId="6EF39AE0" w14:textId="77777777" w:rsidR="00695C79" w:rsidRDefault="00695C79" w:rsidP="00695C79">
      <w:pPr>
        <w:bidi w:val="0"/>
        <w:jc w:val="both"/>
      </w:pPr>
    </w:p>
    <w:p w14:paraId="1289824E" w14:textId="77777777" w:rsidR="00695C79" w:rsidRDefault="00695C79" w:rsidP="00695C79">
      <w:pPr>
        <w:bidi w:val="0"/>
        <w:jc w:val="both"/>
      </w:pPr>
    </w:p>
    <w:p w14:paraId="4058B8C9" w14:textId="77777777" w:rsidR="00695C79" w:rsidRDefault="00695C79" w:rsidP="00695C79">
      <w:pPr>
        <w:bidi w:val="0"/>
        <w:jc w:val="both"/>
      </w:pPr>
    </w:p>
    <w:p w14:paraId="26B5D7AE" w14:textId="77777777" w:rsidR="00695C79" w:rsidRDefault="00695C79" w:rsidP="00695C79">
      <w:pPr>
        <w:bidi w:val="0"/>
        <w:jc w:val="both"/>
      </w:pPr>
    </w:p>
    <w:p w14:paraId="291FEDD4" w14:textId="77777777" w:rsidR="00695C79" w:rsidRDefault="00695C79" w:rsidP="00695C79">
      <w:pPr>
        <w:bidi w:val="0"/>
        <w:jc w:val="both"/>
      </w:pPr>
    </w:p>
    <w:p w14:paraId="48F399A9" w14:textId="77777777" w:rsidR="00695C79" w:rsidRDefault="00695C79" w:rsidP="00695C79">
      <w:pPr>
        <w:bidi w:val="0"/>
        <w:jc w:val="both"/>
      </w:pPr>
    </w:p>
    <w:p w14:paraId="445AB259" w14:textId="77777777" w:rsidR="00695C79" w:rsidRDefault="00695C79" w:rsidP="00695C79">
      <w:pPr>
        <w:bidi w:val="0"/>
        <w:jc w:val="both"/>
      </w:pPr>
    </w:p>
    <w:p w14:paraId="6678E4E2" w14:textId="77777777" w:rsidR="00695C79" w:rsidRDefault="00695C79" w:rsidP="00695C79">
      <w:pPr>
        <w:bidi w:val="0"/>
        <w:jc w:val="both"/>
      </w:pPr>
    </w:p>
    <w:p w14:paraId="46F1A92A" w14:textId="77777777" w:rsidR="00695C79" w:rsidRDefault="00695C79" w:rsidP="00695C79">
      <w:pPr>
        <w:bidi w:val="0"/>
        <w:jc w:val="both"/>
      </w:pPr>
    </w:p>
    <w:p w14:paraId="3FF37BC9" w14:textId="77777777" w:rsidR="00695C79" w:rsidRDefault="00695C79" w:rsidP="00695C79">
      <w:pPr>
        <w:bidi w:val="0"/>
        <w:jc w:val="both"/>
      </w:pPr>
    </w:p>
    <w:p w14:paraId="7AE0AB74" w14:textId="77777777" w:rsidR="00695C79" w:rsidRDefault="00695C79" w:rsidP="00695C79">
      <w:pPr>
        <w:bidi w:val="0"/>
        <w:jc w:val="both"/>
      </w:pPr>
    </w:p>
    <w:p w14:paraId="181E6E64" w14:textId="77777777" w:rsidR="00695C79" w:rsidRPr="00F06082" w:rsidRDefault="00695C79" w:rsidP="00695C79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27D9F82" w14:textId="3CBE260A" w:rsidR="00695C79" w:rsidRDefault="00695C79" w:rsidP="00695C79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F06082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1S</w:t>
      </w:r>
      <w:r w:rsidRPr="00F06082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F06082">
        <w:rPr>
          <w:rFonts w:asciiTheme="majorBidi" w:hAnsiTheme="majorBidi" w:cstheme="majorBidi"/>
          <w:sz w:val="24"/>
          <w:szCs w:val="24"/>
        </w:rPr>
        <w:t xml:space="preserve">MetAp2 expression levels are higher in metastatic cancer sites versus primary cancer sites. Samples were visualized using a fluorescent microscope (Olympus IX-73). Analysis of tissue staining was performed by using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F06082">
        <w:rPr>
          <w:rFonts w:asciiTheme="majorBidi" w:hAnsiTheme="majorBidi" w:cstheme="majorBidi"/>
          <w:sz w:val="24"/>
          <w:szCs w:val="24"/>
        </w:rPr>
        <w:t xml:space="preserve">ImageJ analysis program. The fluorescently dyed tissue staining intensities were </w:t>
      </w:r>
      <w:r>
        <w:rPr>
          <w:rFonts w:asciiTheme="majorBidi" w:hAnsiTheme="majorBidi" w:cstheme="majorBidi"/>
          <w:sz w:val="24"/>
          <w:szCs w:val="24"/>
        </w:rPr>
        <w:t>assessed</w:t>
      </w:r>
      <w:r w:rsidRPr="00F06082">
        <w:rPr>
          <w:rFonts w:asciiTheme="majorBidi" w:hAnsiTheme="majorBidi" w:cstheme="majorBidi"/>
          <w:sz w:val="24"/>
          <w:szCs w:val="24"/>
        </w:rPr>
        <w:t xml:space="preserve"> for the different marks by an evaluation of pixels stained per area</w:t>
      </w:r>
      <w:r>
        <w:rPr>
          <w:rFonts w:asciiTheme="majorBidi" w:hAnsiTheme="majorBidi" w:cstheme="majorBidi"/>
          <w:sz w:val="24"/>
          <w:szCs w:val="24"/>
        </w:rPr>
        <w:t>,</w:t>
      </w:r>
      <w:r w:rsidRPr="00F06082">
        <w:rPr>
          <w:rFonts w:asciiTheme="majorBidi" w:hAnsiTheme="majorBidi" w:cstheme="majorBidi"/>
          <w:sz w:val="24"/>
          <w:szCs w:val="24"/>
        </w:rPr>
        <w:t xml:space="preserve"> followed by </w:t>
      </w:r>
      <w:r>
        <w:rPr>
          <w:rFonts w:asciiTheme="majorBidi" w:hAnsiTheme="majorBidi" w:cstheme="majorBidi"/>
          <w:sz w:val="24"/>
          <w:szCs w:val="24"/>
        </w:rPr>
        <w:t>normalizing</w:t>
      </w:r>
      <w:r w:rsidRPr="00F06082">
        <w:rPr>
          <w:rFonts w:asciiTheme="majorBidi" w:hAnsiTheme="majorBidi" w:cstheme="majorBidi"/>
          <w:sz w:val="24"/>
          <w:szCs w:val="24"/>
        </w:rPr>
        <w:t xml:space="preserve"> the number of cells represented by blue DAPI nuclei staining. Metastatic tissue sites express</w:t>
      </w:r>
      <w:r>
        <w:rPr>
          <w:rFonts w:asciiTheme="majorBidi" w:hAnsiTheme="majorBidi" w:cstheme="majorBidi"/>
          <w:sz w:val="24"/>
          <w:szCs w:val="24"/>
        </w:rPr>
        <w:t>ed</w:t>
      </w:r>
      <w:r w:rsidRPr="00F06082">
        <w:rPr>
          <w:rFonts w:asciiTheme="majorBidi" w:hAnsiTheme="majorBidi" w:cstheme="majorBidi"/>
          <w:sz w:val="24"/>
          <w:szCs w:val="24"/>
        </w:rPr>
        <w:t xml:space="preserve"> significantly higher levels of MetAp2 compared with primary sites in patients with cancer stages I or II and III or IV, displaying &gt;40% and &gt;70% higher levels, respectively. The data was divided into 4 main groups: normal tissue, normal tissue adjacent to the tumor (NAT), primary tissue (stages I-IV) and metastatic tissues. n=7-50. *p&lt;0.05 and ***p&lt;0.001, compared with normal tissues. Results are presented as mean ± SEM.</w:t>
      </w:r>
    </w:p>
    <w:p w14:paraId="16689BA9" w14:textId="2C1EF3AF" w:rsidR="00F06082" w:rsidRDefault="00F06082" w:rsidP="00AF3FC0">
      <w:pPr>
        <w:bidi w:val="0"/>
        <w:jc w:val="both"/>
      </w:pPr>
    </w:p>
    <w:p w14:paraId="13DAC48A" w14:textId="0AA42D34" w:rsidR="00F06082" w:rsidRDefault="00F06082" w:rsidP="00AF3FC0">
      <w:pPr>
        <w:bidi w:val="0"/>
        <w:jc w:val="both"/>
      </w:pPr>
    </w:p>
    <w:p w14:paraId="268B6893" w14:textId="3A773972" w:rsidR="00650275" w:rsidRDefault="00695C79" w:rsidP="00AF3FC0">
      <w:pPr>
        <w:bidi w:val="0"/>
        <w:jc w:val="both"/>
      </w:pPr>
      <w:r>
        <w:rPr>
          <w:noProof/>
        </w:rPr>
        <w:lastRenderedPageBreak/>
        <w:drawing>
          <wp:anchor distT="0" distB="0" distL="114300" distR="114300" simplePos="0" relativeHeight="251656704" behindDoc="1" locked="0" layoutInCell="1" allowOverlap="1" wp14:anchorId="05D84234" wp14:editId="7647AF54">
            <wp:simplePos x="0" y="0"/>
            <wp:positionH relativeFrom="column">
              <wp:posOffset>-31652</wp:posOffset>
            </wp:positionH>
            <wp:positionV relativeFrom="paragraph">
              <wp:posOffset>161193</wp:posOffset>
            </wp:positionV>
            <wp:extent cx="5381625" cy="5420360"/>
            <wp:effectExtent l="0" t="0" r="9525" b="0"/>
            <wp:wrapTight wrapText="bothSides">
              <wp:wrapPolygon edited="0">
                <wp:start x="153" y="0"/>
                <wp:lineTo x="153" y="6225"/>
                <wp:lineTo x="459" y="8654"/>
                <wp:lineTo x="382" y="9413"/>
                <wp:lineTo x="994" y="9869"/>
                <wp:lineTo x="1988" y="9869"/>
                <wp:lineTo x="153" y="10628"/>
                <wp:lineTo x="306" y="10932"/>
                <wp:lineTo x="841" y="11235"/>
                <wp:lineTo x="382" y="11235"/>
                <wp:lineTo x="153" y="17157"/>
                <wp:lineTo x="382" y="21256"/>
                <wp:lineTo x="2523" y="21332"/>
                <wp:lineTo x="10475" y="21484"/>
                <wp:lineTo x="10781" y="21484"/>
                <wp:lineTo x="12234" y="21332"/>
                <wp:lineTo x="12769" y="21180"/>
                <wp:lineTo x="12769" y="20497"/>
                <wp:lineTo x="11851" y="19813"/>
                <wp:lineTo x="10857" y="19586"/>
                <wp:lineTo x="10781" y="18599"/>
                <wp:lineTo x="10475" y="18371"/>
                <wp:lineTo x="10781" y="17157"/>
                <wp:lineTo x="21562" y="16321"/>
                <wp:lineTo x="21562" y="6225"/>
                <wp:lineTo x="14986" y="6225"/>
                <wp:lineTo x="21562" y="5390"/>
                <wp:lineTo x="21562" y="455"/>
                <wp:lineTo x="535" y="0"/>
                <wp:lineTo x="15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5420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4D73D" w14:textId="1FEF2F6E" w:rsidR="00F06082" w:rsidRDefault="00F06082" w:rsidP="00AF3FC0">
      <w:pPr>
        <w:bidi w:val="0"/>
        <w:jc w:val="both"/>
      </w:pPr>
    </w:p>
    <w:p w14:paraId="7AC07F7E" w14:textId="77777777" w:rsidR="00695C79" w:rsidRDefault="00695C79" w:rsidP="00AF3FC0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EB257FB" w14:textId="77777777" w:rsidR="00695C79" w:rsidRDefault="00695C79" w:rsidP="00695C79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CBAA389" w14:textId="77777777" w:rsidR="00695C79" w:rsidRDefault="00695C79" w:rsidP="00695C79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9EABF9C" w14:textId="167A72F5" w:rsidR="00F06082" w:rsidRDefault="00F06082" w:rsidP="00695C79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F06082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2S</w:t>
      </w:r>
      <w:r w:rsidRPr="00F06082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F06082">
        <w:rPr>
          <w:rFonts w:asciiTheme="majorBidi" w:hAnsiTheme="majorBidi" w:cstheme="majorBidi"/>
          <w:sz w:val="24"/>
          <w:szCs w:val="24"/>
        </w:rPr>
        <w:t>Tissue samples obtained from human pancreatic-cancer patients express</w:t>
      </w:r>
      <w:r w:rsidR="00DD49C7">
        <w:rPr>
          <w:rFonts w:asciiTheme="majorBidi" w:hAnsiTheme="majorBidi" w:cstheme="majorBidi"/>
          <w:sz w:val="24"/>
          <w:szCs w:val="24"/>
        </w:rPr>
        <w:t>ed</w:t>
      </w:r>
      <w:r w:rsidRPr="00F06082">
        <w:rPr>
          <w:rFonts w:asciiTheme="majorBidi" w:hAnsiTheme="majorBidi" w:cstheme="majorBidi"/>
          <w:sz w:val="24"/>
          <w:szCs w:val="24"/>
        </w:rPr>
        <w:t xml:space="preserve"> high levels of TME components.</w:t>
      </w:r>
      <w:r w:rsidRPr="00F0608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06082">
        <w:rPr>
          <w:rFonts w:asciiTheme="majorBidi" w:hAnsiTheme="majorBidi" w:cstheme="majorBidi"/>
          <w:sz w:val="24"/>
          <w:szCs w:val="24"/>
        </w:rPr>
        <w:t>(</w:t>
      </w:r>
      <w:r w:rsidR="006146EA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F06082">
        <w:rPr>
          <w:rFonts w:asciiTheme="majorBidi" w:hAnsiTheme="majorBidi" w:cstheme="majorBidi"/>
          <w:sz w:val="24"/>
          <w:szCs w:val="24"/>
        </w:rPr>
        <w:t>) Pancreatic-cancer tissues stained with anti-fibroblasts (red)</w:t>
      </w:r>
      <w:r w:rsidR="00DD49C7">
        <w:rPr>
          <w:rFonts w:asciiTheme="majorBidi" w:hAnsiTheme="majorBidi" w:cstheme="majorBidi"/>
          <w:sz w:val="24"/>
          <w:szCs w:val="24"/>
        </w:rPr>
        <w:t xml:space="preserve"> and</w:t>
      </w:r>
      <w:r w:rsidRPr="00F06082">
        <w:rPr>
          <w:rFonts w:asciiTheme="majorBidi" w:hAnsiTheme="majorBidi" w:cstheme="majorBidi"/>
          <w:sz w:val="24"/>
          <w:szCs w:val="24"/>
        </w:rPr>
        <w:t xml:space="preserve"> anti-CD31 (green and DAPI (blue). (</w:t>
      </w:r>
      <w:r w:rsidR="006146EA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F06082">
        <w:rPr>
          <w:rFonts w:asciiTheme="majorBidi" w:hAnsiTheme="majorBidi" w:cstheme="majorBidi"/>
          <w:sz w:val="24"/>
          <w:szCs w:val="24"/>
        </w:rPr>
        <w:t>) A higher expression level of CD31 and fibroblasts in metastatic cancer organs versus the primary sites. (</w:t>
      </w:r>
      <w:r w:rsidR="006146EA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F06082">
        <w:rPr>
          <w:rFonts w:asciiTheme="majorBidi" w:hAnsiTheme="majorBidi" w:cstheme="majorBidi"/>
          <w:sz w:val="24"/>
          <w:szCs w:val="24"/>
        </w:rPr>
        <w:t>) Pancreatic patient-derived cancer tissues stained with anti-collagen IV (red) and DAPI (blue). (</w:t>
      </w:r>
      <w:r w:rsidR="006146EA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F06082">
        <w:rPr>
          <w:rFonts w:asciiTheme="majorBidi" w:hAnsiTheme="majorBidi" w:cstheme="majorBidi"/>
          <w:sz w:val="24"/>
          <w:szCs w:val="24"/>
        </w:rPr>
        <w:t>) Tissue specimens stained with anti-hyaluronic acid (red) and DAPI (blue). (</w:t>
      </w:r>
      <w:r w:rsidR="006146EA"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F06082">
        <w:rPr>
          <w:rFonts w:asciiTheme="majorBidi" w:hAnsiTheme="majorBidi" w:cstheme="majorBidi"/>
          <w:sz w:val="24"/>
          <w:szCs w:val="24"/>
        </w:rPr>
        <w:t xml:space="preserve">) Higher expression levels of collagen type IV and hyaluronate in primary PDA sites compared with metastatic sites and NAT. Samples were visualized using a fluorescent microscope (Olympus IX-73). Analysis of tissue staining was performed by using ImageJ analysis program. The </w:t>
      </w:r>
      <w:r w:rsidR="002F291C">
        <w:rPr>
          <w:rFonts w:asciiTheme="majorBidi" w:hAnsiTheme="majorBidi" w:cstheme="majorBidi"/>
          <w:sz w:val="24"/>
          <w:szCs w:val="24"/>
        </w:rPr>
        <w:t>t</w:t>
      </w:r>
      <w:r w:rsidRPr="00F06082">
        <w:rPr>
          <w:rFonts w:asciiTheme="majorBidi" w:hAnsiTheme="majorBidi" w:cstheme="majorBidi"/>
          <w:sz w:val="24"/>
          <w:szCs w:val="24"/>
        </w:rPr>
        <w:t xml:space="preserve">issue staining intensities were </w:t>
      </w:r>
      <w:r w:rsidR="002F291C">
        <w:rPr>
          <w:rFonts w:asciiTheme="majorBidi" w:hAnsiTheme="majorBidi" w:cstheme="majorBidi"/>
          <w:sz w:val="24"/>
          <w:szCs w:val="24"/>
        </w:rPr>
        <w:t>assessed</w:t>
      </w:r>
      <w:r w:rsidRPr="00F06082">
        <w:rPr>
          <w:rFonts w:asciiTheme="majorBidi" w:hAnsiTheme="majorBidi" w:cstheme="majorBidi"/>
          <w:sz w:val="24"/>
          <w:szCs w:val="24"/>
        </w:rPr>
        <w:t xml:space="preserve"> for the different marks by an evaluation of pixels stained per area</w:t>
      </w:r>
      <w:r w:rsidR="00DD49C7">
        <w:rPr>
          <w:rFonts w:asciiTheme="majorBidi" w:hAnsiTheme="majorBidi" w:cstheme="majorBidi"/>
          <w:sz w:val="24"/>
          <w:szCs w:val="24"/>
        </w:rPr>
        <w:t>,</w:t>
      </w:r>
      <w:r w:rsidRPr="00F06082">
        <w:rPr>
          <w:rFonts w:asciiTheme="majorBidi" w:hAnsiTheme="majorBidi" w:cstheme="majorBidi"/>
          <w:sz w:val="24"/>
          <w:szCs w:val="24"/>
        </w:rPr>
        <w:t xml:space="preserve"> followed by </w:t>
      </w:r>
      <w:r w:rsidR="00DD49C7">
        <w:rPr>
          <w:rFonts w:asciiTheme="majorBidi" w:hAnsiTheme="majorBidi" w:cstheme="majorBidi"/>
          <w:sz w:val="24"/>
          <w:szCs w:val="24"/>
        </w:rPr>
        <w:t>normalizing</w:t>
      </w:r>
      <w:r w:rsidRPr="00F06082">
        <w:rPr>
          <w:rFonts w:asciiTheme="majorBidi" w:hAnsiTheme="majorBidi" w:cstheme="majorBidi"/>
          <w:sz w:val="24"/>
          <w:szCs w:val="24"/>
        </w:rPr>
        <w:t xml:space="preserve"> the number of cells represented by blue DAPI nuclei staining. The data was divided into </w:t>
      </w:r>
      <w:r w:rsidR="002F291C">
        <w:rPr>
          <w:rFonts w:asciiTheme="majorBidi" w:hAnsiTheme="majorBidi" w:cstheme="majorBidi"/>
          <w:sz w:val="24"/>
          <w:szCs w:val="24"/>
        </w:rPr>
        <w:t>three</w:t>
      </w:r>
      <w:r w:rsidR="00DD49C7" w:rsidRPr="00F06082">
        <w:rPr>
          <w:rFonts w:asciiTheme="majorBidi" w:hAnsiTheme="majorBidi" w:cstheme="majorBidi"/>
          <w:sz w:val="24"/>
          <w:szCs w:val="24"/>
        </w:rPr>
        <w:t xml:space="preserve"> </w:t>
      </w:r>
      <w:r w:rsidRPr="00F06082">
        <w:rPr>
          <w:rFonts w:asciiTheme="majorBidi" w:hAnsiTheme="majorBidi" w:cstheme="majorBidi"/>
          <w:sz w:val="24"/>
          <w:szCs w:val="24"/>
        </w:rPr>
        <w:t xml:space="preserve">main groups: normal tissue adjacent to the tumor (NAT), primary tissue (stages I-IV) and metastatic tissues. n=7-50. *p&lt;0.05, compared with normal tissues. Results are presented as mean ± SEM. Scale bar = 100 </w:t>
      </w:r>
      <w:r w:rsidRPr="00F06082">
        <w:rPr>
          <w:rFonts w:asciiTheme="majorBidi" w:hAnsiTheme="majorBidi" w:cstheme="majorBidi"/>
          <w:sz w:val="24"/>
          <w:szCs w:val="24"/>
          <w:lang w:val="el-GR"/>
        </w:rPr>
        <w:t>μ</w:t>
      </w:r>
      <w:r w:rsidRPr="00F06082">
        <w:rPr>
          <w:rFonts w:asciiTheme="majorBidi" w:hAnsiTheme="majorBidi" w:cstheme="majorBidi"/>
          <w:sz w:val="24"/>
          <w:szCs w:val="24"/>
        </w:rPr>
        <w:t>m.</w:t>
      </w:r>
    </w:p>
    <w:p w14:paraId="359ADE89" w14:textId="2950D0F4" w:rsidR="00396DA5" w:rsidRDefault="00156C2A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anchor distT="0" distB="0" distL="114300" distR="114300" simplePos="0" relativeHeight="251658752" behindDoc="1" locked="0" layoutInCell="1" allowOverlap="1" wp14:anchorId="33846D1D" wp14:editId="56AE7710">
            <wp:simplePos x="0" y="0"/>
            <wp:positionH relativeFrom="column">
              <wp:posOffset>-342</wp:posOffset>
            </wp:positionH>
            <wp:positionV relativeFrom="paragraph">
              <wp:posOffset>5618</wp:posOffset>
            </wp:positionV>
            <wp:extent cx="5579745" cy="5692775"/>
            <wp:effectExtent l="0" t="0" r="0" b="3175"/>
            <wp:wrapTight wrapText="bothSides">
              <wp:wrapPolygon edited="0">
                <wp:start x="295" y="72"/>
                <wp:lineTo x="295" y="506"/>
                <wp:lineTo x="1917" y="1373"/>
                <wp:lineTo x="2434" y="1373"/>
                <wp:lineTo x="1770" y="2530"/>
                <wp:lineTo x="959" y="3036"/>
                <wp:lineTo x="811" y="3180"/>
                <wp:lineTo x="1106" y="4843"/>
                <wp:lineTo x="1032" y="5999"/>
                <wp:lineTo x="1106" y="6433"/>
                <wp:lineTo x="1475" y="7156"/>
                <wp:lineTo x="1770" y="7156"/>
                <wp:lineTo x="221" y="8095"/>
                <wp:lineTo x="811" y="9469"/>
                <wp:lineTo x="811" y="10625"/>
                <wp:lineTo x="295" y="10770"/>
                <wp:lineTo x="442" y="11204"/>
                <wp:lineTo x="2434" y="11782"/>
                <wp:lineTo x="2360" y="12938"/>
                <wp:lineTo x="1991" y="13011"/>
                <wp:lineTo x="885" y="13950"/>
                <wp:lineTo x="885" y="14890"/>
                <wp:lineTo x="1180" y="15251"/>
                <wp:lineTo x="1106" y="15251"/>
                <wp:lineTo x="1106" y="16119"/>
                <wp:lineTo x="1844" y="16408"/>
                <wp:lineTo x="1180" y="16408"/>
                <wp:lineTo x="1032" y="16625"/>
                <wp:lineTo x="1180" y="17564"/>
                <wp:lineTo x="295" y="18721"/>
                <wp:lineTo x="811" y="19877"/>
                <wp:lineTo x="811" y="21540"/>
                <wp:lineTo x="20280" y="21540"/>
                <wp:lineTo x="20427" y="19516"/>
                <wp:lineTo x="811" y="18721"/>
                <wp:lineTo x="11799" y="18721"/>
                <wp:lineTo x="19174" y="18287"/>
                <wp:lineTo x="19100" y="16408"/>
                <wp:lineTo x="21386" y="15757"/>
                <wp:lineTo x="21386" y="15251"/>
                <wp:lineTo x="19100" y="15251"/>
                <wp:lineTo x="19248" y="13227"/>
                <wp:lineTo x="18953" y="13011"/>
                <wp:lineTo x="17551" y="12938"/>
                <wp:lineTo x="17625" y="11782"/>
                <wp:lineTo x="20280" y="10625"/>
                <wp:lineTo x="20354" y="8746"/>
                <wp:lineTo x="13274" y="8385"/>
                <wp:lineTo x="9439" y="8312"/>
                <wp:lineTo x="19100" y="7734"/>
                <wp:lineTo x="19026" y="7156"/>
                <wp:lineTo x="21239" y="6433"/>
                <wp:lineTo x="21239" y="5999"/>
                <wp:lineTo x="19026" y="5999"/>
                <wp:lineTo x="19026" y="2530"/>
                <wp:lineTo x="17404" y="1373"/>
                <wp:lineTo x="17551" y="940"/>
                <wp:lineTo x="11209" y="72"/>
                <wp:lineTo x="295" y="72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569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03B60B" w14:textId="152AE2F0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20C66D33" w14:textId="4E23DE33" w:rsidR="00F06082" w:rsidRDefault="00F06082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0E36BAFF" w14:textId="2E0EEECC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5FF28916" w14:textId="3ED4A86F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74F7928F" w14:textId="1CDFFA07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1E4DBF55" w14:textId="4D1D699B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6C25BA4E" w14:textId="3D8DD161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260DE69C" w14:textId="5CE82245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13753418" w14:textId="77777777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793E16F7" w14:textId="77777777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5B0A3CB9" w14:textId="77777777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481657D8" w14:textId="77777777" w:rsidR="00396DA5" w:rsidRDefault="00396DA5" w:rsidP="00AF3FC0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3AE4502E" w14:textId="0D2984D3" w:rsidR="00F06082" w:rsidRPr="00995BBD" w:rsidRDefault="00396DA5" w:rsidP="00995BBD">
      <w:pPr>
        <w:bidi w:val="0"/>
        <w:jc w:val="both"/>
        <w:rPr>
          <w:rFonts w:asciiTheme="majorBidi" w:hAnsiTheme="majorBidi" w:cstheme="majorBidi"/>
        </w:rPr>
      </w:pPr>
      <w:r w:rsidRPr="00396DA5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396DA5">
        <w:rPr>
          <w:rFonts w:asciiTheme="majorBidi" w:hAnsiTheme="majorBidi" w:cstheme="majorBidi"/>
          <w:b/>
          <w:bCs/>
          <w:sz w:val="24"/>
          <w:szCs w:val="24"/>
        </w:rPr>
        <w:t xml:space="preserve">S. </w:t>
      </w:r>
      <w:r w:rsidRPr="00396DA5">
        <w:rPr>
          <w:rFonts w:asciiTheme="majorBidi" w:hAnsiTheme="majorBidi" w:cstheme="majorBidi"/>
          <w:sz w:val="24"/>
          <w:szCs w:val="24"/>
        </w:rPr>
        <w:t xml:space="preserve">Basal </w:t>
      </w:r>
      <w:r w:rsidR="00AF3FC0" w:rsidRPr="00AF3FC0">
        <w:rPr>
          <w:rFonts w:asciiTheme="majorBidi" w:hAnsiTheme="majorBidi" w:cstheme="majorBidi"/>
          <w:sz w:val="24"/>
          <w:szCs w:val="24"/>
        </w:rPr>
        <w:t>MetAp1 and MetAp2 expression</w:t>
      </w:r>
      <w:r w:rsidR="006F318A">
        <w:rPr>
          <w:rFonts w:asciiTheme="majorBidi" w:hAnsiTheme="majorBidi" w:cstheme="majorBidi"/>
          <w:sz w:val="24"/>
          <w:szCs w:val="24"/>
        </w:rPr>
        <w:t xml:space="preserve"> levels</w:t>
      </w:r>
      <w:r w:rsidR="00AF3FC0" w:rsidRPr="00AF3FC0">
        <w:rPr>
          <w:rFonts w:asciiTheme="majorBidi" w:hAnsiTheme="majorBidi" w:cstheme="majorBidi"/>
          <w:sz w:val="24"/>
          <w:szCs w:val="24"/>
        </w:rPr>
        <w:t xml:space="preserve"> in pancreatic-cancer cells lines, patient-derived pancreatic cancer cells and endothelial cells</w:t>
      </w:r>
      <w:r w:rsidR="00AF3FC0" w:rsidRPr="000E00B0">
        <w:rPr>
          <w:rFonts w:asciiTheme="majorBidi" w:hAnsiTheme="majorBidi" w:cstheme="majorBidi"/>
          <w:sz w:val="24"/>
          <w:szCs w:val="24"/>
        </w:rPr>
        <w:t>.</w:t>
      </w:r>
      <w:r w:rsidR="00AF3FC0" w:rsidRPr="00AF3FC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F3FC0" w:rsidRPr="00AF3FC0">
        <w:rPr>
          <w:rFonts w:asciiTheme="majorBidi" w:hAnsiTheme="majorBidi" w:cstheme="majorBidi"/>
          <w:sz w:val="24"/>
          <w:szCs w:val="24"/>
        </w:rPr>
        <w:t>Original images of Western Blot results for determining the expression of MetAp1 and MetAp2 in HUVEC, PancOH7, PANC-1, AsPC-1, BxPC-</w:t>
      </w:r>
      <w:proofErr w:type="gramStart"/>
      <w:r w:rsidR="00AF3FC0" w:rsidRPr="00AF3FC0">
        <w:rPr>
          <w:rFonts w:asciiTheme="majorBidi" w:hAnsiTheme="majorBidi" w:cstheme="majorBidi"/>
          <w:sz w:val="24"/>
          <w:szCs w:val="24"/>
        </w:rPr>
        <w:t>3</w:t>
      </w:r>
      <w:proofErr w:type="gramEnd"/>
      <w:r w:rsidR="00AF3FC0" w:rsidRPr="00AF3FC0">
        <w:rPr>
          <w:rFonts w:asciiTheme="majorBidi" w:hAnsiTheme="majorBidi" w:cstheme="majorBidi"/>
          <w:sz w:val="24"/>
          <w:szCs w:val="24"/>
        </w:rPr>
        <w:t xml:space="preserve"> and PC cells.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AF3FC0" w:rsidRPr="00AF3FC0">
        <w:rPr>
          <w:rFonts w:asciiTheme="majorBidi" w:hAnsiTheme="majorBidi" w:cstheme="majorBidi"/>
          <w:sz w:val="24"/>
          <w:szCs w:val="24"/>
        </w:rPr>
        <w:t>) MetAp1 (Exposition of 120 sec) and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B</w:t>
      </w:r>
      <w:r w:rsidR="00AF3FC0" w:rsidRPr="00AF3FC0">
        <w:rPr>
          <w:rFonts w:asciiTheme="majorBidi" w:hAnsiTheme="majorBidi" w:cstheme="majorBidi"/>
          <w:sz w:val="24"/>
          <w:szCs w:val="24"/>
        </w:rPr>
        <w:t>) Cofilin of MetAp1 (Exposition of 60 sec) proteins were analyzed by Western blots.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AF3FC0" w:rsidRPr="00AF3FC0">
        <w:rPr>
          <w:rFonts w:asciiTheme="majorBidi" w:hAnsiTheme="majorBidi" w:cstheme="majorBidi"/>
          <w:sz w:val="24"/>
          <w:szCs w:val="24"/>
        </w:rPr>
        <w:t>) Table shows the densitometry readings/intensity ratio of MetAp1 in HUVEC, PancOH7, PANC-1, AsPC-1, BxPC-</w:t>
      </w:r>
      <w:proofErr w:type="gramStart"/>
      <w:r w:rsidR="00AF3FC0" w:rsidRPr="00AF3FC0">
        <w:rPr>
          <w:rFonts w:asciiTheme="majorBidi" w:hAnsiTheme="majorBidi" w:cstheme="majorBidi"/>
          <w:sz w:val="24"/>
          <w:szCs w:val="24"/>
        </w:rPr>
        <w:t>3</w:t>
      </w:r>
      <w:proofErr w:type="gramEnd"/>
      <w:r w:rsidR="00AF3FC0" w:rsidRPr="00AF3FC0">
        <w:rPr>
          <w:rFonts w:asciiTheme="majorBidi" w:hAnsiTheme="majorBidi" w:cstheme="majorBidi"/>
          <w:sz w:val="24"/>
          <w:szCs w:val="24"/>
        </w:rPr>
        <w:t xml:space="preserve"> and PC cells. Cofilin (19 </w:t>
      </w:r>
      <w:proofErr w:type="spellStart"/>
      <w:r w:rsidR="00AF3FC0" w:rsidRPr="00AF3FC0">
        <w:rPr>
          <w:rFonts w:asciiTheme="majorBidi" w:hAnsiTheme="majorBidi" w:cstheme="majorBidi"/>
          <w:sz w:val="24"/>
          <w:szCs w:val="24"/>
        </w:rPr>
        <w:t>kDa</w:t>
      </w:r>
      <w:proofErr w:type="spellEnd"/>
      <w:r w:rsidR="00AF3FC0" w:rsidRPr="00AF3FC0">
        <w:rPr>
          <w:rFonts w:asciiTheme="majorBidi" w:hAnsiTheme="majorBidi" w:cstheme="majorBidi"/>
          <w:sz w:val="24"/>
          <w:szCs w:val="24"/>
        </w:rPr>
        <w:t>) was used as an internal standard for equalizing the samples. The intensity of MetAp1 was divided by the intensity of cofilin.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D</w:t>
      </w:r>
      <w:r w:rsidR="00AF3FC0" w:rsidRPr="00AF3FC0">
        <w:rPr>
          <w:rFonts w:asciiTheme="majorBidi" w:hAnsiTheme="majorBidi" w:cstheme="majorBidi"/>
          <w:sz w:val="24"/>
          <w:szCs w:val="24"/>
        </w:rPr>
        <w:t>) MetAp2 (exposition of 120 sec) and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AF3FC0" w:rsidRPr="00AF3FC0">
        <w:rPr>
          <w:rFonts w:asciiTheme="majorBidi" w:hAnsiTheme="majorBidi" w:cstheme="majorBidi"/>
          <w:sz w:val="24"/>
          <w:szCs w:val="24"/>
        </w:rPr>
        <w:t xml:space="preserve">) </w:t>
      </w:r>
      <w:r w:rsidR="00AF3FC0" w:rsidRPr="00AF3FC0">
        <w:rPr>
          <w:rFonts w:asciiTheme="majorBidi" w:hAnsiTheme="majorBidi" w:cstheme="majorBidi"/>
          <w:sz w:val="24"/>
          <w:szCs w:val="24"/>
          <w:lang w:val="el-GR"/>
        </w:rPr>
        <w:t>β</w:t>
      </w:r>
      <w:r w:rsidR="00AF3FC0" w:rsidRPr="00AF3FC0">
        <w:rPr>
          <w:rFonts w:asciiTheme="majorBidi" w:hAnsiTheme="majorBidi" w:cstheme="majorBidi"/>
          <w:sz w:val="24"/>
          <w:szCs w:val="24"/>
        </w:rPr>
        <w:t>-actin of MetAp2 (exposition of 10 sec) proteins were analyzed by Western blots. (</w:t>
      </w:r>
      <w:r w:rsidR="00AE249D">
        <w:rPr>
          <w:rFonts w:asciiTheme="majorBidi" w:hAnsiTheme="majorBidi" w:cstheme="majorBidi"/>
          <w:b/>
          <w:bCs/>
          <w:sz w:val="24"/>
          <w:szCs w:val="24"/>
        </w:rPr>
        <w:t>F</w:t>
      </w:r>
      <w:r w:rsidR="00AF3FC0" w:rsidRPr="00AF3FC0">
        <w:rPr>
          <w:rFonts w:asciiTheme="majorBidi" w:hAnsiTheme="majorBidi" w:cstheme="majorBidi"/>
          <w:sz w:val="24"/>
          <w:szCs w:val="24"/>
        </w:rPr>
        <w:t>) Table shows the densitometry readings/intensity ratio of MetAp2 in HUVEC, PancOH7, PANC-1, AsPC-1, BxPC-</w:t>
      </w:r>
      <w:proofErr w:type="gramStart"/>
      <w:r w:rsidR="00AF3FC0" w:rsidRPr="00AF3FC0">
        <w:rPr>
          <w:rFonts w:asciiTheme="majorBidi" w:hAnsiTheme="majorBidi" w:cstheme="majorBidi"/>
          <w:sz w:val="24"/>
          <w:szCs w:val="24"/>
        </w:rPr>
        <w:t>3</w:t>
      </w:r>
      <w:proofErr w:type="gramEnd"/>
      <w:r w:rsidR="00AF3FC0" w:rsidRPr="00AF3FC0">
        <w:rPr>
          <w:rFonts w:asciiTheme="majorBidi" w:hAnsiTheme="majorBidi" w:cstheme="majorBidi"/>
          <w:sz w:val="24"/>
          <w:szCs w:val="24"/>
        </w:rPr>
        <w:t xml:space="preserve"> and PC cells. </w:t>
      </w:r>
      <w:r w:rsidR="00AF3FC0" w:rsidRPr="00AF3FC0">
        <w:rPr>
          <w:rFonts w:asciiTheme="majorBidi" w:hAnsiTheme="majorBidi" w:cstheme="majorBidi"/>
          <w:sz w:val="24"/>
          <w:szCs w:val="24"/>
          <w:lang w:val="el-GR"/>
        </w:rPr>
        <w:t>β</w:t>
      </w:r>
      <w:r w:rsidR="00AF3FC0" w:rsidRPr="00AF3FC0">
        <w:rPr>
          <w:rFonts w:asciiTheme="majorBidi" w:hAnsiTheme="majorBidi" w:cstheme="majorBidi"/>
          <w:sz w:val="24"/>
          <w:szCs w:val="24"/>
        </w:rPr>
        <w:t xml:space="preserve">-actin (42 </w:t>
      </w:r>
      <w:proofErr w:type="spellStart"/>
      <w:r w:rsidR="00AF3FC0" w:rsidRPr="00AF3FC0">
        <w:rPr>
          <w:rFonts w:asciiTheme="majorBidi" w:hAnsiTheme="majorBidi" w:cstheme="majorBidi"/>
          <w:sz w:val="24"/>
          <w:szCs w:val="24"/>
        </w:rPr>
        <w:t>kDa</w:t>
      </w:r>
      <w:proofErr w:type="spellEnd"/>
      <w:r w:rsidR="00AF3FC0" w:rsidRPr="00AF3FC0">
        <w:rPr>
          <w:rFonts w:asciiTheme="majorBidi" w:hAnsiTheme="majorBidi" w:cstheme="majorBidi"/>
          <w:sz w:val="24"/>
          <w:szCs w:val="24"/>
        </w:rPr>
        <w:t xml:space="preserve">) was used as an internal standard for equalizing the samples. The intensity of MetAp2 was divided by the intensity of </w:t>
      </w:r>
      <w:r w:rsidR="00AF3FC0" w:rsidRPr="00AF3FC0">
        <w:rPr>
          <w:rFonts w:asciiTheme="majorBidi" w:hAnsiTheme="majorBidi" w:cstheme="majorBidi"/>
          <w:sz w:val="24"/>
          <w:szCs w:val="24"/>
          <w:lang w:val="el-GR"/>
        </w:rPr>
        <w:t>β</w:t>
      </w:r>
      <w:r w:rsidR="00AF3FC0" w:rsidRPr="00AF3FC0">
        <w:rPr>
          <w:rFonts w:asciiTheme="majorBidi" w:hAnsiTheme="majorBidi" w:cstheme="majorBidi"/>
          <w:sz w:val="24"/>
          <w:szCs w:val="24"/>
        </w:rPr>
        <w:t xml:space="preserve">-actin. </w:t>
      </w:r>
    </w:p>
    <w:sectPr w:rsidR="00F06082" w:rsidRPr="00995BBD" w:rsidSect="003916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571B3"/>
    <w:rsid w:val="00037B0E"/>
    <w:rsid w:val="00057843"/>
    <w:rsid w:val="00094A27"/>
    <w:rsid w:val="000E00B0"/>
    <w:rsid w:val="000E01BF"/>
    <w:rsid w:val="00156C2A"/>
    <w:rsid w:val="001571B3"/>
    <w:rsid w:val="002F291C"/>
    <w:rsid w:val="00334427"/>
    <w:rsid w:val="00391651"/>
    <w:rsid w:val="00396DA5"/>
    <w:rsid w:val="00484A60"/>
    <w:rsid w:val="006146EA"/>
    <w:rsid w:val="00650275"/>
    <w:rsid w:val="00695C79"/>
    <w:rsid w:val="006F318A"/>
    <w:rsid w:val="009429AD"/>
    <w:rsid w:val="00995BBD"/>
    <w:rsid w:val="00AE249D"/>
    <w:rsid w:val="00AF3FC0"/>
    <w:rsid w:val="00D35619"/>
    <w:rsid w:val="00DD49C7"/>
    <w:rsid w:val="00E7488E"/>
    <w:rsid w:val="00F0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08D9C"/>
  <w15:chartTrackingRefBased/>
  <w15:docId w15:val="{50D8B7DD-E9D6-40E9-986A-FFEACC9F8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49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49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49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49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49C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F3F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3</Pages>
  <Words>546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Steinberg</dc:creator>
  <cp:keywords/>
  <dc:description/>
  <cp:lastModifiedBy>Eliana Steinberg</cp:lastModifiedBy>
  <cp:revision>14</cp:revision>
  <dcterms:created xsi:type="dcterms:W3CDTF">2021-05-06T14:32:00Z</dcterms:created>
  <dcterms:modified xsi:type="dcterms:W3CDTF">2021-08-29T16:46:00Z</dcterms:modified>
</cp:coreProperties>
</file>