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FA4B18" w14:textId="77777777" w:rsidR="005150C2" w:rsidRDefault="005150C2" w:rsidP="005150C2">
      <w:pPr>
        <w:jc w:val="both"/>
        <w:rPr>
          <w:rFonts w:ascii="Times New Roman" w:eastAsia="Times New Roman" w:hAnsi="Times New Roman" w:cs="Times New Roman"/>
          <w:b/>
          <w:bCs/>
        </w:rPr>
      </w:pPr>
      <w:r w:rsidRPr="22083A0C">
        <w:rPr>
          <w:rFonts w:ascii="Times New Roman" w:eastAsia="Times New Roman" w:hAnsi="Times New Roman" w:cs="Times New Roman"/>
          <w:b/>
          <w:bCs/>
        </w:rPr>
        <w:t>Appendices</w:t>
      </w:r>
    </w:p>
    <w:tbl>
      <w:tblPr>
        <w:tblpPr w:leftFromText="180" w:rightFromText="180" w:topFromText="180" w:bottomFromText="180" w:vertAnchor="text" w:tblpX="527"/>
        <w:tblW w:w="963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600" w:firstRow="0" w:lastRow="0" w:firstColumn="0" w:lastColumn="0" w:noHBand="1" w:noVBand="1"/>
      </w:tblPr>
      <w:tblGrid>
        <w:gridCol w:w="1920"/>
        <w:gridCol w:w="3840"/>
        <w:gridCol w:w="3870"/>
      </w:tblGrid>
      <w:tr w:rsidR="005150C2" w14:paraId="1F3E9201" w14:textId="77777777" w:rsidTr="004B4663">
        <w:trPr>
          <w:trHeight w:val="315"/>
          <w:tblHeader/>
        </w:trPr>
        <w:tc>
          <w:tcPr>
            <w:tcW w:w="9630" w:type="dxa"/>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1F3F4"/>
            <w:tcMar>
              <w:top w:w="0" w:type="dxa"/>
              <w:left w:w="0" w:type="dxa"/>
              <w:bottom w:w="0" w:type="dxa"/>
              <w:right w:w="0" w:type="dxa"/>
            </w:tcMar>
          </w:tcPr>
          <w:p w14:paraId="2A1FC112" w14:textId="77777777" w:rsidR="005150C2" w:rsidRDefault="005150C2" w:rsidP="004B4663">
            <w:pPr>
              <w:jc w:val="both"/>
            </w:pPr>
            <w:r>
              <w:rPr>
                <w:rFonts w:ascii="Times New Roman" w:eastAsia="Times New Roman" w:hAnsi="Times New Roman" w:cs="Times New Roman"/>
                <w:b/>
                <w:bCs/>
              </w:rPr>
              <w:lastRenderedPageBreak/>
              <w:t>Table 1:</w:t>
            </w:r>
            <w:r>
              <w:rPr>
                <w:rFonts w:ascii="Times New Roman" w:eastAsia="Times New Roman" w:hAnsi="Times New Roman" w:cs="Times New Roman"/>
              </w:rPr>
              <w:t xml:space="preserve"> Study eligibility criteria defined using the PECO framework.</w:t>
            </w:r>
          </w:p>
        </w:tc>
      </w:tr>
      <w:tr w:rsidR="005150C2" w14:paraId="393C22C3" w14:textId="77777777" w:rsidTr="004B4663">
        <w:trPr>
          <w:trHeight w:val="300"/>
        </w:trPr>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0" w:type="dxa"/>
              <w:bottom w:w="0" w:type="dxa"/>
              <w:right w:w="0" w:type="dxa"/>
            </w:tcMar>
          </w:tcPr>
          <w:p w14:paraId="3E73E843" w14:textId="77777777" w:rsidR="005150C2" w:rsidRDefault="005150C2" w:rsidP="004B4663">
            <w:pPr>
              <w:spacing w:after="0"/>
              <w:jc w:val="both"/>
              <w:rPr>
                <w:rFonts w:ascii="Times New Roman" w:eastAsia="Times New Roman" w:hAnsi="Times New Roman" w:cs="Times New Roman"/>
                <w:b/>
                <w:bCs/>
              </w:rPr>
            </w:pPr>
          </w:p>
        </w:tc>
        <w:tc>
          <w:tcPr>
            <w:tcW w:w="38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0" w:type="dxa"/>
              <w:bottom w:w="0" w:type="dxa"/>
              <w:right w:w="0" w:type="dxa"/>
            </w:tcMar>
          </w:tcPr>
          <w:p w14:paraId="7FA21925" w14:textId="77777777" w:rsidR="005150C2" w:rsidRDefault="005150C2" w:rsidP="004B4663">
            <w:pPr>
              <w:spacing w:after="0"/>
              <w:jc w:val="both"/>
              <w:rPr>
                <w:rFonts w:ascii="Times New Roman" w:eastAsia="Times New Roman" w:hAnsi="Times New Roman" w:cs="Times New Roman"/>
                <w:b/>
                <w:bCs/>
              </w:rPr>
            </w:pPr>
            <w:r>
              <w:rPr>
                <w:rFonts w:ascii="Times New Roman" w:eastAsia="Times New Roman" w:hAnsi="Times New Roman" w:cs="Times New Roman"/>
                <w:b/>
                <w:bCs/>
              </w:rPr>
              <w:t>Inclusion</w:t>
            </w:r>
          </w:p>
        </w:tc>
        <w:tc>
          <w:tcPr>
            <w:tcW w:w="38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0" w:type="dxa"/>
              <w:bottom w:w="0" w:type="dxa"/>
              <w:right w:w="0" w:type="dxa"/>
            </w:tcMar>
          </w:tcPr>
          <w:p w14:paraId="08AB933C" w14:textId="77777777" w:rsidR="005150C2" w:rsidRDefault="005150C2" w:rsidP="004B4663">
            <w:pPr>
              <w:spacing w:after="0"/>
              <w:jc w:val="both"/>
              <w:rPr>
                <w:rFonts w:ascii="Times New Roman" w:eastAsia="Times New Roman" w:hAnsi="Times New Roman" w:cs="Times New Roman"/>
                <w:b/>
                <w:bCs/>
              </w:rPr>
            </w:pPr>
            <w:r>
              <w:rPr>
                <w:rFonts w:ascii="Times New Roman" w:eastAsia="Times New Roman" w:hAnsi="Times New Roman" w:cs="Times New Roman"/>
                <w:b/>
                <w:bCs/>
              </w:rPr>
              <w:t>Exclusion</w:t>
            </w:r>
          </w:p>
        </w:tc>
      </w:tr>
      <w:tr w:rsidR="005150C2" w14:paraId="59526CC9" w14:textId="77777777" w:rsidTr="004B4663">
        <w:trPr>
          <w:trHeight w:val="2340"/>
        </w:trPr>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0" w:type="dxa"/>
              <w:bottom w:w="0" w:type="dxa"/>
              <w:right w:w="0" w:type="dxa"/>
            </w:tcMar>
          </w:tcPr>
          <w:p w14:paraId="530E74FF" w14:textId="77777777" w:rsidR="005150C2" w:rsidRDefault="005150C2" w:rsidP="004B4663">
            <w:pPr>
              <w:spacing w:after="0"/>
              <w:jc w:val="both"/>
              <w:rPr>
                <w:rFonts w:ascii="Times New Roman" w:eastAsia="Times New Roman" w:hAnsi="Times New Roman" w:cs="Times New Roman"/>
                <w:b/>
                <w:bCs/>
              </w:rPr>
            </w:pPr>
            <w:r>
              <w:rPr>
                <w:rFonts w:ascii="Times New Roman" w:eastAsia="Times New Roman" w:hAnsi="Times New Roman" w:cs="Times New Roman"/>
                <w:b/>
                <w:bCs/>
              </w:rPr>
              <w:t xml:space="preserve">Population (P) </w:t>
            </w:r>
          </w:p>
        </w:tc>
        <w:tc>
          <w:tcPr>
            <w:tcW w:w="38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0" w:type="dxa"/>
              <w:bottom w:w="0" w:type="dxa"/>
              <w:right w:w="0" w:type="dxa"/>
            </w:tcMar>
          </w:tcPr>
          <w:p w14:paraId="6CAB3286" w14:textId="77777777" w:rsidR="005150C2" w:rsidRDefault="005150C2" w:rsidP="004B4663">
            <w:pPr>
              <w:spacing w:after="0"/>
              <w:jc w:val="both"/>
              <w:rPr>
                <w:rFonts w:ascii="Times New Roman" w:eastAsia="Times New Roman" w:hAnsi="Times New Roman" w:cs="Times New Roman"/>
              </w:rPr>
            </w:pPr>
            <w:r>
              <w:rPr>
                <w:rFonts w:ascii="Times New Roman" w:eastAsia="Times New Roman" w:hAnsi="Times New Roman" w:cs="Times New Roman"/>
              </w:rPr>
              <w:t xml:space="preserve">Studies focused on human populations in Sub-Saharan Africa (SSA), particularly communities affected by cholera outbreaks </w:t>
            </w:r>
          </w:p>
        </w:tc>
        <w:tc>
          <w:tcPr>
            <w:tcW w:w="38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0" w:type="dxa"/>
              <w:bottom w:w="0" w:type="dxa"/>
              <w:right w:w="0" w:type="dxa"/>
            </w:tcMar>
          </w:tcPr>
          <w:p w14:paraId="7EBE415A" w14:textId="77777777" w:rsidR="005150C2" w:rsidRDefault="005150C2" w:rsidP="004B4663">
            <w:pPr>
              <w:spacing w:after="0"/>
              <w:jc w:val="both"/>
              <w:rPr>
                <w:rFonts w:ascii="Times New Roman" w:eastAsia="Times New Roman" w:hAnsi="Times New Roman" w:cs="Times New Roman"/>
              </w:rPr>
            </w:pPr>
            <w:r>
              <w:rPr>
                <w:rFonts w:ascii="Times New Roman" w:eastAsia="Times New Roman" w:hAnsi="Times New Roman" w:cs="Times New Roman"/>
              </w:rPr>
              <w:t xml:space="preserve">Studies conducted outside Sub-Saharan Africa (SSA), </w:t>
            </w:r>
          </w:p>
          <w:p w14:paraId="63DE1181" w14:textId="77777777" w:rsidR="005150C2" w:rsidRDefault="005150C2" w:rsidP="004B4663">
            <w:pPr>
              <w:spacing w:after="0"/>
              <w:jc w:val="both"/>
              <w:rPr>
                <w:rFonts w:ascii="Times New Roman" w:eastAsia="Times New Roman" w:hAnsi="Times New Roman" w:cs="Times New Roman"/>
              </w:rPr>
            </w:pPr>
            <w:r>
              <w:rPr>
                <w:rFonts w:ascii="Times New Roman" w:eastAsia="Times New Roman" w:hAnsi="Times New Roman" w:cs="Times New Roman"/>
              </w:rPr>
              <w:t xml:space="preserve">Studies focused exclusively on animal populations or laboratory strains without human/community data </w:t>
            </w:r>
          </w:p>
        </w:tc>
      </w:tr>
      <w:tr w:rsidR="005150C2" w14:paraId="0D5EA151" w14:textId="77777777" w:rsidTr="004B4663">
        <w:trPr>
          <w:trHeight w:val="3510"/>
        </w:trPr>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0" w:type="dxa"/>
              <w:bottom w:w="0" w:type="dxa"/>
              <w:right w:w="0" w:type="dxa"/>
            </w:tcMar>
          </w:tcPr>
          <w:p w14:paraId="4A243C93" w14:textId="77777777" w:rsidR="005150C2" w:rsidRDefault="005150C2" w:rsidP="004B4663">
            <w:pPr>
              <w:spacing w:after="0"/>
              <w:jc w:val="both"/>
              <w:rPr>
                <w:rFonts w:ascii="Times New Roman" w:eastAsia="Times New Roman" w:hAnsi="Times New Roman" w:cs="Times New Roman"/>
                <w:b/>
                <w:bCs/>
              </w:rPr>
            </w:pPr>
            <w:r>
              <w:rPr>
                <w:rFonts w:ascii="Times New Roman" w:eastAsia="Times New Roman" w:hAnsi="Times New Roman" w:cs="Times New Roman"/>
                <w:b/>
                <w:bCs/>
              </w:rPr>
              <w:t xml:space="preserve">Exposure (E) </w:t>
            </w:r>
          </w:p>
        </w:tc>
        <w:tc>
          <w:tcPr>
            <w:tcW w:w="38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0" w:type="dxa"/>
              <w:bottom w:w="0" w:type="dxa"/>
              <w:right w:w="0" w:type="dxa"/>
            </w:tcMar>
          </w:tcPr>
          <w:p w14:paraId="6B34C045" w14:textId="77777777" w:rsidR="005150C2" w:rsidRDefault="005150C2" w:rsidP="004B4663">
            <w:pPr>
              <w:spacing w:after="0"/>
              <w:jc w:val="both"/>
              <w:rPr>
                <w:rFonts w:ascii="Times New Roman" w:eastAsia="Times New Roman" w:hAnsi="Times New Roman" w:cs="Times New Roman"/>
              </w:rPr>
            </w:pPr>
            <w:r>
              <w:rPr>
                <w:rFonts w:ascii="Times New Roman" w:eastAsia="Times New Roman" w:hAnsi="Times New Roman" w:cs="Times New Roman"/>
              </w:rPr>
              <w:t xml:space="preserve">Studies examining environmental pollution sources linked to cholera outbreaks (e.g., contaminated water, sewage discharge, industrial pollution), </w:t>
            </w:r>
          </w:p>
          <w:p w14:paraId="61C11458" w14:textId="77777777" w:rsidR="005150C2" w:rsidRDefault="005150C2" w:rsidP="004B4663">
            <w:pPr>
              <w:spacing w:after="0"/>
              <w:jc w:val="both"/>
              <w:rPr>
                <w:rFonts w:ascii="Times New Roman" w:eastAsia="Times New Roman" w:hAnsi="Times New Roman" w:cs="Times New Roman"/>
              </w:rPr>
            </w:pPr>
            <w:r>
              <w:rPr>
                <w:rFonts w:ascii="Times New Roman" w:eastAsia="Times New Roman" w:hAnsi="Times New Roman" w:cs="Times New Roman"/>
              </w:rPr>
              <w:t xml:space="preserve">Studies describing exposure to waterborne pathogens in relation to environmental contamination </w:t>
            </w:r>
          </w:p>
        </w:tc>
        <w:tc>
          <w:tcPr>
            <w:tcW w:w="38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0" w:type="dxa"/>
              <w:bottom w:w="0" w:type="dxa"/>
              <w:right w:w="0" w:type="dxa"/>
            </w:tcMar>
          </w:tcPr>
          <w:p w14:paraId="473668C8" w14:textId="77777777" w:rsidR="005150C2" w:rsidRDefault="005150C2" w:rsidP="004B4663">
            <w:pPr>
              <w:spacing w:after="0"/>
              <w:jc w:val="both"/>
              <w:rPr>
                <w:rFonts w:ascii="Times New Roman" w:eastAsia="Times New Roman" w:hAnsi="Times New Roman" w:cs="Times New Roman"/>
              </w:rPr>
            </w:pPr>
            <w:r>
              <w:rPr>
                <w:rFonts w:ascii="Times New Roman" w:eastAsia="Times New Roman" w:hAnsi="Times New Roman" w:cs="Times New Roman"/>
              </w:rPr>
              <w:t xml:space="preserve">Studies without clear link to environmental pollution as a factor </w:t>
            </w:r>
          </w:p>
        </w:tc>
      </w:tr>
      <w:tr w:rsidR="005150C2" w14:paraId="38848170" w14:textId="77777777" w:rsidTr="004B4663">
        <w:trPr>
          <w:trHeight w:val="2625"/>
        </w:trPr>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0" w:type="dxa"/>
              <w:bottom w:w="0" w:type="dxa"/>
              <w:right w:w="0" w:type="dxa"/>
            </w:tcMar>
          </w:tcPr>
          <w:p w14:paraId="025F600B" w14:textId="77777777" w:rsidR="005150C2" w:rsidRDefault="005150C2" w:rsidP="004B4663">
            <w:pPr>
              <w:spacing w:after="0"/>
              <w:jc w:val="both"/>
              <w:rPr>
                <w:rFonts w:ascii="Times New Roman" w:eastAsia="Times New Roman" w:hAnsi="Times New Roman" w:cs="Times New Roman"/>
                <w:b/>
                <w:bCs/>
              </w:rPr>
            </w:pPr>
            <w:r>
              <w:rPr>
                <w:rFonts w:ascii="Times New Roman" w:eastAsia="Times New Roman" w:hAnsi="Times New Roman" w:cs="Times New Roman"/>
                <w:b/>
                <w:bCs/>
              </w:rPr>
              <w:t xml:space="preserve">Comparison (C) </w:t>
            </w:r>
          </w:p>
        </w:tc>
        <w:tc>
          <w:tcPr>
            <w:tcW w:w="38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0" w:type="dxa"/>
              <w:bottom w:w="0" w:type="dxa"/>
              <w:right w:w="0" w:type="dxa"/>
            </w:tcMar>
          </w:tcPr>
          <w:p w14:paraId="1FF441A4" w14:textId="77777777" w:rsidR="005150C2" w:rsidRDefault="005150C2" w:rsidP="004B4663">
            <w:pPr>
              <w:spacing w:after="0"/>
              <w:jc w:val="both"/>
              <w:rPr>
                <w:rFonts w:ascii="Times New Roman" w:eastAsia="Times New Roman" w:hAnsi="Times New Roman" w:cs="Times New Roman"/>
              </w:rPr>
            </w:pPr>
            <w:r>
              <w:rPr>
                <w:rFonts w:ascii="Times New Roman" w:eastAsia="Times New Roman" w:hAnsi="Times New Roman" w:cs="Times New Roman"/>
              </w:rPr>
              <w:t xml:space="preserve">Studies comparing outcomes in populations with differing pollution exposures (e.g., polluted vs. less polluted areas), </w:t>
            </w:r>
          </w:p>
          <w:p w14:paraId="7886FA88" w14:textId="77777777" w:rsidR="005150C2" w:rsidRDefault="005150C2" w:rsidP="004B4663">
            <w:pPr>
              <w:spacing w:after="0"/>
              <w:jc w:val="both"/>
              <w:rPr>
                <w:rFonts w:ascii="Times New Roman" w:eastAsia="Times New Roman" w:hAnsi="Times New Roman" w:cs="Times New Roman"/>
              </w:rPr>
            </w:pPr>
            <w:r>
              <w:rPr>
                <w:rFonts w:ascii="Times New Roman" w:eastAsia="Times New Roman" w:hAnsi="Times New Roman" w:cs="Times New Roman"/>
              </w:rPr>
              <w:t xml:space="preserve">Studies assessing pre- and post-intervention conditions or temporal comparisons </w:t>
            </w:r>
          </w:p>
        </w:tc>
        <w:tc>
          <w:tcPr>
            <w:tcW w:w="38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0" w:type="dxa"/>
              <w:bottom w:w="0" w:type="dxa"/>
              <w:right w:w="0" w:type="dxa"/>
            </w:tcMar>
          </w:tcPr>
          <w:p w14:paraId="6D462EF6" w14:textId="77777777" w:rsidR="005150C2" w:rsidRDefault="005150C2" w:rsidP="004B4663">
            <w:pPr>
              <w:spacing w:after="0"/>
              <w:jc w:val="both"/>
              <w:rPr>
                <w:rFonts w:ascii="Times New Roman" w:eastAsia="Times New Roman" w:hAnsi="Times New Roman" w:cs="Times New Roman"/>
              </w:rPr>
            </w:pPr>
            <w:r>
              <w:rPr>
                <w:rFonts w:ascii="Times New Roman" w:eastAsia="Times New Roman" w:hAnsi="Times New Roman" w:cs="Times New Roman"/>
              </w:rPr>
              <w:t xml:space="preserve">Studies without any comparison or baseline data (unless detailed descriptive data are provided) </w:t>
            </w:r>
          </w:p>
        </w:tc>
      </w:tr>
      <w:tr w:rsidR="005150C2" w14:paraId="179D9F26" w14:textId="77777777" w:rsidTr="004B4663">
        <w:trPr>
          <w:trHeight w:val="3510"/>
        </w:trPr>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0" w:type="dxa"/>
              <w:bottom w:w="0" w:type="dxa"/>
              <w:right w:w="0" w:type="dxa"/>
            </w:tcMar>
          </w:tcPr>
          <w:p w14:paraId="4E667915" w14:textId="77777777" w:rsidR="005150C2" w:rsidRDefault="005150C2" w:rsidP="004B4663">
            <w:pPr>
              <w:spacing w:after="0"/>
              <w:jc w:val="both"/>
              <w:rPr>
                <w:rFonts w:ascii="Times New Roman" w:eastAsia="Times New Roman" w:hAnsi="Times New Roman" w:cs="Times New Roman"/>
                <w:b/>
                <w:bCs/>
              </w:rPr>
            </w:pPr>
            <w:r>
              <w:rPr>
                <w:rFonts w:ascii="Times New Roman" w:eastAsia="Times New Roman" w:hAnsi="Times New Roman" w:cs="Times New Roman"/>
                <w:b/>
                <w:bCs/>
              </w:rPr>
              <w:t xml:space="preserve">Outcome (O) </w:t>
            </w:r>
          </w:p>
        </w:tc>
        <w:tc>
          <w:tcPr>
            <w:tcW w:w="38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0" w:type="dxa"/>
              <w:bottom w:w="0" w:type="dxa"/>
              <w:right w:w="0" w:type="dxa"/>
            </w:tcMar>
          </w:tcPr>
          <w:p w14:paraId="4C3FFAD6" w14:textId="77777777" w:rsidR="005150C2" w:rsidRDefault="005150C2" w:rsidP="004B4663">
            <w:pPr>
              <w:spacing w:after="0"/>
              <w:jc w:val="both"/>
              <w:rPr>
                <w:rFonts w:ascii="Times New Roman" w:eastAsia="Times New Roman" w:hAnsi="Times New Roman" w:cs="Times New Roman"/>
              </w:rPr>
            </w:pPr>
            <w:r>
              <w:rPr>
                <w:rFonts w:ascii="Times New Roman" w:eastAsia="Times New Roman" w:hAnsi="Times New Roman" w:cs="Times New Roman"/>
              </w:rPr>
              <w:t xml:space="preserve">Studies reporting cholera incidence, morbidity, or mortality, </w:t>
            </w:r>
          </w:p>
          <w:p w14:paraId="4D86C646" w14:textId="77777777" w:rsidR="005150C2" w:rsidRDefault="005150C2" w:rsidP="004B4663">
            <w:pPr>
              <w:spacing w:after="0"/>
              <w:jc w:val="both"/>
              <w:rPr>
                <w:rFonts w:ascii="Times New Roman" w:eastAsia="Times New Roman" w:hAnsi="Times New Roman" w:cs="Times New Roman"/>
              </w:rPr>
            </w:pPr>
            <w:r>
              <w:rPr>
                <w:rFonts w:ascii="Times New Roman" w:eastAsia="Times New Roman" w:hAnsi="Times New Roman" w:cs="Times New Roman"/>
              </w:rPr>
              <w:t xml:space="preserve">Studies describing public health interventions related to cholera control, </w:t>
            </w:r>
          </w:p>
          <w:p w14:paraId="46713FCD" w14:textId="77777777" w:rsidR="005150C2" w:rsidRDefault="005150C2" w:rsidP="004B4663">
            <w:pPr>
              <w:spacing w:after="0"/>
              <w:jc w:val="both"/>
              <w:rPr>
                <w:rFonts w:ascii="Times New Roman" w:eastAsia="Times New Roman" w:hAnsi="Times New Roman" w:cs="Times New Roman"/>
              </w:rPr>
            </w:pPr>
            <w:r>
              <w:rPr>
                <w:rFonts w:ascii="Times New Roman" w:eastAsia="Times New Roman" w:hAnsi="Times New Roman" w:cs="Times New Roman"/>
              </w:rPr>
              <w:t xml:space="preserve">Studies evaluating environmental and community-level socio-economic or health impacts of outbreaks/interventions </w:t>
            </w:r>
          </w:p>
        </w:tc>
        <w:tc>
          <w:tcPr>
            <w:tcW w:w="38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0" w:type="dxa"/>
              <w:bottom w:w="0" w:type="dxa"/>
              <w:right w:w="0" w:type="dxa"/>
            </w:tcMar>
          </w:tcPr>
          <w:p w14:paraId="01A9632F" w14:textId="77777777" w:rsidR="005150C2" w:rsidRDefault="005150C2" w:rsidP="004B4663">
            <w:pPr>
              <w:spacing w:after="0"/>
              <w:jc w:val="both"/>
              <w:rPr>
                <w:rFonts w:ascii="Times New Roman" w:eastAsia="Times New Roman" w:hAnsi="Times New Roman" w:cs="Times New Roman"/>
              </w:rPr>
            </w:pPr>
            <w:r>
              <w:rPr>
                <w:rFonts w:ascii="Times New Roman" w:eastAsia="Times New Roman" w:hAnsi="Times New Roman" w:cs="Times New Roman"/>
              </w:rPr>
              <w:t xml:space="preserve">Studies lacking data on cholera outcomes or interventions, </w:t>
            </w:r>
          </w:p>
          <w:p w14:paraId="5A4EAF08" w14:textId="77777777" w:rsidR="005150C2" w:rsidRDefault="005150C2" w:rsidP="004B4663">
            <w:pPr>
              <w:spacing w:after="0"/>
              <w:jc w:val="both"/>
              <w:rPr>
                <w:rFonts w:ascii="Times New Roman" w:eastAsia="Times New Roman" w:hAnsi="Times New Roman" w:cs="Times New Roman"/>
              </w:rPr>
            </w:pPr>
            <w:r>
              <w:rPr>
                <w:rFonts w:ascii="Times New Roman" w:eastAsia="Times New Roman" w:hAnsi="Times New Roman" w:cs="Times New Roman"/>
              </w:rPr>
              <w:t xml:space="preserve">Studies focused only on laboratory or molecular analyses without epidemiological or community impact data </w:t>
            </w:r>
          </w:p>
        </w:tc>
      </w:tr>
      <w:tr w:rsidR="005150C2" w14:paraId="563EC6B4" w14:textId="77777777" w:rsidTr="004B4663">
        <w:trPr>
          <w:trHeight w:val="1755"/>
        </w:trPr>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0" w:type="dxa"/>
              <w:bottom w:w="0" w:type="dxa"/>
              <w:right w:w="0" w:type="dxa"/>
            </w:tcMar>
          </w:tcPr>
          <w:p w14:paraId="14EF408F" w14:textId="77777777" w:rsidR="005150C2" w:rsidRDefault="005150C2" w:rsidP="004B4663">
            <w:pPr>
              <w:spacing w:after="0"/>
              <w:jc w:val="both"/>
              <w:rPr>
                <w:rFonts w:ascii="Times New Roman" w:eastAsia="Times New Roman" w:hAnsi="Times New Roman" w:cs="Times New Roman"/>
                <w:b/>
                <w:bCs/>
              </w:rPr>
            </w:pPr>
            <w:r>
              <w:rPr>
                <w:rFonts w:ascii="Times New Roman" w:eastAsia="Times New Roman" w:hAnsi="Times New Roman" w:cs="Times New Roman"/>
                <w:b/>
                <w:bCs/>
              </w:rPr>
              <w:t xml:space="preserve">Study Design  </w:t>
            </w:r>
          </w:p>
        </w:tc>
        <w:tc>
          <w:tcPr>
            <w:tcW w:w="38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0" w:type="dxa"/>
              <w:bottom w:w="0" w:type="dxa"/>
              <w:right w:w="0" w:type="dxa"/>
            </w:tcMar>
          </w:tcPr>
          <w:p w14:paraId="398C79ED" w14:textId="77777777" w:rsidR="005150C2" w:rsidRDefault="005150C2" w:rsidP="004B4663">
            <w:pPr>
              <w:spacing w:after="0"/>
              <w:jc w:val="both"/>
              <w:rPr>
                <w:rFonts w:ascii="Times New Roman" w:eastAsia="Times New Roman" w:hAnsi="Times New Roman" w:cs="Times New Roman"/>
              </w:rPr>
            </w:pPr>
            <w:r>
              <w:rPr>
                <w:rFonts w:ascii="Times New Roman" w:eastAsia="Times New Roman" w:hAnsi="Times New Roman" w:cs="Times New Roman"/>
              </w:rPr>
              <w:t xml:space="preserve">Quantitative, Cross sectional, RCT and grey studies relevant to objectives </w:t>
            </w:r>
          </w:p>
        </w:tc>
        <w:tc>
          <w:tcPr>
            <w:tcW w:w="38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0" w:type="dxa"/>
              <w:bottom w:w="0" w:type="dxa"/>
              <w:right w:w="0" w:type="dxa"/>
            </w:tcMar>
          </w:tcPr>
          <w:p w14:paraId="5D2E59FA" w14:textId="77777777" w:rsidR="005150C2" w:rsidRDefault="005150C2" w:rsidP="004B4663">
            <w:pPr>
              <w:spacing w:after="0"/>
              <w:jc w:val="both"/>
              <w:rPr>
                <w:rFonts w:ascii="Times New Roman" w:eastAsia="Times New Roman" w:hAnsi="Times New Roman" w:cs="Times New Roman"/>
              </w:rPr>
            </w:pPr>
            <w:r>
              <w:rPr>
                <w:rFonts w:ascii="Times New Roman" w:eastAsia="Times New Roman" w:hAnsi="Times New Roman" w:cs="Times New Roman"/>
              </w:rPr>
              <w:t xml:space="preserve">Mix-method, Qualitative studies, Opinion pieces, editorials, commentaries, non-peer-reviewed blogs, or news articles without data </w:t>
            </w:r>
          </w:p>
        </w:tc>
      </w:tr>
      <w:tr w:rsidR="005150C2" w14:paraId="0AD38E67" w14:textId="77777777" w:rsidTr="004B4663">
        <w:trPr>
          <w:trHeight w:val="810"/>
        </w:trPr>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0" w:type="dxa"/>
              <w:bottom w:w="0" w:type="dxa"/>
              <w:right w:w="0" w:type="dxa"/>
            </w:tcMar>
          </w:tcPr>
          <w:p w14:paraId="4159BD09" w14:textId="77777777" w:rsidR="005150C2" w:rsidRDefault="005150C2" w:rsidP="004B4663">
            <w:pPr>
              <w:spacing w:after="0"/>
              <w:jc w:val="both"/>
              <w:rPr>
                <w:rFonts w:ascii="Times New Roman" w:eastAsia="Times New Roman" w:hAnsi="Times New Roman" w:cs="Times New Roman"/>
                <w:b/>
                <w:bCs/>
                <w:lang w:val="en-US"/>
              </w:rPr>
            </w:pPr>
            <w:r w:rsidRPr="22083A0C">
              <w:rPr>
                <w:rFonts w:ascii="Times New Roman" w:eastAsia="Times New Roman" w:hAnsi="Times New Roman" w:cs="Times New Roman"/>
                <w:b/>
                <w:bCs/>
                <w:lang w:val="en-US"/>
              </w:rPr>
              <w:t xml:space="preserve">Time frame </w:t>
            </w:r>
          </w:p>
        </w:tc>
        <w:tc>
          <w:tcPr>
            <w:tcW w:w="38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0" w:type="dxa"/>
              <w:bottom w:w="0" w:type="dxa"/>
              <w:right w:w="0" w:type="dxa"/>
            </w:tcMar>
          </w:tcPr>
          <w:p w14:paraId="2AB5CD59" w14:textId="77777777" w:rsidR="005150C2" w:rsidRDefault="005150C2" w:rsidP="004B4663">
            <w:pPr>
              <w:spacing w:after="0"/>
              <w:jc w:val="both"/>
              <w:rPr>
                <w:rFonts w:ascii="Times New Roman" w:eastAsia="Times New Roman" w:hAnsi="Times New Roman" w:cs="Times New Roman"/>
              </w:rPr>
            </w:pPr>
            <w:r>
              <w:rPr>
                <w:rFonts w:ascii="Times New Roman" w:eastAsia="Times New Roman" w:hAnsi="Times New Roman" w:cs="Times New Roman"/>
              </w:rPr>
              <w:t xml:space="preserve">Studies Published in the last 10 years (2015-2025) </w:t>
            </w:r>
          </w:p>
        </w:tc>
        <w:tc>
          <w:tcPr>
            <w:tcW w:w="38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0" w:type="dxa"/>
              <w:bottom w:w="0" w:type="dxa"/>
              <w:right w:w="0" w:type="dxa"/>
            </w:tcMar>
          </w:tcPr>
          <w:p w14:paraId="1B93A953" w14:textId="77777777" w:rsidR="005150C2" w:rsidRDefault="005150C2" w:rsidP="004B4663">
            <w:pPr>
              <w:spacing w:after="0"/>
              <w:jc w:val="both"/>
              <w:rPr>
                <w:rFonts w:ascii="Times New Roman" w:eastAsia="Times New Roman" w:hAnsi="Times New Roman" w:cs="Times New Roman"/>
              </w:rPr>
            </w:pPr>
            <w:r>
              <w:rPr>
                <w:rFonts w:ascii="Times New Roman" w:eastAsia="Times New Roman" w:hAnsi="Times New Roman" w:cs="Times New Roman"/>
              </w:rPr>
              <w:t xml:space="preserve">Studies Published in the before 2015-2025 </w:t>
            </w:r>
          </w:p>
        </w:tc>
      </w:tr>
      <w:tr w:rsidR="005150C2" w14:paraId="0E06284C" w14:textId="77777777" w:rsidTr="004B4663">
        <w:trPr>
          <w:trHeight w:val="585"/>
        </w:trPr>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0" w:type="dxa"/>
              <w:bottom w:w="0" w:type="dxa"/>
              <w:right w:w="0" w:type="dxa"/>
            </w:tcMar>
          </w:tcPr>
          <w:p w14:paraId="710AB033" w14:textId="77777777" w:rsidR="005150C2" w:rsidRDefault="005150C2" w:rsidP="004B4663">
            <w:pPr>
              <w:spacing w:after="0"/>
              <w:jc w:val="both"/>
              <w:rPr>
                <w:rFonts w:ascii="Times New Roman" w:eastAsia="Times New Roman" w:hAnsi="Times New Roman" w:cs="Times New Roman"/>
                <w:b/>
                <w:bCs/>
              </w:rPr>
            </w:pPr>
            <w:r>
              <w:rPr>
                <w:rFonts w:ascii="Times New Roman" w:eastAsia="Times New Roman" w:hAnsi="Times New Roman" w:cs="Times New Roman"/>
                <w:b/>
                <w:bCs/>
              </w:rPr>
              <w:lastRenderedPageBreak/>
              <w:t xml:space="preserve">Language </w:t>
            </w:r>
          </w:p>
        </w:tc>
        <w:tc>
          <w:tcPr>
            <w:tcW w:w="38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0" w:type="dxa"/>
              <w:bottom w:w="0" w:type="dxa"/>
              <w:right w:w="0" w:type="dxa"/>
            </w:tcMar>
          </w:tcPr>
          <w:p w14:paraId="421689DE" w14:textId="77777777" w:rsidR="005150C2" w:rsidRDefault="005150C2" w:rsidP="004B4663">
            <w:pPr>
              <w:spacing w:after="0"/>
              <w:jc w:val="both"/>
              <w:rPr>
                <w:rFonts w:ascii="Times New Roman" w:eastAsia="Times New Roman" w:hAnsi="Times New Roman" w:cs="Times New Roman"/>
              </w:rPr>
            </w:pPr>
            <w:r>
              <w:rPr>
                <w:rFonts w:ascii="Times New Roman" w:eastAsia="Times New Roman" w:hAnsi="Times New Roman" w:cs="Times New Roman"/>
              </w:rPr>
              <w:t xml:space="preserve">Only English Published studies. </w:t>
            </w:r>
          </w:p>
        </w:tc>
        <w:tc>
          <w:tcPr>
            <w:tcW w:w="38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Mar>
              <w:top w:w="0" w:type="dxa"/>
              <w:left w:w="0" w:type="dxa"/>
              <w:bottom w:w="0" w:type="dxa"/>
              <w:right w:w="0" w:type="dxa"/>
            </w:tcMar>
          </w:tcPr>
          <w:p w14:paraId="75B3CE81" w14:textId="77777777" w:rsidR="005150C2" w:rsidRDefault="005150C2" w:rsidP="004B4663">
            <w:pPr>
              <w:spacing w:after="0"/>
              <w:jc w:val="both"/>
              <w:rPr>
                <w:rFonts w:ascii="Times New Roman" w:eastAsia="Times New Roman" w:hAnsi="Times New Roman" w:cs="Times New Roman"/>
              </w:rPr>
            </w:pPr>
            <w:r>
              <w:rPr>
                <w:rFonts w:ascii="Times New Roman" w:eastAsia="Times New Roman" w:hAnsi="Times New Roman" w:cs="Times New Roman"/>
              </w:rPr>
              <w:t xml:space="preserve">Non- English Studies without any translation  </w:t>
            </w:r>
          </w:p>
        </w:tc>
      </w:tr>
      <w:tr w:rsidR="005150C2" w14:paraId="22AACE68" w14:textId="77777777" w:rsidTr="004B4663">
        <w:trPr>
          <w:trHeight w:val="1170"/>
        </w:trPr>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0" w:type="dxa"/>
              <w:bottom w:w="0" w:type="dxa"/>
              <w:right w:w="0" w:type="dxa"/>
            </w:tcMar>
          </w:tcPr>
          <w:p w14:paraId="1D44A1C9" w14:textId="77777777" w:rsidR="005150C2" w:rsidRDefault="005150C2" w:rsidP="004B4663">
            <w:pPr>
              <w:spacing w:after="0"/>
              <w:jc w:val="both"/>
              <w:rPr>
                <w:rFonts w:ascii="Times New Roman" w:eastAsia="Times New Roman" w:hAnsi="Times New Roman" w:cs="Times New Roman"/>
                <w:b/>
                <w:bCs/>
              </w:rPr>
            </w:pPr>
            <w:r>
              <w:rPr>
                <w:rFonts w:ascii="Times New Roman" w:eastAsia="Times New Roman" w:hAnsi="Times New Roman" w:cs="Times New Roman"/>
                <w:b/>
                <w:bCs/>
              </w:rPr>
              <w:t xml:space="preserve">Geographical Area </w:t>
            </w:r>
          </w:p>
        </w:tc>
        <w:tc>
          <w:tcPr>
            <w:tcW w:w="38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0" w:type="dxa"/>
              <w:bottom w:w="0" w:type="dxa"/>
              <w:right w:w="0" w:type="dxa"/>
            </w:tcMar>
          </w:tcPr>
          <w:p w14:paraId="6CFF5C02" w14:textId="77777777" w:rsidR="005150C2" w:rsidRDefault="005150C2" w:rsidP="004B4663">
            <w:pPr>
              <w:spacing w:after="0"/>
              <w:jc w:val="both"/>
              <w:rPr>
                <w:rFonts w:ascii="Times New Roman" w:eastAsia="Times New Roman" w:hAnsi="Times New Roman" w:cs="Times New Roman"/>
              </w:rPr>
            </w:pPr>
            <w:r>
              <w:rPr>
                <w:rFonts w:ascii="Times New Roman" w:eastAsia="Times New Roman" w:hAnsi="Times New Roman" w:cs="Times New Roman"/>
              </w:rPr>
              <w:t xml:space="preserve">Studies done in Sub-Saharan Africa (SSA) </w:t>
            </w:r>
          </w:p>
        </w:tc>
        <w:tc>
          <w:tcPr>
            <w:tcW w:w="38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Mar>
              <w:top w:w="0" w:type="dxa"/>
              <w:left w:w="0" w:type="dxa"/>
              <w:bottom w:w="0" w:type="dxa"/>
              <w:right w:w="0" w:type="dxa"/>
            </w:tcMar>
          </w:tcPr>
          <w:p w14:paraId="1B799737" w14:textId="77777777" w:rsidR="005150C2" w:rsidRDefault="005150C2" w:rsidP="004B4663">
            <w:pPr>
              <w:spacing w:after="0"/>
              <w:jc w:val="both"/>
              <w:rPr>
                <w:rFonts w:ascii="Times New Roman" w:eastAsia="Times New Roman" w:hAnsi="Times New Roman" w:cs="Times New Roman"/>
              </w:rPr>
            </w:pPr>
            <w:r>
              <w:rPr>
                <w:rFonts w:ascii="Times New Roman" w:eastAsia="Times New Roman" w:hAnsi="Times New Roman" w:cs="Times New Roman"/>
              </w:rPr>
              <w:t xml:space="preserve">Studies conducted outside Sub Sahara African will be excluded in this study. </w:t>
            </w:r>
          </w:p>
        </w:tc>
      </w:tr>
    </w:tbl>
    <w:p w14:paraId="0DBD32D1" w14:textId="77777777" w:rsidR="005150C2" w:rsidRDefault="005150C2" w:rsidP="005150C2">
      <w:pPr>
        <w:jc w:val="both"/>
        <w:rPr>
          <w:rFonts w:ascii="Times New Roman" w:eastAsia="Times New Roman" w:hAnsi="Times New Roman" w:cs="Times New Roman"/>
        </w:rPr>
      </w:pPr>
    </w:p>
    <w:p w14:paraId="2E5336E5" w14:textId="77777777" w:rsidR="005150C2" w:rsidRDefault="005150C2" w:rsidP="005150C2">
      <w:pPr>
        <w:jc w:val="both"/>
        <w:rPr>
          <w:rFonts w:ascii="Times New Roman" w:eastAsia="Times New Roman" w:hAnsi="Times New Roman" w:cs="Times New Roman"/>
        </w:rPr>
      </w:pPr>
    </w:p>
    <w:p w14:paraId="496DC728" w14:textId="77777777" w:rsidR="005150C2" w:rsidRDefault="005150C2" w:rsidP="005150C2">
      <w:pPr>
        <w:jc w:val="both"/>
        <w:rPr>
          <w:rFonts w:ascii="Times New Roman" w:eastAsia="Times New Roman" w:hAnsi="Times New Roman" w:cs="Times New Roman"/>
          <w:color w:val="000000"/>
        </w:rPr>
      </w:pPr>
    </w:p>
    <w:p w14:paraId="137E2CD0" w14:textId="77777777" w:rsidR="005150C2" w:rsidRDefault="005150C2" w:rsidP="005150C2">
      <w:pPr>
        <w:jc w:val="both"/>
        <w:rPr>
          <w:rFonts w:ascii="Times New Roman" w:eastAsia="Times New Roman" w:hAnsi="Times New Roman" w:cs="Times New Roman"/>
        </w:rPr>
      </w:pPr>
    </w:p>
    <w:p w14:paraId="6A89F4E3" w14:textId="77777777" w:rsidR="005150C2" w:rsidRDefault="005150C2" w:rsidP="005150C2">
      <w:pPr>
        <w:jc w:val="both"/>
        <w:rPr>
          <w:rFonts w:ascii="Times New Roman" w:eastAsia="Times New Roman" w:hAnsi="Times New Roman" w:cs="Times New Roman"/>
        </w:rPr>
      </w:pPr>
    </w:p>
    <w:p w14:paraId="498493B0" w14:textId="77777777" w:rsidR="005150C2" w:rsidRDefault="005150C2" w:rsidP="005150C2">
      <w:pPr>
        <w:jc w:val="both"/>
        <w:rPr>
          <w:rFonts w:ascii="Times New Roman" w:eastAsia="Times New Roman" w:hAnsi="Times New Roman" w:cs="Times New Roman"/>
        </w:rPr>
      </w:pPr>
      <w:r>
        <w:rPr>
          <w:rFonts w:ascii="Times New Roman" w:eastAsia="Times New Roman" w:hAnsi="Times New Roman" w:cs="Times New Roman"/>
        </w:rPr>
        <w:t xml:space="preserve">           </w:t>
      </w:r>
    </w:p>
    <w:p w14:paraId="7E229E00" w14:textId="77777777" w:rsidR="005150C2" w:rsidRDefault="005150C2" w:rsidP="005150C2">
      <w:pPr>
        <w:jc w:val="both"/>
        <w:rPr>
          <w:rFonts w:ascii="Times New Roman" w:eastAsia="Times New Roman" w:hAnsi="Times New Roman" w:cs="Times New Roman"/>
        </w:rPr>
      </w:pPr>
    </w:p>
    <w:p w14:paraId="111468C1" w14:textId="77777777" w:rsidR="005150C2" w:rsidRDefault="005150C2" w:rsidP="005150C2">
      <w:pPr>
        <w:spacing w:line="259" w:lineRule="auto"/>
        <w:rPr>
          <w:rFonts w:ascii="Times New Roman" w:eastAsia="Times New Roman" w:hAnsi="Times New Roman" w:cs="Times New Roman"/>
          <w:b/>
          <w:bCs/>
        </w:rPr>
      </w:pPr>
    </w:p>
    <w:p w14:paraId="5703663D" w14:textId="77777777" w:rsidR="005150C2" w:rsidRDefault="005150C2" w:rsidP="005150C2">
      <w:pPr>
        <w:jc w:val="both"/>
        <w:rPr>
          <w:rFonts w:ascii="Times New Roman" w:eastAsia="Times New Roman" w:hAnsi="Times New Roman" w:cs="Times New Roman"/>
        </w:rPr>
      </w:pPr>
    </w:p>
    <w:p w14:paraId="38761FDB" w14:textId="77777777" w:rsidR="005150C2" w:rsidRDefault="005150C2" w:rsidP="005150C2">
      <w:pPr>
        <w:jc w:val="both"/>
        <w:rPr>
          <w:rFonts w:ascii="Times New Roman" w:eastAsia="Times New Roman" w:hAnsi="Times New Roman" w:cs="Times New Roman"/>
        </w:rPr>
      </w:pPr>
    </w:p>
    <w:p w14:paraId="26B0EB67" w14:textId="77777777" w:rsidR="005150C2" w:rsidRDefault="005150C2" w:rsidP="005150C2">
      <w:pPr>
        <w:jc w:val="both"/>
        <w:rPr>
          <w:rFonts w:ascii="Times New Roman" w:eastAsia="Times New Roman" w:hAnsi="Times New Roman" w:cs="Times New Roman"/>
        </w:rPr>
      </w:pPr>
    </w:p>
    <w:p w14:paraId="6C4395E6" w14:textId="77777777" w:rsidR="005150C2" w:rsidRDefault="005150C2" w:rsidP="005150C2">
      <w:pPr>
        <w:spacing w:line="259" w:lineRule="auto"/>
        <w:rPr>
          <w:rFonts w:ascii="Times New Roman" w:eastAsia="Times New Roman" w:hAnsi="Times New Roman" w:cs="Times New Roman"/>
          <w:b/>
          <w:bCs/>
        </w:rPr>
      </w:pPr>
    </w:p>
    <w:sdt>
      <w:sdtPr>
        <w:rPr>
          <w:b/>
          <w:bCs/>
        </w:rPr>
        <w:tag w:val="goog_rdk_0"/>
        <w:id w:val="413068457"/>
        <w:lock w:val="contentLocked"/>
      </w:sdtPr>
      <w:sdtEndPr>
        <w:rPr>
          <w:b w:val="0"/>
          <w:bCs w:val="0"/>
        </w:rPr>
      </w:sdtEndPr>
      <w:sdtContent>
        <w:tbl>
          <w:tblPr>
            <w:tblpPr w:leftFromText="180" w:rightFromText="180" w:topFromText="180" w:bottomFromText="180" w:vertAnchor="text" w:tblpX="437"/>
            <w:tblW w:w="981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650"/>
            <w:gridCol w:w="4155"/>
            <w:gridCol w:w="1965"/>
            <w:gridCol w:w="2040"/>
          </w:tblGrid>
          <w:tr w:rsidR="005150C2" w14:paraId="14070B8F" w14:textId="77777777" w:rsidTr="004B4663">
            <w:trPr>
              <w:trHeight w:val="360"/>
              <w:tblHeader/>
            </w:trPr>
            <w:tc>
              <w:tcPr>
                <w:tcW w:w="9810" w:type="dxa"/>
                <w:gridSpan w:val="4"/>
                <w:shd w:val="clear" w:color="auto" w:fill="F1F3F4"/>
              </w:tcPr>
              <w:p w14:paraId="77DA7D55" w14:textId="77777777" w:rsidR="005150C2" w:rsidRDefault="005150C2" w:rsidP="004B4663">
                <w:pPr>
                  <w:jc w:val="both"/>
                </w:pPr>
                <w:r>
                  <w:rPr>
                    <w:rFonts w:ascii="Times New Roman" w:eastAsia="Times New Roman" w:hAnsi="Times New Roman" w:cs="Times New Roman"/>
                  </w:rPr>
                  <w:t>Table 2: Database Search Strategy and Key Terms.</w:t>
                </w:r>
              </w:p>
            </w:tc>
          </w:tr>
          <w:tr w:rsidR="005150C2" w14:paraId="486FF4EF" w14:textId="77777777" w:rsidTr="004B4663">
            <w:tc>
              <w:tcPr>
                <w:tcW w:w="1650" w:type="dxa"/>
              </w:tcPr>
              <w:p w14:paraId="6D533328"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 xml:space="preserve">Database </w:t>
                </w:r>
              </w:p>
            </w:tc>
            <w:tc>
              <w:tcPr>
                <w:tcW w:w="4155" w:type="dxa"/>
              </w:tcPr>
              <w:p w14:paraId="2BDE66F1" w14:textId="77777777" w:rsidR="005150C2" w:rsidRDefault="005150C2" w:rsidP="004B4663">
                <w:pPr>
                  <w:rPr>
                    <w:rFonts w:ascii="Times New Roman" w:eastAsia="Times New Roman" w:hAnsi="Times New Roman" w:cs="Times New Roman"/>
                    <w:b/>
                    <w:bCs/>
                    <w:lang w:val="en-US"/>
                  </w:rPr>
                </w:pPr>
                <w:r w:rsidRPr="22083A0C">
                  <w:rPr>
                    <w:rFonts w:ascii="Times New Roman" w:eastAsia="Times New Roman" w:hAnsi="Times New Roman" w:cs="Times New Roman"/>
                    <w:b/>
                    <w:bCs/>
                    <w:lang w:val="en-US"/>
                  </w:rPr>
                  <w:t xml:space="preserve">Free Text and MesH term </w:t>
                </w:r>
              </w:p>
            </w:tc>
            <w:tc>
              <w:tcPr>
                <w:tcW w:w="1965" w:type="dxa"/>
              </w:tcPr>
              <w:p w14:paraId="0E1FE420" w14:textId="77777777" w:rsidR="005150C2" w:rsidRDefault="005150C2" w:rsidP="004B4663">
                <w:pPr>
                  <w:rPr>
                    <w:rFonts w:ascii="Times New Roman" w:eastAsia="Times New Roman" w:hAnsi="Times New Roman" w:cs="Times New Roman"/>
                    <w:b/>
                    <w:bCs/>
                  </w:rPr>
                </w:pPr>
                <w:r>
                  <w:rPr>
                    <w:rFonts w:ascii="Times New Roman" w:eastAsia="Times New Roman" w:hAnsi="Times New Roman" w:cs="Times New Roman"/>
                    <w:b/>
                    <w:bCs/>
                  </w:rPr>
                  <w:t>Total Paper Yield for full text screening</w:t>
                </w:r>
              </w:p>
            </w:tc>
            <w:tc>
              <w:tcPr>
                <w:tcW w:w="2040" w:type="dxa"/>
              </w:tcPr>
              <w:p w14:paraId="787F586B" w14:textId="77777777" w:rsidR="005150C2" w:rsidRDefault="005150C2" w:rsidP="004B4663">
                <w:pPr>
                  <w:rPr>
                    <w:rFonts w:ascii="Times New Roman" w:eastAsia="Times New Roman" w:hAnsi="Times New Roman" w:cs="Times New Roman"/>
                    <w:b/>
                    <w:bCs/>
                  </w:rPr>
                </w:pPr>
                <w:r>
                  <w:rPr>
                    <w:rFonts w:ascii="Times New Roman" w:eastAsia="Times New Roman" w:hAnsi="Times New Roman" w:cs="Times New Roman"/>
                    <w:b/>
                    <w:bCs/>
                  </w:rPr>
                  <w:t>Total papers included after review</w:t>
                </w:r>
              </w:p>
            </w:tc>
          </w:tr>
          <w:tr w:rsidR="005150C2" w14:paraId="49AD400F" w14:textId="77777777" w:rsidTr="004B4663">
            <w:tc>
              <w:tcPr>
                <w:tcW w:w="1650" w:type="dxa"/>
              </w:tcPr>
              <w:p w14:paraId="0A145C9B"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Medline</w:t>
                </w:r>
              </w:p>
            </w:tc>
            <w:tc>
              <w:tcPr>
                <w:tcW w:w="4155" w:type="dxa"/>
              </w:tcPr>
              <w:p w14:paraId="4A314960" w14:textId="77777777" w:rsidR="005150C2" w:rsidRDefault="005150C2" w:rsidP="004B4663">
                <w:pPr>
                  <w:rPr>
                    <w:rFonts w:ascii="Times New Roman" w:eastAsia="Times New Roman" w:hAnsi="Times New Roman" w:cs="Times New Roman"/>
                    <w:lang w:val="en-US"/>
                  </w:rPr>
                </w:pPr>
                <w:r w:rsidRPr="22083A0C">
                  <w:rPr>
                    <w:rFonts w:ascii="Times New Roman" w:eastAsia="Times New Roman" w:hAnsi="Times New Roman" w:cs="Times New Roman"/>
                    <w:lang w:val="en-US"/>
                  </w:rPr>
                  <w:t>("Cholera"[MeSH Terms] OR "cholera" OR "Vibrio cholerae" OR "cholera outbreak")</w:t>
                </w:r>
              </w:p>
              <w:p w14:paraId="5FD8C203"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AND</w:t>
                </w:r>
              </w:p>
              <w:p w14:paraId="1997DAA3" w14:textId="77777777" w:rsidR="005150C2" w:rsidRDefault="005150C2" w:rsidP="004B4663">
                <w:pPr>
                  <w:rPr>
                    <w:rFonts w:ascii="Times New Roman" w:eastAsia="Times New Roman" w:hAnsi="Times New Roman" w:cs="Times New Roman"/>
                    <w:lang w:val="en-US"/>
                  </w:rPr>
                </w:pPr>
                <w:r w:rsidRPr="22083A0C">
                  <w:rPr>
                    <w:rFonts w:ascii="Times New Roman" w:eastAsia="Times New Roman" w:hAnsi="Times New Roman" w:cs="Times New Roman"/>
                    <w:lang w:val="en-US"/>
                  </w:rPr>
                  <w:t xml:space="preserve">("Water Pollution"[MeSH Terms] OR "Environmental Pollution"[MeSH Terms] OR "Sanitation"[MeSH Terms] OR "Waste Disposal, Fluid"[MeSH Terms] </w:t>
                </w:r>
              </w:p>
              <w:p w14:paraId="71AB681E"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 xml:space="preserve">  OR "pollution" OR "contaminated water" OR "sewage" OR "wastewater" OR "industrial discharge" OR "environmental contamination" OR "poor sanitation")</w:t>
                </w:r>
              </w:p>
              <w:p w14:paraId="57C63CFC"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AND</w:t>
                </w:r>
              </w:p>
              <w:p w14:paraId="6B1E7393" w14:textId="77777777" w:rsidR="005150C2" w:rsidRDefault="005150C2" w:rsidP="004B4663">
                <w:pPr>
                  <w:rPr>
                    <w:rFonts w:ascii="Times New Roman" w:eastAsia="Times New Roman" w:hAnsi="Times New Roman" w:cs="Times New Roman"/>
                    <w:lang w:val="en-US"/>
                  </w:rPr>
                </w:pPr>
                <w:r w:rsidRPr="22083A0C">
                  <w:rPr>
                    <w:rFonts w:ascii="Times New Roman" w:eastAsia="Times New Roman" w:hAnsi="Times New Roman" w:cs="Times New Roman"/>
                    <w:lang w:val="en-US"/>
                  </w:rPr>
                  <w:t xml:space="preserve">("Africa South of the Sahara"[MeSH Terms] OR "Sub-Saharan Africa" OR "West Africa" OR "East Africa" OR "Central Africa" </w:t>
                </w:r>
              </w:p>
              <w:p w14:paraId="0A44BB0D"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 xml:space="preserve">  OR "Nigeria" OR "Malawi" OR "Ethiopia" OR "Kenya" OR "Ghana" OR "Mozambique" OR "Tanzania" OR "Uganda" OR "Chad" OR "DRC")</w:t>
                </w:r>
              </w:p>
              <w:p w14:paraId="09C8A3E3"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AND</w:t>
                </w:r>
              </w:p>
              <w:p w14:paraId="7143FDD9" w14:textId="77777777" w:rsidR="005150C2" w:rsidRDefault="005150C2" w:rsidP="004B4663">
                <w:pPr>
                  <w:rPr>
                    <w:rFonts w:ascii="Times New Roman" w:eastAsia="Times New Roman" w:hAnsi="Times New Roman" w:cs="Times New Roman"/>
                    <w:lang w:val="en-US"/>
                  </w:rPr>
                </w:pPr>
                <w:r w:rsidRPr="22083A0C">
                  <w:rPr>
                    <w:rFonts w:ascii="Times New Roman" w:eastAsia="Times New Roman" w:hAnsi="Times New Roman" w:cs="Times New Roman"/>
                    <w:lang w:val="en-US"/>
                  </w:rPr>
                  <w:t xml:space="preserve">("Public Health Practice"[MeSH Terms] OR "Communicable Disease Control"[MeSH Terms] OR "Health Education"[MeSH Terms] </w:t>
                </w:r>
              </w:p>
              <w:p w14:paraId="586E6B7C" w14:textId="77777777" w:rsidR="005150C2" w:rsidRDefault="005150C2" w:rsidP="004B4663">
                <w:pPr>
                  <w:rPr>
                    <w:rFonts w:ascii="Times New Roman" w:eastAsia="Times New Roman" w:hAnsi="Times New Roman" w:cs="Times New Roman"/>
                    <w:lang w:val="en-US"/>
                  </w:rPr>
                </w:pPr>
                <w:r w:rsidRPr="22083A0C">
                  <w:rPr>
                    <w:rFonts w:ascii="Times New Roman" w:eastAsia="Times New Roman" w:hAnsi="Times New Roman" w:cs="Times New Roman"/>
                    <w:lang w:val="en-US"/>
                  </w:rPr>
                  <w:t xml:space="preserve">  OR "Hygiene"[MeSH Terms] OR "sanitation" OR "WASH" OR "hygiene promotion" OR "public health intervention" OR "health response" OR "outbreak response")</w:t>
                </w:r>
              </w:p>
              <w:p w14:paraId="1F1E656A"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AND</w:t>
                </w:r>
              </w:p>
              <w:p w14:paraId="6C256687" w14:textId="77777777" w:rsidR="005150C2" w:rsidRDefault="005150C2" w:rsidP="004B4663">
                <w:pPr>
                  <w:rPr>
                    <w:rFonts w:ascii="Times New Roman" w:eastAsia="Times New Roman" w:hAnsi="Times New Roman" w:cs="Times New Roman"/>
                    <w:lang w:val="en-US"/>
                  </w:rPr>
                </w:pPr>
                <w:r w:rsidRPr="22083A0C">
                  <w:rPr>
                    <w:rFonts w:ascii="Times New Roman" w:eastAsia="Times New Roman" w:hAnsi="Times New Roman" w:cs="Times New Roman"/>
                    <w:lang w:val="en-US"/>
                  </w:rPr>
                  <w:t xml:space="preserve">("Morbidity"[MeSH Terms] OR "Mortality"[MeSH Terms] OR "Health Status Disparities"[MeSH Terms] </w:t>
                </w:r>
              </w:p>
              <w:p w14:paraId="71DB2CC5"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lastRenderedPageBreak/>
                  <w:t xml:space="preserve">  OR "community impact" OR "health burden" OR "socio-economic impact" OR "vulnerability" OR "health equity")</w:t>
                </w:r>
              </w:p>
            </w:tc>
            <w:tc>
              <w:tcPr>
                <w:tcW w:w="1965" w:type="dxa"/>
              </w:tcPr>
              <w:p w14:paraId="005178C8" w14:textId="77777777" w:rsidR="005150C2" w:rsidRDefault="005150C2" w:rsidP="004B4663">
                <w:pPr>
                  <w:rPr>
                    <w:rFonts w:ascii="Times New Roman" w:eastAsia="Times New Roman" w:hAnsi="Times New Roman" w:cs="Times New Roman"/>
                  </w:rPr>
                </w:pPr>
              </w:p>
              <w:p w14:paraId="509343D5" w14:textId="77777777" w:rsidR="005150C2" w:rsidRDefault="005150C2" w:rsidP="004B4663">
                <w:pPr>
                  <w:rPr>
                    <w:rFonts w:ascii="Times New Roman" w:eastAsia="Times New Roman" w:hAnsi="Times New Roman" w:cs="Times New Roman"/>
                  </w:rPr>
                </w:pPr>
              </w:p>
              <w:p w14:paraId="3C9E1E8B" w14:textId="77777777" w:rsidR="005150C2" w:rsidRDefault="005150C2" w:rsidP="004B4663">
                <w:pPr>
                  <w:rPr>
                    <w:rFonts w:ascii="Times New Roman" w:eastAsia="Times New Roman" w:hAnsi="Times New Roman" w:cs="Times New Roman"/>
                  </w:rPr>
                </w:pPr>
              </w:p>
              <w:p w14:paraId="19068C65" w14:textId="77777777" w:rsidR="005150C2" w:rsidRDefault="005150C2" w:rsidP="004B4663">
                <w:pPr>
                  <w:rPr>
                    <w:rFonts w:ascii="Times New Roman" w:eastAsia="Times New Roman" w:hAnsi="Times New Roman" w:cs="Times New Roman"/>
                  </w:rPr>
                </w:pPr>
              </w:p>
              <w:p w14:paraId="2B44C6A0" w14:textId="77777777" w:rsidR="005150C2" w:rsidRDefault="005150C2" w:rsidP="004B4663">
                <w:pPr>
                  <w:rPr>
                    <w:rFonts w:ascii="Times New Roman" w:eastAsia="Times New Roman" w:hAnsi="Times New Roman" w:cs="Times New Roman"/>
                  </w:rPr>
                </w:pPr>
              </w:p>
              <w:p w14:paraId="0884A9FE" w14:textId="77777777" w:rsidR="005150C2" w:rsidRDefault="005150C2" w:rsidP="004B4663">
                <w:pPr>
                  <w:rPr>
                    <w:rFonts w:ascii="Times New Roman" w:eastAsia="Times New Roman" w:hAnsi="Times New Roman" w:cs="Times New Roman"/>
                  </w:rPr>
                </w:pPr>
              </w:p>
              <w:p w14:paraId="647A1BC9" w14:textId="77777777" w:rsidR="005150C2" w:rsidRDefault="005150C2" w:rsidP="004B4663">
                <w:pPr>
                  <w:rPr>
                    <w:rFonts w:ascii="Times New Roman" w:eastAsia="Times New Roman" w:hAnsi="Times New Roman" w:cs="Times New Roman"/>
                  </w:rPr>
                </w:pPr>
              </w:p>
              <w:p w14:paraId="3B88D5CC" w14:textId="77777777" w:rsidR="005150C2" w:rsidRDefault="005150C2" w:rsidP="004B4663">
                <w:pPr>
                  <w:rPr>
                    <w:rFonts w:ascii="Times New Roman" w:eastAsia="Times New Roman" w:hAnsi="Times New Roman" w:cs="Times New Roman"/>
                  </w:rPr>
                </w:pPr>
              </w:p>
              <w:p w14:paraId="0B7EBC8B" w14:textId="77777777" w:rsidR="005150C2" w:rsidRDefault="005150C2" w:rsidP="004B4663">
                <w:pPr>
                  <w:rPr>
                    <w:rFonts w:ascii="Times New Roman" w:eastAsia="Times New Roman" w:hAnsi="Times New Roman" w:cs="Times New Roman"/>
                  </w:rPr>
                </w:pPr>
              </w:p>
              <w:p w14:paraId="1813D446" w14:textId="77777777" w:rsidR="005150C2" w:rsidRDefault="005150C2" w:rsidP="004B4663">
                <w:pPr>
                  <w:rPr>
                    <w:rFonts w:ascii="Times New Roman" w:eastAsia="Times New Roman" w:hAnsi="Times New Roman" w:cs="Times New Roman"/>
                  </w:rPr>
                </w:pPr>
              </w:p>
              <w:p w14:paraId="4BC3489C" w14:textId="77777777" w:rsidR="005150C2" w:rsidRDefault="005150C2" w:rsidP="004B4663">
                <w:pPr>
                  <w:rPr>
                    <w:rFonts w:ascii="Times New Roman" w:eastAsia="Times New Roman" w:hAnsi="Times New Roman" w:cs="Times New Roman"/>
                  </w:rPr>
                </w:pPr>
              </w:p>
              <w:p w14:paraId="1DC577F1" w14:textId="77777777" w:rsidR="005150C2" w:rsidRDefault="005150C2" w:rsidP="004B4663">
                <w:pPr>
                  <w:rPr>
                    <w:rFonts w:ascii="Times New Roman" w:eastAsia="Times New Roman" w:hAnsi="Times New Roman" w:cs="Times New Roman"/>
                  </w:rPr>
                </w:pPr>
              </w:p>
              <w:p w14:paraId="3B972846" w14:textId="77777777" w:rsidR="005150C2" w:rsidRDefault="005150C2" w:rsidP="004B4663">
                <w:pPr>
                  <w:rPr>
                    <w:rFonts w:ascii="Times New Roman" w:eastAsia="Times New Roman" w:hAnsi="Times New Roman" w:cs="Times New Roman"/>
                  </w:rPr>
                </w:pPr>
              </w:p>
              <w:p w14:paraId="30F0E976" w14:textId="77777777" w:rsidR="005150C2" w:rsidRDefault="005150C2" w:rsidP="004B4663">
                <w:pPr>
                  <w:rPr>
                    <w:rFonts w:ascii="Times New Roman" w:eastAsia="Times New Roman" w:hAnsi="Times New Roman" w:cs="Times New Roman"/>
                  </w:rPr>
                </w:pPr>
              </w:p>
              <w:p w14:paraId="25391A27" w14:textId="77777777" w:rsidR="005150C2" w:rsidRDefault="005150C2" w:rsidP="004B4663">
                <w:pPr>
                  <w:rPr>
                    <w:rFonts w:ascii="Times New Roman" w:eastAsia="Times New Roman" w:hAnsi="Times New Roman" w:cs="Times New Roman"/>
                  </w:rPr>
                </w:pPr>
              </w:p>
              <w:p w14:paraId="1AAD0C2F" w14:textId="77777777" w:rsidR="005150C2" w:rsidRDefault="005150C2" w:rsidP="004B4663">
                <w:pPr>
                  <w:rPr>
                    <w:rFonts w:ascii="Times New Roman" w:eastAsia="Times New Roman" w:hAnsi="Times New Roman" w:cs="Times New Roman"/>
                  </w:rPr>
                </w:pPr>
              </w:p>
              <w:p w14:paraId="7BB91B85" w14:textId="77777777" w:rsidR="005150C2" w:rsidRDefault="005150C2" w:rsidP="004B4663">
                <w:pPr>
                  <w:rPr>
                    <w:rFonts w:ascii="Times New Roman" w:eastAsia="Times New Roman" w:hAnsi="Times New Roman" w:cs="Times New Roman"/>
                  </w:rPr>
                </w:pPr>
              </w:p>
              <w:p w14:paraId="0761C338" w14:textId="77777777" w:rsidR="005150C2" w:rsidRDefault="005150C2" w:rsidP="004B4663">
                <w:pPr>
                  <w:rPr>
                    <w:rFonts w:ascii="Times New Roman" w:eastAsia="Times New Roman" w:hAnsi="Times New Roman" w:cs="Times New Roman"/>
                  </w:rPr>
                </w:pPr>
              </w:p>
              <w:p w14:paraId="4C8ADF3C" w14:textId="77777777" w:rsidR="005150C2" w:rsidRDefault="005150C2" w:rsidP="004B4663">
                <w:pPr>
                  <w:rPr>
                    <w:rFonts w:ascii="Times New Roman" w:eastAsia="Times New Roman" w:hAnsi="Times New Roman" w:cs="Times New Roman"/>
                  </w:rPr>
                </w:pPr>
              </w:p>
              <w:p w14:paraId="06A2DADD" w14:textId="77777777" w:rsidR="005150C2" w:rsidRDefault="005150C2" w:rsidP="004B4663">
                <w:pPr>
                  <w:jc w:val="center"/>
                  <w:rPr>
                    <w:rFonts w:ascii="Times New Roman" w:eastAsia="Times New Roman" w:hAnsi="Times New Roman" w:cs="Times New Roman"/>
                  </w:rPr>
                </w:pPr>
                <w:r>
                  <w:rPr>
                    <w:rFonts w:ascii="Times New Roman" w:eastAsia="Times New Roman" w:hAnsi="Times New Roman" w:cs="Times New Roman"/>
                  </w:rPr>
                  <w:t>6</w:t>
                </w:r>
              </w:p>
            </w:tc>
            <w:tc>
              <w:tcPr>
                <w:tcW w:w="2040" w:type="dxa"/>
              </w:tcPr>
              <w:p w14:paraId="30B31080" w14:textId="77777777" w:rsidR="005150C2" w:rsidRDefault="005150C2" w:rsidP="004B4663">
                <w:pPr>
                  <w:rPr>
                    <w:rFonts w:ascii="Times New Roman" w:eastAsia="Times New Roman" w:hAnsi="Times New Roman" w:cs="Times New Roman"/>
                  </w:rPr>
                </w:pPr>
              </w:p>
              <w:p w14:paraId="608CCB86" w14:textId="77777777" w:rsidR="005150C2" w:rsidRDefault="005150C2" w:rsidP="004B4663">
                <w:pPr>
                  <w:rPr>
                    <w:rFonts w:ascii="Times New Roman" w:eastAsia="Times New Roman" w:hAnsi="Times New Roman" w:cs="Times New Roman"/>
                  </w:rPr>
                </w:pPr>
              </w:p>
              <w:p w14:paraId="1468C965" w14:textId="77777777" w:rsidR="005150C2" w:rsidRDefault="005150C2" w:rsidP="004B4663">
                <w:pPr>
                  <w:rPr>
                    <w:rFonts w:ascii="Times New Roman" w:eastAsia="Times New Roman" w:hAnsi="Times New Roman" w:cs="Times New Roman"/>
                  </w:rPr>
                </w:pPr>
              </w:p>
              <w:p w14:paraId="1302E8E2" w14:textId="77777777" w:rsidR="005150C2" w:rsidRDefault="005150C2" w:rsidP="004B4663">
                <w:pPr>
                  <w:rPr>
                    <w:rFonts w:ascii="Times New Roman" w:eastAsia="Times New Roman" w:hAnsi="Times New Roman" w:cs="Times New Roman"/>
                  </w:rPr>
                </w:pPr>
              </w:p>
              <w:p w14:paraId="71ACDAA0" w14:textId="77777777" w:rsidR="005150C2" w:rsidRDefault="005150C2" w:rsidP="004B4663">
                <w:pPr>
                  <w:rPr>
                    <w:rFonts w:ascii="Times New Roman" w:eastAsia="Times New Roman" w:hAnsi="Times New Roman" w:cs="Times New Roman"/>
                  </w:rPr>
                </w:pPr>
              </w:p>
              <w:p w14:paraId="0F4C12A1" w14:textId="77777777" w:rsidR="005150C2" w:rsidRDefault="005150C2" w:rsidP="004B4663">
                <w:pPr>
                  <w:rPr>
                    <w:rFonts w:ascii="Times New Roman" w:eastAsia="Times New Roman" w:hAnsi="Times New Roman" w:cs="Times New Roman"/>
                  </w:rPr>
                </w:pPr>
              </w:p>
              <w:p w14:paraId="7473708B" w14:textId="77777777" w:rsidR="005150C2" w:rsidRDefault="005150C2" w:rsidP="004B4663">
                <w:pPr>
                  <w:rPr>
                    <w:rFonts w:ascii="Times New Roman" w:eastAsia="Times New Roman" w:hAnsi="Times New Roman" w:cs="Times New Roman"/>
                  </w:rPr>
                </w:pPr>
              </w:p>
              <w:p w14:paraId="0BB17E55" w14:textId="77777777" w:rsidR="005150C2" w:rsidRDefault="005150C2" w:rsidP="004B4663">
                <w:pPr>
                  <w:rPr>
                    <w:rFonts w:ascii="Times New Roman" w:eastAsia="Times New Roman" w:hAnsi="Times New Roman" w:cs="Times New Roman"/>
                  </w:rPr>
                </w:pPr>
              </w:p>
              <w:p w14:paraId="334843D8" w14:textId="77777777" w:rsidR="005150C2" w:rsidRDefault="005150C2" w:rsidP="004B4663">
                <w:pPr>
                  <w:rPr>
                    <w:rFonts w:ascii="Times New Roman" w:eastAsia="Times New Roman" w:hAnsi="Times New Roman" w:cs="Times New Roman"/>
                  </w:rPr>
                </w:pPr>
              </w:p>
              <w:p w14:paraId="765F7B73" w14:textId="77777777" w:rsidR="005150C2" w:rsidRDefault="005150C2" w:rsidP="004B4663">
                <w:pPr>
                  <w:rPr>
                    <w:rFonts w:ascii="Times New Roman" w:eastAsia="Times New Roman" w:hAnsi="Times New Roman" w:cs="Times New Roman"/>
                  </w:rPr>
                </w:pPr>
              </w:p>
              <w:p w14:paraId="480FDDA4" w14:textId="77777777" w:rsidR="005150C2" w:rsidRDefault="005150C2" w:rsidP="004B4663">
                <w:pPr>
                  <w:rPr>
                    <w:rFonts w:ascii="Times New Roman" w:eastAsia="Times New Roman" w:hAnsi="Times New Roman" w:cs="Times New Roman"/>
                  </w:rPr>
                </w:pPr>
              </w:p>
              <w:p w14:paraId="23B6C7F4" w14:textId="77777777" w:rsidR="005150C2" w:rsidRDefault="005150C2" w:rsidP="004B4663">
                <w:pPr>
                  <w:rPr>
                    <w:rFonts w:ascii="Times New Roman" w:eastAsia="Times New Roman" w:hAnsi="Times New Roman" w:cs="Times New Roman"/>
                  </w:rPr>
                </w:pPr>
              </w:p>
              <w:p w14:paraId="36219A48" w14:textId="77777777" w:rsidR="005150C2" w:rsidRDefault="005150C2" w:rsidP="004B4663">
                <w:pPr>
                  <w:rPr>
                    <w:rFonts w:ascii="Times New Roman" w:eastAsia="Times New Roman" w:hAnsi="Times New Roman" w:cs="Times New Roman"/>
                  </w:rPr>
                </w:pPr>
              </w:p>
              <w:p w14:paraId="4228904D" w14:textId="77777777" w:rsidR="005150C2" w:rsidRDefault="005150C2" w:rsidP="004B4663">
                <w:pPr>
                  <w:rPr>
                    <w:rFonts w:ascii="Times New Roman" w:eastAsia="Times New Roman" w:hAnsi="Times New Roman" w:cs="Times New Roman"/>
                  </w:rPr>
                </w:pPr>
              </w:p>
              <w:p w14:paraId="2934B324" w14:textId="77777777" w:rsidR="005150C2" w:rsidRDefault="005150C2" w:rsidP="004B4663">
                <w:pPr>
                  <w:rPr>
                    <w:rFonts w:ascii="Times New Roman" w:eastAsia="Times New Roman" w:hAnsi="Times New Roman" w:cs="Times New Roman"/>
                  </w:rPr>
                </w:pPr>
              </w:p>
              <w:p w14:paraId="65C92565" w14:textId="77777777" w:rsidR="005150C2" w:rsidRDefault="005150C2" w:rsidP="004B4663">
                <w:pPr>
                  <w:rPr>
                    <w:rFonts w:ascii="Times New Roman" w:eastAsia="Times New Roman" w:hAnsi="Times New Roman" w:cs="Times New Roman"/>
                  </w:rPr>
                </w:pPr>
              </w:p>
              <w:p w14:paraId="70AC922B" w14:textId="77777777" w:rsidR="005150C2" w:rsidRDefault="005150C2" w:rsidP="004B4663">
                <w:pPr>
                  <w:rPr>
                    <w:rFonts w:ascii="Times New Roman" w:eastAsia="Times New Roman" w:hAnsi="Times New Roman" w:cs="Times New Roman"/>
                  </w:rPr>
                </w:pPr>
              </w:p>
              <w:p w14:paraId="27706CD7" w14:textId="77777777" w:rsidR="005150C2" w:rsidRDefault="005150C2" w:rsidP="004B4663">
                <w:pPr>
                  <w:rPr>
                    <w:rFonts w:ascii="Times New Roman" w:eastAsia="Times New Roman" w:hAnsi="Times New Roman" w:cs="Times New Roman"/>
                  </w:rPr>
                </w:pPr>
              </w:p>
              <w:p w14:paraId="1F0C3944" w14:textId="77777777" w:rsidR="005150C2" w:rsidRDefault="005150C2" w:rsidP="004B4663">
                <w:pPr>
                  <w:rPr>
                    <w:rFonts w:ascii="Times New Roman" w:eastAsia="Times New Roman" w:hAnsi="Times New Roman" w:cs="Times New Roman"/>
                  </w:rPr>
                </w:pPr>
              </w:p>
              <w:p w14:paraId="32FDB248" w14:textId="77777777" w:rsidR="005150C2" w:rsidRDefault="005150C2" w:rsidP="004B4663">
                <w:pPr>
                  <w:jc w:val="center"/>
                  <w:rPr>
                    <w:rFonts w:ascii="Times New Roman" w:eastAsia="Times New Roman" w:hAnsi="Times New Roman" w:cs="Times New Roman"/>
                  </w:rPr>
                </w:pPr>
                <w:r>
                  <w:rPr>
                    <w:rFonts w:ascii="Times New Roman" w:eastAsia="Times New Roman" w:hAnsi="Times New Roman" w:cs="Times New Roman"/>
                  </w:rPr>
                  <w:t>5</w:t>
                </w:r>
              </w:p>
            </w:tc>
          </w:tr>
          <w:tr w:rsidR="005150C2" w14:paraId="09DE4CF5" w14:textId="77777777" w:rsidTr="004B4663">
            <w:tc>
              <w:tcPr>
                <w:tcW w:w="1650" w:type="dxa"/>
              </w:tcPr>
              <w:p w14:paraId="167F595E"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Scopus</w:t>
                </w:r>
              </w:p>
            </w:tc>
            <w:tc>
              <w:tcPr>
                <w:tcW w:w="4155" w:type="dxa"/>
              </w:tcPr>
              <w:p w14:paraId="2E941D6D"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TITLE-ABS-KEY ("cholera" OR "cholera outbreak" OR "Vibrio cholerae")</w:t>
                </w:r>
              </w:p>
              <w:p w14:paraId="0339B3DF"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AND</w:t>
                </w:r>
              </w:p>
              <w:p w14:paraId="57B61A3F"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TITLE-ABS-KEY ("pollution" OR "environmental pollution" OR "contaminated water" OR "sewage" OR "wastewater" OR "industrial discharge" OR "poor sanitation" OR "environmental contamination")</w:t>
                </w:r>
              </w:p>
              <w:p w14:paraId="0019D17D"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AND</w:t>
                </w:r>
              </w:p>
              <w:p w14:paraId="7986506B"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 xml:space="preserve">TITLE-ABS-KEY ("Sub-Saharan Africa" OR "Africa south of the Sahara" OR "West Africa" OR "East Africa" OR "Central Africa" </w:t>
                </w:r>
              </w:p>
              <w:p w14:paraId="30C818ED"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OR "Nigeria" OR "Ethiopia" OR "Malawi" OR "Kenya" OR "Ghana" OR "Tanzania" OR "Uganda" OR "Mozambique" OR "Chad" OR "Democratic Republic of Congo" OR "DRC" OR "Zambia" OR "Burkina Faso")</w:t>
                </w:r>
              </w:p>
              <w:p w14:paraId="07710D8C"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AND</w:t>
                </w:r>
              </w:p>
              <w:p w14:paraId="17217859"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TITLE-ABS-KEY ("public health intervention" OR "WASH" OR "sanitation" OR "hygiene promotion" OR "health education" OR "disease control" OR "outbreak response" OR "health response")</w:t>
                </w:r>
              </w:p>
              <w:p w14:paraId="7A12A28E"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AND</w:t>
                </w:r>
              </w:p>
              <w:p w14:paraId="37F31294"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TITLE-ABS-KEY ("community impact" OR "morbidity" OR "mortality" OR "socio-economic impact" OR "health burden" OR "vulnerability" OR "health equity")</w:t>
                </w:r>
              </w:p>
            </w:tc>
            <w:tc>
              <w:tcPr>
                <w:tcW w:w="1965" w:type="dxa"/>
              </w:tcPr>
              <w:p w14:paraId="031C8E50" w14:textId="77777777" w:rsidR="005150C2" w:rsidRDefault="005150C2" w:rsidP="004B4663">
                <w:pPr>
                  <w:jc w:val="center"/>
                  <w:rPr>
                    <w:rFonts w:ascii="Times New Roman" w:eastAsia="Times New Roman" w:hAnsi="Times New Roman" w:cs="Times New Roman"/>
                  </w:rPr>
                </w:pPr>
              </w:p>
              <w:p w14:paraId="798C3EAB" w14:textId="77777777" w:rsidR="005150C2" w:rsidRDefault="005150C2" w:rsidP="004B4663">
                <w:pPr>
                  <w:jc w:val="center"/>
                  <w:rPr>
                    <w:rFonts w:ascii="Times New Roman" w:eastAsia="Times New Roman" w:hAnsi="Times New Roman" w:cs="Times New Roman"/>
                  </w:rPr>
                </w:pPr>
              </w:p>
              <w:p w14:paraId="144D1B64" w14:textId="77777777" w:rsidR="005150C2" w:rsidRDefault="005150C2" w:rsidP="004B4663">
                <w:pPr>
                  <w:jc w:val="center"/>
                  <w:rPr>
                    <w:rFonts w:ascii="Times New Roman" w:eastAsia="Times New Roman" w:hAnsi="Times New Roman" w:cs="Times New Roman"/>
                  </w:rPr>
                </w:pPr>
              </w:p>
              <w:p w14:paraId="6D2079B5" w14:textId="77777777" w:rsidR="005150C2" w:rsidRDefault="005150C2" w:rsidP="004B4663">
                <w:pPr>
                  <w:jc w:val="center"/>
                  <w:rPr>
                    <w:rFonts w:ascii="Times New Roman" w:eastAsia="Times New Roman" w:hAnsi="Times New Roman" w:cs="Times New Roman"/>
                  </w:rPr>
                </w:pPr>
              </w:p>
              <w:p w14:paraId="11E9FF4E" w14:textId="77777777" w:rsidR="005150C2" w:rsidRDefault="005150C2" w:rsidP="004B4663">
                <w:pPr>
                  <w:jc w:val="center"/>
                  <w:rPr>
                    <w:rFonts w:ascii="Times New Roman" w:eastAsia="Times New Roman" w:hAnsi="Times New Roman" w:cs="Times New Roman"/>
                  </w:rPr>
                </w:pPr>
              </w:p>
              <w:p w14:paraId="58F41233" w14:textId="77777777" w:rsidR="005150C2" w:rsidRDefault="005150C2" w:rsidP="004B4663">
                <w:pPr>
                  <w:jc w:val="center"/>
                  <w:rPr>
                    <w:rFonts w:ascii="Times New Roman" w:eastAsia="Times New Roman" w:hAnsi="Times New Roman" w:cs="Times New Roman"/>
                  </w:rPr>
                </w:pPr>
              </w:p>
              <w:p w14:paraId="266B1794" w14:textId="77777777" w:rsidR="005150C2" w:rsidRDefault="005150C2" w:rsidP="004B4663">
                <w:pPr>
                  <w:jc w:val="center"/>
                  <w:rPr>
                    <w:rFonts w:ascii="Times New Roman" w:eastAsia="Times New Roman" w:hAnsi="Times New Roman" w:cs="Times New Roman"/>
                  </w:rPr>
                </w:pPr>
              </w:p>
              <w:p w14:paraId="75745590" w14:textId="77777777" w:rsidR="005150C2" w:rsidRDefault="005150C2" w:rsidP="004B4663">
                <w:pPr>
                  <w:jc w:val="center"/>
                  <w:rPr>
                    <w:rFonts w:ascii="Times New Roman" w:eastAsia="Times New Roman" w:hAnsi="Times New Roman" w:cs="Times New Roman"/>
                  </w:rPr>
                </w:pPr>
              </w:p>
              <w:p w14:paraId="0B037C7D" w14:textId="77777777" w:rsidR="005150C2" w:rsidRDefault="005150C2" w:rsidP="004B4663">
                <w:pPr>
                  <w:jc w:val="center"/>
                  <w:rPr>
                    <w:rFonts w:ascii="Times New Roman" w:eastAsia="Times New Roman" w:hAnsi="Times New Roman" w:cs="Times New Roman"/>
                  </w:rPr>
                </w:pPr>
              </w:p>
              <w:p w14:paraId="1FCB6E9A" w14:textId="77777777" w:rsidR="005150C2" w:rsidRDefault="005150C2" w:rsidP="004B4663">
                <w:pPr>
                  <w:jc w:val="center"/>
                  <w:rPr>
                    <w:rFonts w:ascii="Times New Roman" w:eastAsia="Times New Roman" w:hAnsi="Times New Roman" w:cs="Times New Roman"/>
                  </w:rPr>
                </w:pPr>
              </w:p>
              <w:p w14:paraId="5A5EBD58" w14:textId="77777777" w:rsidR="005150C2" w:rsidRDefault="005150C2" w:rsidP="004B4663">
                <w:pPr>
                  <w:jc w:val="center"/>
                  <w:rPr>
                    <w:rFonts w:ascii="Times New Roman" w:eastAsia="Times New Roman" w:hAnsi="Times New Roman" w:cs="Times New Roman"/>
                  </w:rPr>
                </w:pPr>
              </w:p>
              <w:p w14:paraId="7F92CA08" w14:textId="77777777" w:rsidR="005150C2" w:rsidRDefault="005150C2" w:rsidP="004B4663">
                <w:pPr>
                  <w:jc w:val="center"/>
                  <w:rPr>
                    <w:rFonts w:ascii="Times New Roman" w:eastAsia="Times New Roman" w:hAnsi="Times New Roman" w:cs="Times New Roman"/>
                  </w:rPr>
                </w:pPr>
              </w:p>
              <w:p w14:paraId="3D5D98C8" w14:textId="77777777" w:rsidR="005150C2" w:rsidRDefault="005150C2" w:rsidP="004B4663">
                <w:pPr>
                  <w:jc w:val="center"/>
                  <w:rPr>
                    <w:rFonts w:ascii="Times New Roman" w:eastAsia="Times New Roman" w:hAnsi="Times New Roman" w:cs="Times New Roman"/>
                  </w:rPr>
                </w:pPr>
              </w:p>
              <w:p w14:paraId="4ABAFE82" w14:textId="77777777" w:rsidR="005150C2" w:rsidRDefault="005150C2" w:rsidP="004B4663">
                <w:pPr>
                  <w:jc w:val="center"/>
                  <w:rPr>
                    <w:rFonts w:ascii="Times New Roman" w:eastAsia="Times New Roman" w:hAnsi="Times New Roman" w:cs="Times New Roman"/>
                  </w:rPr>
                </w:pPr>
              </w:p>
              <w:p w14:paraId="02C29081" w14:textId="77777777" w:rsidR="005150C2" w:rsidRDefault="005150C2" w:rsidP="004B4663">
                <w:pPr>
                  <w:jc w:val="center"/>
                  <w:rPr>
                    <w:rFonts w:ascii="Times New Roman" w:eastAsia="Times New Roman" w:hAnsi="Times New Roman" w:cs="Times New Roman"/>
                  </w:rPr>
                </w:pPr>
              </w:p>
              <w:p w14:paraId="7D2E5F14" w14:textId="77777777" w:rsidR="005150C2" w:rsidRDefault="005150C2" w:rsidP="004B4663">
                <w:pPr>
                  <w:jc w:val="center"/>
                  <w:rPr>
                    <w:rFonts w:ascii="Times New Roman" w:eastAsia="Times New Roman" w:hAnsi="Times New Roman" w:cs="Times New Roman"/>
                  </w:rPr>
                </w:pPr>
              </w:p>
              <w:p w14:paraId="770287A3" w14:textId="77777777" w:rsidR="005150C2" w:rsidRDefault="005150C2" w:rsidP="004B4663">
                <w:pPr>
                  <w:jc w:val="center"/>
                  <w:rPr>
                    <w:rFonts w:ascii="Times New Roman" w:eastAsia="Times New Roman" w:hAnsi="Times New Roman" w:cs="Times New Roman"/>
                  </w:rPr>
                </w:pPr>
              </w:p>
              <w:p w14:paraId="371A756C" w14:textId="77777777" w:rsidR="005150C2" w:rsidRDefault="005150C2" w:rsidP="004B4663">
                <w:pPr>
                  <w:jc w:val="center"/>
                  <w:rPr>
                    <w:rFonts w:ascii="Times New Roman" w:eastAsia="Times New Roman" w:hAnsi="Times New Roman" w:cs="Times New Roman"/>
                  </w:rPr>
                </w:pPr>
              </w:p>
              <w:p w14:paraId="0D1777CB" w14:textId="77777777" w:rsidR="005150C2" w:rsidRDefault="005150C2" w:rsidP="004B4663">
                <w:pPr>
                  <w:jc w:val="center"/>
                  <w:rPr>
                    <w:rFonts w:ascii="Times New Roman" w:eastAsia="Times New Roman" w:hAnsi="Times New Roman" w:cs="Times New Roman"/>
                  </w:rPr>
                </w:pPr>
              </w:p>
              <w:p w14:paraId="585B6C21" w14:textId="77777777" w:rsidR="005150C2" w:rsidRDefault="005150C2" w:rsidP="004B4663">
                <w:pPr>
                  <w:jc w:val="center"/>
                  <w:rPr>
                    <w:rFonts w:ascii="Times New Roman" w:eastAsia="Times New Roman" w:hAnsi="Times New Roman" w:cs="Times New Roman"/>
                  </w:rPr>
                </w:pPr>
                <w:r>
                  <w:rPr>
                    <w:rFonts w:ascii="Times New Roman" w:eastAsia="Times New Roman" w:hAnsi="Times New Roman" w:cs="Times New Roman"/>
                  </w:rPr>
                  <w:t>10</w:t>
                </w:r>
              </w:p>
            </w:tc>
            <w:tc>
              <w:tcPr>
                <w:tcW w:w="2040" w:type="dxa"/>
              </w:tcPr>
              <w:p w14:paraId="46500F78" w14:textId="77777777" w:rsidR="005150C2" w:rsidRDefault="005150C2" w:rsidP="004B4663">
                <w:pPr>
                  <w:rPr>
                    <w:rFonts w:ascii="Times New Roman" w:eastAsia="Times New Roman" w:hAnsi="Times New Roman" w:cs="Times New Roman"/>
                  </w:rPr>
                </w:pPr>
              </w:p>
              <w:p w14:paraId="086E5480" w14:textId="77777777" w:rsidR="005150C2" w:rsidRDefault="005150C2" w:rsidP="004B4663">
                <w:pPr>
                  <w:rPr>
                    <w:rFonts w:ascii="Times New Roman" w:eastAsia="Times New Roman" w:hAnsi="Times New Roman" w:cs="Times New Roman"/>
                  </w:rPr>
                </w:pPr>
              </w:p>
              <w:p w14:paraId="0BAC672E" w14:textId="77777777" w:rsidR="005150C2" w:rsidRDefault="005150C2" w:rsidP="004B4663">
                <w:pPr>
                  <w:rPr>
                    <w:rFonts w:ascii="Times New Roman" w:eastAsia="Times New Roman" w:hAnsi="Times New Roman" w:cs="Times New Roman"/>
                  </w:rPr>
                </w:pPr>
              </w:p>
              <w:p w14:paraId="6FFEF76C" w14:textId="77777777" w:rsidR="005150C2" w:rsidRDefault="005150C2" w:rsidP="004B4663">
                <w:pPr>
                  <w:rPr>
                    <w:rFonts w:ascii="Times New Roman" w:eastAsia="Times New Roman" w:hAnsi="Times New Roman" w:cs="Times New Roman"/>
                  </w:rPr>
                </w:pPr>
              </w:p>
              <w:p w14:paraId="2366CE6A" w14:textId="77777777" w:rsidR="005150C2" w:rsidRDefault="005150C2" w:rsidP="004B4663">
                <w:pPr>
                  <w:rPr>
                    <w:rFonts w:ascii="Times New Roman" w:eastAsia="Times New Roman" w:hAnsi="Times New Roman" w:cs="Times New Roman"/>
                  </w:rPr>
                </w:pPr>
              </w:p>
              <w:p w14:paraId="3A098CCE" w14:textId="77777777" w:rsidR="005150C2" w:rsidRDefault="005150C2" w:rsidP="004B4663">
                <w:pPr>
                  <w:rPr>
                    <w:rFonts w:ascii="Times New Roman" w:eastAsia="Times New Roman" w:hAnsi="Times New Roman" w:cs="Times New Roman"/>
                  </w:rPr>
                </w:pPr>
              </w:p>
              <w:p w14:paraId="1B6B7B94" w14:textId="77777777" w:rsidR="005150C2" w:rsidRDefault="005150C2" w:rsidP="004B4663">
                <w:pPr>
                  <w:rPr>
                    <w:rFonts w:ascii="Times New Roman" w:eastAsia="Times New Roman" w:hAnsi="Times New Roman" w:cs="Times New Roman"/>
                  </w:rPr>
                </w:pPr>
              </w:p>
              <w:p w14:paraId="05708DD9" w14:textId="77777777" w:rsidR="005150C2" w:rsidRDefault="005150C2" w:rsidP="004B4663">
                <w:pPr>
                  <w:rPr>
                    <w:rFonts w:ascii="Times New Roman" w:eastAsia="Times New Roman" w:hAnsi="Times New Roman" w:cs="Times New Roman"/>
                  </w:rPr>
                </w:pPr>
              </w:p>
              <w:p w14:paraId="49FE7055" w14:textId="77777777" w:rsidR="005150C2" w:rsidRDefault="005150C2" w:rsidP="004B4663">
                <w:pPr>
                  <w:rPr>
                    <w:rFonts w:ascii="Times New Roman" w:eastAsia="Times New Roman" w:hAnsi="Times New Roman" w:cs="Times New Roman"/>
                  </w:rPr>
                </w:pPr>
              </w:p>
              <w:p w14:paraId="4128570D" w14:textId="77777777" w:rsidR="005150C2" w:rsidRDefault="005150C2" w:rsidP="004B4663">
                <w:pPr>
                  <w:rPr>
                    <w:rFonts w:ascii="Times New Roman" w:eastAsia="Times New Roman" w:hAnsi="Times New Roman" w:cs="Times New Roman"/>
                  </w:rPr>
                </w:pPr>
              </w:p>
              <w:p w14:paraId="43A07653" w14:textId="77777777" w:rsidR="005150C2" w:rsidRDefault="005150C2" w:rsidP="004B4663">
                <w:pPr>
                  <w:rPr>
                    <w:rFonts w:ascii="Times New Roman" w:eastAsia="Times New Roman" w:hAnsi="Times New Roman" w:cs="Times New Roman"/>
                  </w:rPr>
                </w:pPr>
              </w:p>
              <w:p w14:paraId="7DE81781" w14:textId="77777777" w:rsidR="005150C2" w:rsidRDefault="005150C2" w:rsidP="004B4663">
                <w:pPr>
                  <w:rPr>
                    <w:rFonts w:ascii="Times New Roman" w:eastAsia="Times New Roman" w:hAnsi="Times New Roman" w:cs="Times New Roman"/>
                  </w:rPr>
                </w:pPr>
              </w:p>
              <w:p w14:paraId="4BDAA966" w14:textId="77777777" w:rsidR="005150C2" w:rsidRDefault="005150C2" w:rsidP="004B4663">
                <w:pPr>
                  <w:rPr>
                    <w:rFonts w:ascii="Times New Roman" w:eastAsia="Times New Roman" w:hAnsi="Times New Roman" w:cs="Times New Roman"/>
                  </w:rPr>
                </w:pPr>
              </w:p>
              <w:p w14:paraId="1EA17983" w14:textId="77777777" w:rsidR="005150C2" w:rsidRDefault="005150C2" w:rsidP="004B4663">
                <w:pPr>
                  <w:rPr>
                    <w:rFonts w:ascii="Times New Roman" w:eastAsia="Times New Roman" w:hAnsi="Times New Roman" w:cs="Times New Roman"/>
                  </w:rPr>
                </w:pPr>
              </w:p>
              <w:p w14:paraId="33BF46B2" w14:textId="77777777" w:rsidR="005150C2" w:rsidRDefault="005150C2" w:rsidP="004B4663">
                <w:pPr>
                  <w:rPr>
                    <w:rFonts w:ascii="Times New Roman" w:eastAsia="Times New Roman" w:hAnsi="Times New Roman" w:cs="Times New Roman"/>
                  </w:rPr>
                </w:pPr>
              </w:p>
              <w:p w14:paraId="4C07E5AB" w14:textId="77777777" w:rsidR="005150C2" w:rsidRDefault="005150C2" w:rsidP="004B4663">
                <w:pPr>
                  <w:rPr>
                    <w:rFonts w:ascii="Times New Roman" w:eastAsia="Times New Roman" w:hAnsi="Times New Roman" w:cs="Times New Roman"/>
                  </w:rPr>
                </w:pPr>
              </w:p>
              <w:p w14:paraId="6602A424" w14:textId="77777777" w:rsidR="005150C2" w:rsidRDefault="005150C2" w:rsidP="004B4663">
                <w:pPr>
                  <w:rPr>
                    <w:rFonts w:ascii="Times New Roman" w:eastAsia="Times New Roman" w:hAnsi="Times New Roman" w:cs="Times New Roman"/>
                  </w:rPr>
                </w:pPr>
              </w:p>
              <w:p w14:paraId="0E5FDCD0" w14:textId="77777777" w:rsidR="005150C2" w:rsidRDefault="005150C2" w:rsidP="004B4663">
                <w:pPr>
                  <w:rPr>
                    <w:rFonts w:ascii="Times New Roman" w:eastAsia="Times New Roman" w:hAnsi="Times New Roman" w:cs="Times New Roman"/>
                  </w:rPr>
                </w:pPr>
              </w:p>
              <w:p w14:paraId="0EA6C1FA" w14:textId="77777777" w:rsidR="005150C2" w:rsidRDefault="005150C2" w:rsidP="004B4663">
                <w:pPr>
                  <w:rPr>
                    <w:rFonts w:ascii="Times New Roman" w:eastAsia="Times New Roman" w:hAnsi="Times New Roman" w:cs="Times New Roman"/>
                  </w:rPr>
                </w:pPr>
              </w:p>
              <w:p w14:paraId="2E6C3FF4" w14:textId="77777777" w:rsidR="005150C2" w:rsidRDefault="005150C2" w:rsidP="004B4663">
                <w:pPr>
                  <w:jc w:val="center"/>
                  <w:rPr>
                    <w:rFonts w:ascii="Times New Roman" w:eastAsia="Times New Roman" w:hAnsi="Times New Roman" w:cs="Times New Roman"/>
                  </w:rPr>
                </w:pPr>
                <w:r>
                  <w:rPr>
                    <w:rFonts w:ascii="Times New Roman" w:eastAsia="Times New Roman" w:hAnsi="Times New Roman" w:cs="Times New Roman"/>
                  </w:rPr>
                  <w:t>8</w:t>
                </w:r>
              </w:p>
            </w:tc>
          </w:tr>
          <w:tr w:rsidR="005150C2" w14:paraId="5EFB7DE8" w14:textId="77777777" w:rsidTr="004B4663">
            <w:tc>
              <w:tcPr>
                <w:tcW w:w="1650" w:type="dxa"/>
              </w:tcPr>
              <w:p w14:paraId="303B1A43"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Google Scholar</w:t>
                </w:r>
              </w:p>
            </w:tc>
            <w:tc>
              <w:tcPr>
                <w:tcW w:w="4155" w:type="dxa"/>
              </w:tcPr>
              <w:p w14:paraId="666B4C36"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 xml:space="preserve">"Cholera outbreak" "Sub-Saharan Africa" "pollution" "contaminated </w:t>
                </w:r>
                <w:r>
                  <w:rPr>
                    <w:rFonts w:ascii="Times New Roman" w:eastAsia="Times New Roman" w:hAnsi="Times New Roman" w:cs="Times New Roman"/>
                  </w:rPr>
                  <w:lastRenderedPageBreak/>
                  <w:t>water" "public health intervention" "community impact"</w:t>
                </w:r>
              </w:p>
            </w:tc>
            <w:tc>
              <w:tcPr>
                <w:tcW w:w="1965" w:type="dxa"/>
              </w:tcPr>
              <w:p w14:paraId="3D57A595" w14:textId="77777777" w:rsidR="005150C2" w:rsidRDefault="005150C2" w:rsidP="004B4663">
                <w:pPr>
                  <w:jc w:val="center"/>
                  <w:rPr>
                    <w:rFonts w:ascii="Times New Roman" w:eastAsia="Times New Roman" w:hAnsi="Times New Roman" w:cs="Times New Roman"/>
                  </w:rPr>
                </w:pPr>
              </w:p>
              <w:p w14:paraId="66782988" w14:textId="77777777" w:rsidR="005150C2" w:rsidRDefault="005150C2" w:rsidP="004B4663">
                <w:pPr>
                  <w:jc w:val="center"/>
                  <w:rPr>
                    <w:rFonts w:ascii="Times New Roman" w:eastAsia="Times New Roman" w:hAnsi="Times New Roman" w:cs="Times New Roman"/>
                  </w:rPr>
                </w:pPr>
              </w:p>
              <w:p w14:paraId="2ADE2F88" w14:textId="77777777" w:rsidR="005150C2" w:rsidRDefault="005150C2" w:rsidP="004B4663">
                <w:pPr>
                  <w:jc w:val="center"/>
                  <w:rPr>
                    <w:rFonts w:ascii="Times New Roman" w:eastAsia="Times New Roman" w:hAnsi="Times New Roman" w:cs="Times New Roman"/>
                  </w:rPr>
                </w:pPr>
              </w:p>
              <w:p w14:paraId="28D2482E" w14:textId="77777777" w:rsidR="005150C2" w:rsidRDefault="005150C2" w:rsidP="004B4663">
                <w:pPr>
                  <w:jc w:val="center"/>
                  <w:rPr>
                    <w:rFonts w:ascii="Times New Roman" w:eastAsia="Times New Roman" w:hAnsi="Times New Roman" w:cs="Times New Roman"/>
                  </w:rPr>
                </w:pPr>
                <w:r>
                  <w:rPr>
                    <w:rFonts w:ascii="Times New Roman" w:eastAsia="Times New Roman" w:hAnsi="Times New Roman" w:cs="Times New Roman"/>
                  </w:rPr>
                  <w:t>6</w:t>
                </w:r>
              </w:p>
            </w:tc>
            <w:tc>
              <w:tcPr>
                <w:tcW w:w="2040" w:type="dxa"/>
              </w:tcPr>
              <w:p w14:paraId="2627C309" w14:textId="77777777" w:rsidR="005150C2" w:rsidRDefault="005150C2" w:rsidP="004B4663">
                <w:pPr>
                  <w:rPr>
                    <w:rFonts w:ascii="Times New Roman" w:eastAsia="Times New Roman" w:hAnsi="Times New Roman" w:cs="Times New Roman"/>
                  </w:rPr>
                </w:pPr>
              </w:p>
              <w:p w14:paraId="5E71FE32" w14:textId="77777777" w:rsidR="005150C2" w:rsidRDefault="005150C2" w:rsidP="004B4663">
                <w:pPr>
                  <w:rPr>
                    <w:rFonts w:ascii="Times New Roman" w:eastAsia="Times New Roman" w:hAnsi="Times New Roman" w:cs="Times New Roman"/>
                  </w:rPr>
                </w:pPr>
              </w:p>
              <w:p w14:paraId="56319A68" w14:textId="77777777" w:rsidR="005150C2" w:rsidRDefault="005150C2" w:rsidP="004B4663">
                <w:pPr>
                  <w:rPr>
                    <w:rFonts w:ascii="Times New Roman" w:eastAsia="Times New Roman" w:hAnsi="Times New Roman" w:cs="Times New Roman"/>
                  </w:rPr>
                </w:pPr>
              </w:p>
              <w:p w14:paraId="47FD643E" w14:textId="77777777" w:rsidR="005150C2" w:rsidRDefault="005150C2" w:rsidP="004B4663">
                <w:pPr>
                  <w:jc w:val="center"/>
                  <w:rPr>
                    <w:rFonts w:ascii="Times New Roman" w:eastAsia="Times New Roman" w:hAnsi="Times New Roman" w:cs="Times New Roman"/>
                  </w:rPr>
                </w:pPr>
                <w:r>
                  <w:rPr>
                    <w:rFonts w:ascii="Times New Roman" w:eastAsia="Times New Roman" w:hAnsi="Times New Roman" w:cs="Times New Roman"/>
                  </w:rPr>
                  <w:t>2</w:t>
                </w:r>
              </w:p>
            </w:tc>
          </w:tr>
          <w:tr w:rsidR="005150C2" w14:paraId="409A7012" w14:textId="77777777" w:rsidTr="004B4663">
            <w:tc>
              <w:tcPr>
                <w:tcW w:w="1650" w:type="dxa"/>
              </w:tcPr>
              <w:p w14:paraId="711A0FE2"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lastRenderedPageBreak/>
                  <w:t>AJOL</w:t>
                </w:r>
              </w:p>
            </w:tc>
            <w:tc>
              <w:tcPr>
                <w:tcW w:w="4155" w:type="dxa"/>
              </w:tcPr>
              <w:p w14:paraId="0FE052CE"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cholera outbreak Sub-Saharan Africa pollution</w:t>
                </w:r>
              </w:p>
            </w:tc>
            <w:tc>
              <w:tcPr>
                <w:tcW w:w="1965" w:type="dxa"/>
              </w:tcPr>
              <w:p w14:paraId="2BD56C7F" w14:textId="77777777" w:rsidR="005150C2" w:rsidRDefault="005150C2" w:rsidP="004B4663">
                <w:pPr>
                  <w:jc w:val="center"/>
                  <w:rPr>
                    <w:rFonts w:ascii="Times New Roman" w:eastAsia="Times New Roman" w:hAnsi="Times New Roman" w:cs="Times New Roman"/>
                  </w:rPr>
                </w:pPr>
                <w:r>
                  <w:rPr>
                    <w:rFonts w:ascii="Times New Roman" w:eastAsia="Times New Roman" w:hAnsi="Times New Roman" w:cs="Times New Roman"/>
                  </w:rPr>
                  <w:t>5</w:t>
                </w:r>
              </w:p>
            </w:tc>
            <w:tc>
              <w:tcPr>
                <w:tcW w:w="2040" w:type="dxa"/>
              </w:tcPr>
              <w:p w14:paraId="35B01ECD" w14:textId="77777777" w:rsidR="005150C2" w:rsidRDefault="005150C2" w:rsidP="004B4663">
                <w:pPr>
                  <w:jc w:val="center"/>
                  <w:rPr>
                    <w:rFonts w:ascii="Times New Roman" w:eastAsia="Times New Roman" w:hAnsi="Times New Roman" w:cs="Times New Roman"/>
                  </w:rPr>
                </w:pPr>
                <w:r>
                  <w:rPr>
                    <w:rFonts w:ascii="Times New Roman" w:eastAsia="Times New Roman" w:hAnsi="Times New Roman" w:cs="Times New Roman"/>
                  </w:rPr>
                  <w:t>4</w:t>
                </w:r>
              </w:p>
            </w:tc>
          </w:tr>
          <w:tr w:rsidR="005150C2" w14:paraId="5DBF0D4A" w14:textId="77777777" w:rsidTr="004B4663">
            <w:tc>
              <w:tcPr>
                <w:tcW w:w="5805" w:type="dxa"/>
                <w:gridSpan w:val="2"/>
              </w:tcPr>
              <w:p w14:paraId="7FCA34F5"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Total Included</w:t>
                </w:r>
              </w:p>
            </w:tc>
            <w:tc>
              <w:tcPr>
                <w:tcW w:w="1965" w:type="dxa"/>
              </w:tcPr>
              <w:p w14:paraId="0B5E93B8" w14:textId="77777777" w:rsidR="005150C2" w:rsidRDefault="005150C2" w:rsidP="004B4663">
                <w:pPr>
                  <w:jc w:val="center"/>
                  <w:rPr>
                    <w:rFonts w:ascii="Times New Roman" w:eastAsia="Times New Roman" w:hAnsi="Times New Roman" w:cs="Times New Roman"/>
                  </w:rPr>
                </w:pPr>
                <w:r>
                  <w:rPr>
                    <w:rFonts w:ascii="Times New Roman" w:eastAsia="Times New Roman" w:hAnsi="Times New Roman" w:cs="Times New Roman"/>
                  </w:rPr>
                  <w:t>27</w:t>
                </w:r>
              </w:p>
            </w:tc>
            <w:tc>
              <w:tcPr>
                <w:tcW w:w="2040" w:type="dxa"/>
              </w:tcPr>
              <w:p w14:paraId="46559EEF" w14:textId="77777777" w:rsidR="005150C2" w:rsidRDefault="005150C2" w:rsidP="004B4663">
                <w:pPr>
                  <w:jc w:val="center"/>
                  <w:rPr>
                    <w:rFonts w:ascii="Times New Roman" w:eastAsia="Times New Roman" w:hAnsi="Times New Roman" w:cs="Times New Roman"/>
                  </w:rPr>
                </w:pPr>
                <w:r>
                  <w:rPr>
                    <w:rFonts w:ascii="Times New Roman" w:eastAsia="Times New Roman" w:hAnsi="Times New Roman" w:cs="Times New Roman"/>
                  </w:rPr>
                  <w:t>19</w:t>
                </w:r>
              </w:p>
            </w:tc>
          </w:tr>
        </w:tbl>
      </w:sdtContent>
    </w:sdt>
    <w:p w14:paraId="056DC141" w14:textId="77777777" w:rsidR="005150C2" w:rsidRDefault="005150C2" w:rsidP="005150C2">
      <w:pPr>
        <w:spacing w:line="259" w:lineRule="auto"/>
        <w:rPr>
          <w:rFonts w:ascii="Times New Roman" w:eastAsia="Times New Roman" w:hAnsi="Times New Roman" w:cs="Times New Roman"/>
          <w:b/>
          <w:bCs/>
        </w:rPr>
      </w:pPr>
    </w:p>
    <w:p w14:paraId="5E9B8745" w14:textId="77777777" w:rsidR="005150C2" w:rsidRDefault="005150C2" w:rsidP="005150C2">
      <w:pPr>
        <w:jc w:val="both"/>
        <w:rPr>
          <w:rFonts w:ascii="Times New Roman" w:eastAsia="Times New Roman" w:hAnsi="Times New Roman" w:cs="Times New Roman"/>
        </w:rPr>
      </w:pPr>
    </w:p>
    <w:p w14:paraId="0FA145CD" w14:textId="77777777" w:rsidR="005150C2" w:rsidRDefault="005150C2" w:rsidP="005150C2">
      <w:pPr>
        <w:jc w:val="both"/>
        <w:rPr>
          <w:rFonts w:ascii="Times New Roman" w:eastAsia="Times New Roman" w:hAnsi="Times New Roman" w:cs="Times New Roman"/>
        </w:rPr>
      </w:pPr>
    </w:p>
    <w:p w14:paraId="38FF73E2" w14:textId="77777777" w:rsidR="005150C2" w:rsidRDefault="005150C2" w:rsidP="005150C2">
      <w:pPr>
        <w:jc w:val="both"/>
        <w:rPr>
          <w:rFonts w:ascii="Times New Roman" w:eastAsia="Times New Roman" w:hAnsi="Times New Roman" w:cs="Times New Roman"/>
        </w:rPr>
      </w:pPr>
    </w:p>
    <w:p w14:paraId="3B0D7799" w14:textId="77777777" w:rsidR="005150C2" w:rsidRDefault="005150C2" w:rsidP="005150C2">
      <w:pPr>
        <w:jc w:val="both"/>
        <w:rPr>
          <w:rFonts w:ascii="Times New Roman" w:eastAsia="Times New Roman" w:hAnsi="Times New Roman" w:cs="Times New Roman"/>
        </w:rPr>
      </w:pPr>
    </w:p>
    <w:p w14:paraId="0EB201E6" w14:textId="77777777" w:rsidR="005150C2" w:rsidRDefault="005150C2" w:rsidP="005150C2">
      <w:pPr>
        <w:jc w:val="both"/>
        <w:rPr>
          <w:rFonts w:ascii="Times New Roman" w:eastAsia="Times New Roman" w:hAnsi="Times New Roman" w:cs="Times New Roman"/>
        </w:rPr>
      </w:pPr>
    </w:p>
    <w:p w14:paraId="5DFF9BCF" w14:textId="77777777" w:rsidR="005150C2" w:rsidRDefault="005150C2" w:rsidP="005150C2">
      <w:pPr>
        <w:jc w:val="both"/>
        <w:rPr>
          <w:rFonts w:ascii="Times New Roman" w:eastAsia="Times New Roman" w:hAnsi="Times New Roman" w:cs="Times New Roman"/>
        </w:rPr>
      </w:pPr>
    </w:p>
    <w:p w14:paraId="32094A70" w14:textId="77777777" w:rsidR="005150C2" w:rsidRDefault="005150C2" w:rsidP="005150C2">
      <w:pPr>
        <w:jc w:val="both"/>
        <w:rPr>
          <w:rFonts w:ascii="Times New Roman" w:eastAsia="Times New Roman" w:hAnsi="Times New Roman" w:cs="Times New Roman"/>
        </w:rPr>
      </w:pPr>
    </w:p>
    <w:p w14:paraId="2979764B" w14:textId="77777777" w:rsidR="005150C2" w:rsidRDefault="005150C2" w:rsidP="005150C2">
      <w:pPr>
        <w:jc w:val="both"/>
        <w:rPr>
          <w:rFonts w:ascii="Times New Roman" w:eastAsia="Times New Roman" w:hAnsi="Times New Roman" w:cs="Times New Roman"/>
        </w:rPr>
      </w:pPr>
    </w:p>
    <w:p w14:paraId="33BBD94A" w14:textId="77777777" w:rsidR="005150C2" w:rsidRDefault="005150C2" w:rsidP="005150C2">
      <w:pPr>
        <w:jc w:val="both"/>
        <w:rPr>
          <w:rFonts w:ascii="Times New Roman" w:eastAsia="Times New Roman" w:hAnsi="Times New Roman" w:cs="Times New Roman"/>
        </w:rPr>
      </w:pPr>
    </w:p>
    <w:p w14:paraId="488BAEA5" w14:textId="77777777" w:rsidR="005150C2" w:rsidRDefault="005150C2" w:rsidP="005150C2">
      <w:pPr>
        <w:jc w:val="both"/>
        <w:rPr>
          <w:rFonts w:ascii="Times New Roman" w:eastAsia="Times New Roman" w:hAnsi="Times New Roman" w:cs="Times New Roman"/>
        </w:rPr>
      </w:pPr>
    </w:p>
    <w:p w14:paraId="31B7C3B6" w14:textId="77777777" w:rsidR="005150C2" w:rsidRDefault="005150C2" w:rsidP="005150C2">
      <w:pPr>
        <w:jc w:val="both"/>
        <w:rPr>
          <w:rFonts w:ascii="Times New Roman" w:eastAsia="Times New Roman" w:hAnsi="Times New Roman" w:cs="Times New Roman"/>
        </w:rPr>
      </w:pPr>
    </w:p>
    <w:p w14:paraId="71DBF9CD" w14:textId="77777777" w:rsidR="005150C2" w:rsidRDefault="005150C2" w:rsidP="005150C2">
      <w:pPr>
        <w:jc w:val="both"/>
        <w:rPr>
          <w:rFonts w:ascii="Times New Roman" w:eastAsia="Times New Roman" w:hAnsi="Times New Roman" w:cs="Times New Roman"/>
        </w:rPr>
      </w:pPr>
    </w:p>
    <w:sdt>
      <w:sdtPr>
        <w:rPr>
          <w:b/>
          <w:bCs/>
        </w:rPr>
        <w:tag w:val="goog_rdk_2"/>
        <w:id w:val="1455788087"/>
        <w:lock w:val="contentLocked"/>
      </w:sdtPr>
      <w:sdtEndPr>
        <w:rPr>
          <w:b w:val="0"/>
          <w:bCs w:val="0"/>
        </w:rPr>
      </w:sdtEndPr>
      <w:sdtContent>
        <w:tbl>
          <w:tblPr>
            <w:tblpPr w:leftFromText="180" w:rightFromText="180" w:topFromText="180" w:bottomFromText="180" w:vertAnchor="text" w:tblpX="287"/>
            <w:tblW w:w="1036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275"/>
            <w:gridCol w:w="1275"/>
            <w:gridCol w:w="1440"/>
            <w:gridCol w:w="1260"/>
            <w:gridCol w:w="2025"/>
            <w:gridCol w:w="1590"/>
            <w:gridCol w:w="1500"/>
          </w:tblGrid>
          <w:tr w:rsidR="005150C2" w14:paraId="091B0C16" w14:textId="77777777" w:rsidTr="004B4663">
            <w:trPr>
              <w:trHeight w:val="360"/>
              <w:tblHeader/>
            </w:trPr>
            <w:tc>
              <w:tcPr>
                <w:tcW w:w="10365" w:type="dxa"/>
                <w:gridSpan w:val="7"/>
                <w:shd w:val="clear" w:color="auto" w:fill="F1F3F4"/>
              </w:tcPr>
              <w:p w14:paraId="1F0B21C4" w14:textId="77777777" w:rsidR="005150C2" w:rsidRDefault="005150C2" w:rsidP="004B4663">
                <w:pPr>
                  <w:jc w:val="both"/>
                </w:pPr>
                <w:r>
                  <w:rPr>
                    <w:rFonts w:ascii="Times New Roman" w:eastAsia="Times New Roman" w:hAnsi="Times New Roman" w:cs="Times New Roman"/>
                  </w:rPr>
                  <w:t>Table 3: Characteristics of Included Studies.</w:t>
                </w:r>
              </w:p>
            </w:tc>
          </w:tr>
          <w:tr w:rsidR="005150C2" w14:paraId="39C39D77" w14:textId="77777777" w:rsidTr="004B4663">
            <w:tc>
              <w:tcPr>
                <w:tcW w:w="1275" w:type="dxa"/>
              </w:tcPr>
              <w:p w14:paraId="6DAB5E17"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Author(s), Year</w:t>
                </w:r>
              </w:p>
            </w:tc>
            <w:tc>
              <w:tcPr>
                <w:tcW w:w="1275" w:type="dxa"/>
              </w:tcPr>
              <w:p w14:paraId="624577BD" w14:textId="77777777" w:rsidR="005150C2" w:rsidRDefault="005150C2" w:rsidP="004B4663">
                <w:pPr>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Country</w:t>
                </w:r>
              </w:p>
            </w:tc>
            <w:tc>
              <w:tcPr>
                <w:tcW w:w="1440" w:type="dxa"/>
              </w:tcPr>
              <w:p w14:paraId="1E0F7058" w14:textId="77777777" w:rsidR="005150C2" w:rsidRDefault="005150C2" w:rsidP="004B4663">
                <w:pPr>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Study Design</w:t>
                </w:r>
              </w:p>
            </w:tc>
            <w:tc>
              <w:tcPr>
                <w:tcW w:w="1260" w:type="dxa"/>
              </w:tcPr>
              <w:p w14:paraId="51559BE9" w14:textId="77777777" w:rsidR="005150C2" w:rsidRDefault="005150C2" w:rsidP="004B4663">
                <w:pPr>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Population</w:t>
                </w:r>
              </w:p>
            </w:tc>
            <w:tc>
              <w:tcPr>
                <w:tcW w:w="2025" w:type="dxa"/>
              </w:tcPr>
              <w:p w14:paraId="5C4B1F78" w14:textId="77777777" w:rsidR="005150C2" w:rsidRDefault="005150C2" w:rsidP="004B4663">
                <w:pPr>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Public Health Intervention &amp; Impact</w:t>
                </w:r>
              </w:p>
            </w:tc>
            <w:tc>
              <w:tcPr>
                <w:tcW w:w="1590" w:type="dxa"/>
              </w:tcPr>
              <w:p w14:paraId="49033907" w14:textId="77777777" w:rsidR="005150C2" w:rsidRDefault="005150C2" w:rsidP="004B4663">
                <w:pPr>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Reported WASH Outcomes</w:t>
                </w:r>
              </w:p>
            </w:tc>
            <w:tc>
              <w:tcPr>
                <w:tcW w:w="1500" w:type="dxa"/>
              </w:tcPr>
              <w:p w14:paraId="1BAF93BE" w14:textId="77777777" w:rsidR="005150C2" w:rsidRDefault="005150C2" w:rsidP="004B4663">
                <w:pPr>
                  <w:rPr>
                    <w:rFonts w:ascii="Times New Roman" w:eastAsia="Times New Roman" w:hAnsi="Times New Roman" w:cs="Times New Roman"/>
                    <w:b/>
                    <w:bCs/>
                    <w:sz w:val="22"/>
                    <w:szCs w:val="22"/>
                  </w:rPr>
                </w:pPr>
                <w:r>
                  <w:rPr>
                    <w:rFonts w:ascii="Times New Roman" w:eastAsia="Times New Roman" w:hAnsi="Times New Roman" w:cs="Times New Roman"/>
                    <w:b/>
                    <w:bCs/>
                    <w:sz w:val="22"/>
                    <w:szCs w:val="22"/>
                  </w:rPr>
                  <w:t>Key Findings</w:t>
                </w:r>
              </w:p>
            </w:tc>
          </w:tr>
          <w:tr w:rsidR="005150C2" w14:paraId="3CE2C268" w14:textId="77777777" w:rsidTr="004B4663">
            <w:tc>
              <w:tcPr>
                <w:tcW w:w="1275" w:type="dxa"/>
              </w:tcPr>
              <w:p w14:paraId="207CB5F9"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Semá Baltazar et al., 2024</w:t>
                </w:r>
              </w:p>
            </w:tc>
            <w:tc>
              <w:tcPr>
                <w:tcW w:w="1275" w:type="dxa"/>
              </w:tcPr>
              <w:p w14:paraId="6B5DDFD4"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Mozambique</w:t>
                </w:r>
              </w:p>
            </w:tc>
            <w:tc>
              <w:tcPr>
                <w:tcW w:w="1440" w:type="dxa"/>
              </w:tcPr>
              <w:p w14:paraId="0B60C812" w14:textId="77777777" w:rsidR="005150C2" w:rsidRDefault="005150C2" w:rsidP="004B4663">
                <w:pPr>
                  <w:rPr>
                    <w:rFonts w:ascii="Times New Roman" w:eastAsia="Times New Roman" w:hAnsi="Times New Roman" w:cs="Times New Roman"/>
                    <w:b/>
                    <w:bCs/>
                    <w:sz w:val="22"/>
                    <w:szCs w:val="22"/>
                  </w:rPr>
                </w:pPr>
                <w:r>
                  <w:rPr>
                    <w:rFonts w:ascii="Times New Roman" w:eastAsia="Times New Roman" w:hAnsi="Times New Roman" w:cs="Times New Roman"/>
                    <w:sz w:val="22"/>
                    <w:szCs w:val="22"/>
                  </w:rPr>
                  <w:t>Prospective observational surveillance study</w:t>
                </w:r>
              </w:p>
            </w:tc>
            <w:tc>
              <w:tcPr>
                <w:tcW w:w="1260" w:type="dxa"/>
              </w:tcPr>
              <w:p w14:paraId="1AE81E5A"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n = 419 patients</w:t>
                </w:r>
              </w:p>
            </w:tc>
            <w:tc>
              <w:tcPr>
                <w:tcW w:w="2025" w:type="dxa"/>
              </w:tcPr>
              <w:p w14:paraId="55E124EE"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Pre-emptive Oral Cholera Vaccine (OCV) campaign (2018); lab capacity building in Cuamba District; training for health workers; healthcare-based cholera surveillance system</w:t>
                </w:r>
              </w:p>
            </w:tc>
            <w:tc>
              <w:tcPr>
                <w:tcW w:w="1590" w:type="dxa"/>
              </w:tcPr>
              <w:p w14:paraId="3952AE2E"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Poor sanitation infrastructure and hygiene behaviors persisted; 29.6% E. coli detection rate; no confirmed cholera in study population likely due to OCV; highlighted need for WASH improvement</w:t>
                </w:r>
              </w:p>
            </w:tc>
            <w:tc>
              <w:tcPr>
                <w:tcW w:w="1500" w:type="dxa"/>
              </w:tcPr>
              <w:p w14:paraId="33F0EDE2"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OCV likely prevented cholera; persistent high diarrheal burden shows WASH gaps remain; recommends integrated vaccination and infrastructure-based strategies</w:t>
                </w:r>
              </w:p>
            </w:tc>
          </w:tr>
          <w:tr w:rsidR="005150C2" w14:paraId="755E5F36" w14:textId="77777777" w:rsidTr="004B4663">
            <w:tc>
              <w:tcPr>
                <w:tcW w:w="1275" w:type="dxa"/>
              </w:tcPr>
              <w:p w14:paraId="6248D84F"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Berhe et al., 2024</w:t>
                </w:r>
              </w:p>
            </w:tc>
            <w:tc>
              <w:tcPr>
                <w:tcW w:w="1275" w:type="dxa"/>
              </w:tcPr>
              <w:p w14:paraId="1F9F484F"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Ethiopia </w:t>
                </w:r>
              </w:p>
            </w:tc>
            <w:tc>
              <w:tcPr>
                <w:tcW w:w="1440" w:type="dxa"/>
              </w:tcPr>
              <w:p w14:paraId="3CA5D0F9"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Observational descriptive study</w:t>
                </w:r>
              </w:p>
            </w:tc>
            <w:tc>
              <w:tcPr>
                <w:tcW w:w="1260" w:type="dxa"/>
              </w:tcPr>
              <w:p w14:paraId="404EA4DE"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n = 224 cholera cases; mostly male farmers </w:t>
                </w:r>
              </w:p>
            </w:tc>
            <w:tc>
              <w:tcPr>
                <w:tcW w:w="2025" w:type="dxa"/>
              </w:tcPr>
              <w:p w14:paraId="2417AC45"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Emergency response: cholera treatment centres (CTCs), surveillance, rapid response team</w:t>
                </w:r>
              </w:p>
            </w:tc>
            <w:tc>
              <w:tcPr>
                <w:tcW w:w="1590" w:type="dxa"/>
              </w:tcPr>
              <w:p w14:paraId="3B38A1D1"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55.4% lacked latrines; 66% used contaminated water sources; strong WASH association with cholera incidence</w:t>
                </w:r>
              </w:p>
            </w:tc>
            <w:tc>
              <w:tcPr>
                <w:tcW w:w="1500" w:type="dxa"/>
              </w:tcPr>
              <w:p w14:paraId="06A4A519"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High attack rate: poor sanitation and water access were central; emphasized need for sustainable WASH and OCV deployment</w:t>
                </w:r>
              </w:p>
            </w:tc>
          </w:tr>
          <w:tr w:rsidR="005150C2" w14:paraId="4B12F915" w14:textId="77777777" w:rsidTr="004B4663">
            <w:tc>
              <w:tcPr>
                <w:tcW w:w="1275" w:type="dxa"/>
              </w:tcPr>
              <w:p w14:paraId="40777E1F"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Bwire et al., 2017</w:t>
                </w:r>
              </w:p>
            </w:tc>
            <w:tc>
              <w:tcPr>
                <w:tcW w:w="1275" w:type="dxa"/>
              </w:tcPr>
              <w:p w14:paraId="432E4D7E"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Uganda </w:t>
                </w:r>
              </w:p>
            </w:tc>
            <w:tc>
              <w:tcPr>
                <w:tcW w:w="1440" w:type="dxa"/>
              </w:tcPr>
              <w:p w14:paraId="625FB9A2"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Quantitative descriptive (prospective surveillance)</w:t>
                </w:r>
              </w:p>
            </w:tc>
            <w:tc>
              <w:tcPr>
                <w:tcW w:w="1260" w:type="dxa"/>
              </w:tcPr>
              <w:p w14:paraId="0D61540C"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1,827 suspected cholera cases and 43 deaths (fishing communities)</w:t>
                </w:r>
              </w:p>
            </w:tc>
            <w:tc>
              <w:tcPr>
                <w:tcW w:w="2025" w:type="dxa"/>
              </w:tcPr>
              <w:p w14:paraId="69E1FBD1"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Ministry of Health (MOH)-led WASH campaigns, latrine construction, health education, enforcement of hygiene, oral cholera vaccines recommended</w:t>
                </w:r>
              </w:p>
            </w:tc>
            <w:tc>
              <w:tcPr>
                <w:tcW w:w="1590" w:type="dxa"/>
              </w:tcPr>
              <w:p w14:paraId="1D866841"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Use of contaminated lake water, open defecation, poor water storage practices, low latrine coverage (&lt;50%); improved WASH and vaccination proposed as control measures; CFR significantly </w:t>
                </w:r>
                <w:r>
                  <w:rPr>
                    <w:rFonts w:ascii="Times New Roman" w:eastAsia="Times New Roman" w:hAnsi="Times New Roman" w:cs="Times New Roman"/>
                    <w:sz w:val="22"/>
                    <w:szCs w:val="22"/>
                  </w:rPr>
                  <w:lastRenderedPageBreak/>
                  <w:t>higher in areas with worse sanitation</w:t>
                </w:r>
              </w:p>
            </w:tc>
            <w:tc>
              <w:tcPr>
                <w:tcW w:w="1500" w:type="dxa"/>
              </w:tcPr>
              <w:p w14:paraId="485A4B99"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 xml:space="preserve">Fishing communities bear disproportionate cholera burden (58% of cases, 55% of deaths nationally from 2011–2015); poor environmental sanitation and hygiene, combined with poverty and low awareness, </w:t>
                </w:r>
                <w:r>
                  <w:rPr>
                    <w:rFonts w:ascii="Times New Roman" w:eastAsia="Times New Roman" w:hAnsi="Times New Roman" w:cs="Times New Roman"/>
                    <w:sz w:val="22"/>
                    <w:szCs w:val="22"/>
                  </w:rPr>
                  <w:lastRenderedPageBreak/>
                  <w:t>drive outbreaks; targeted interventions needed in hotspots</w:t>
                </w:r>
              </w:p>
            </w:tc>
          </w:tr>
          <w:tr w:rsidR="005150C2" w14:paraId="11612656" w14:textId="77777777" w:rsidTr="004B4663">
            <w:tc>
              <w:tcPr>
                <w:tcW w:w="1275" w:type="dxa"/>
              </w:tcPr>
              <w:p w14:paraId="31EA85ED"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lastRenderedPageBreak/>
                  <w:t>Torrea et al., 2025</w:t>
                </w:r>
              </w:p>
            </w:tc>
            <w:tc>
              <w:tcPr>
                <w:tcW w:w="1275" w:type="dxa"/>
              </w:tcPr>
              <w:p w14:paraId="0D20B323"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Mozambique</w:t>
                </w:r>
              </w:p>
            </w:tc>
            <w:tc>
              <w:tcPr>
                <w:tcW w:w="1440" w:type="dxa"/>
              </w:tcPr>
              <w:p w14:paraId="3A84F79E"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Cross sectional survey</w:t>
                </w:r>
              </w:p>
            </w:tc>
            <w:tc>
              <w:tcPr>
                <w:tcW w:w="1260" w:type="dxa"/>
              </w:tcPr>
              <w:p w14:paraId="1A1C4131"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Mopeia district residents (n= 7462) households surveyed</w:t>
                </w:r>
              </w:p>
            </w:tc>
            <w:tc>
              <w:tcPr>
                <w:tcW w:w="2025" w:type="dxa"/>
              </w:tcPr>
              <w:p w14:paraId="48FDB1A4"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Oral and IV rehydration used; a temporary rehydration facility set up</w:t>
                </w:r>
              </w:p>
            </w:tc>
            <w:tc>
              <w:tcPr>
                <w:tcW w:w="1590" w:type="dxa"/>
              </w:tcPr>
              <w:p w14:paraId="4794CD4D"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Only 1.55% of households had basic sanitation services; 56.29% had at least basic water access; 88.56% lacked basic sanitation; over 26% practised open land defecation; poor WASH linked to outbreak and health vulnerabilities</w:t>
                </w:r>
              </w:p>
            </w:tc>
            <w:tc>
              <w:tcPr>
                <w:tcW w:w="1500" w:type="dxa"/>
              </w:tcPr>
              <w:p w14:paraId="3294CBF4"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Poor sanitation and limited access to clean water contributed to cholera outbreak; public health system was overwhelmed; outbreak coincided with post-flooding period; community resilience remains low; urgent WASH investment needed</w:t>
                </w:r>
              </w:p>
            </w:tc>
          </w:tr>
          <w:tr w:rsidR="005150C2" w14:paraId="3938EE36" w14:textId="77777777" w:rsidTr="004B4663">
            <w:tc>
              <w:tcPr>
                <w:tcW w:w="1275" w:type="dxa"/>
              </w:tcPr>
              <w:p w14:paraId="57086AC9"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Okeeffe et al., 2024</w:t>
                </w:r>
              </w:p>
            </w:tc>
            <w:tc>
              <w:tcPr>
                <w:tcW w:w="1275" w:type="dxa"/>
              </w:tcPr>
              <w:p w14:paraId="78F58E09"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Nigeria</w:t>
                </w:r>
              </w:p>
            </w:tc>
            <w:tc>
              <w:tcPr>
                <w:tcW w:w="1440" w:type="dxa"/>
              </w:tcPr>
              <w:p w14:paraId="7F56FA7C"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Prospective observational cohort study</w:t>
                </w:r>
              </w:p>
            </w:tc>
            <w:tc>
              <w:tcPr>
                <w:tcW w:w="1260" w:type="dxa"/>
              </w:tcPr>
              <w:p w14:paraId="46D453C5"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Cholera-affected communities in Borno, Adamawa, Yobe states (n = 44,000+ households)</w:t>
                </w:r>
              </w:p>
            </w:tc>
            <w:tc>
              <w:tcPr>
                <w:tcW w:w="2025" w:type="dxa"/>
              </w:tcPr>
              <w:p w14:paraId="5A9E759F" w14:textId="77777777" w:rsidR="005150C2" w:rsidRDefault="005150C2" w:rsidP="004B4663">
                <w:pPr>
                  <w:rPr>
                    <w:rFonts w:ascii="Times New Roman" w:eastAsia="Times New Roman" w:hAnsi="Times New Roman" w:cs="Times New Roman"/>
                    <w:sz w:val="22"/>
                    <w:szCs w:val="22"/>
                    <w:lang w:val="en-US"/>
                  </w:rPr>
                </w:pPr>
                <w:bookmarkStart w:id="0" w:name="_heading=h.3brmwcwl9axf"/>
                <w:bookmarkEnd w:id="0"/>
                <w:r w:rsidRPr="22083A0C">
                  <w:rPr>
                    <w:rFonts w:ascii="Times New Roman" w:eastAsia="Times New Roman" w:hAnsi="Times New Roman" w:cs="Times New Roman"/>
                    <w:sz w:val="22"/>
                    <w:szCs w:val="22"/>
                    <w:lang w:val="en-US"/>
                  </w:rPr>
                  <w:t>Case-area targeted interventions (CATIs) including distribution of Aquatabs, soap, hygiene promotion, and household disinfection; strong WASH components without OCV or ACP; impact measured via cluster analysis</w:t>
                </w:r>
              </w:p>
            </w:tc>
            <w:tc>
              <w:tcPr>
                <w:tcW w:w="1590" w:type="dxa"/>
              </w:tcPr>
              <w:p w14:paraId="0C13326D"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Significant cholera clustering reduced with environmental WASH factors and eliminated with CATI + WASH; response timeliness and ring size data provided</w:t>
                </w:r>
              </w:p>
            </w:tc>
            <w:tc>
              <w:tcPr>
                <w:tcW w:w="1500" w:type="dxa"/>
              </w:tcPr>
              <w:p w14:paraId="57823505"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CATIs significantly reduced cholera clustering and risk in conflict-affected areas; WASH access alone was not sufficient; operational challenges noted (stockouts, refusals, delays); CATIs effective even without vaccines</w:t>
                </w:r>
              </w:p>
            </w:tc>
          </w:tr>
          <w:tr w:rsidR="005150C2" w14:paraId="16685151" w14:textId="77777777" w:rsidTr="004B4663">
            <w:tc>
              <w:tcPr>
                <w:tcW w:w="1275" w:type="dxa"/>
              </w:tcPr>
              <w:p w14:paraId="58176EF3"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Blanton et al., 2015</w:t>
                </w:r>
              </w:p>
            </w:tc>
            <w:tc>
              <w:tcPr>
                <w:tcW w:w="1275" w:type="dxa"/>
              </w:tcPr>
              <w:p w14:paraId="1608383F"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Kenya</w:t>
                </w:r>
              </w:p>
            </w:tc>
            <w:tc>
              <w:tcPr>
                <w:tcW w:w="1440" w:type="dxa"/>
              </w:tcPr>
              <w:p w14:paraId="546285CD"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Cross-sectional observational study</w:t>
                </w:r>
              </w:p>
            </w:tc>
            <w:tc>
              <w:tcPr>
                <w:tcW w:w="1260" w:type="dxa"/>
              </w:tcPr>
              <w:p w14:paraId="62B3FD29"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398 households surveyed</w:t>
                </w:r>
              </w:p>
            </w:tc>
            <w:tc>
              <w:tcPr>
                <w:tcW w:w="2025" w:type="dxa"/>
              </w:tcPr>
              <w:p w14:paraId="2E03F91E"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Emergency chlorination of municipal water sources; distribution of household water treatment solutions (WaterGuard, Aquatabs); variable success in meeting WHO FCR guidelines</w:t>
                </w:r>
              </w:p>
            </w:tc>
            <w:tc>
              <w:tcPr>
                <w:tcW w:w="1590" w:type="dxa"/>
              </w:tcPr>
              <w:p w14:paraId="6978CAF7" w14:textId="77777777" w:rsidR="005150C2" w:rsidRDefault="005150C2" w:rsidP="004B4663">
                <w:pPr>
                  <w:rPr>
                    <w:rFonts w:ascii="Times New Roman" w:eastAsia="Times New Roman" w:hAnsi="Times New Roman" w:cs="Times New Roman"/>
                    <w:sz w:val="22"/>
                    <w:szCs w:val="22"/>
                    <w:lang w:val="en-US"/>
                  </w:rPr>
                </w:pPr>
                <w:sdt>
                  <w:sdtPr>
                    <w:tag w:val="goog_rdk_1"/>
                    <w:id w:val="-1904575211"/>
                  </w:sdtPr>
                  <w:sdtContent>
                    <w:r w:rsidRPr="22083A0C">
                      <w:rPr>
                        <w:rFonts w:ascii="Gungsuh" w:eastAsia="Gungsuh" w:hAnsi="Gungsuh" w:cs="Gungsuh"/>
                        <w:sz w:val="22"/>
                        <w:szCs w:val="22"/>
                        <w:lang w:val="en-US"/>
                      </w:rPr>
                      <w:t>82% of household water in Korogocho and 35% in Mukuru met household-level FCR guideline (≥0.2 mg/L) and E. coli presence was significantly lower when household water FCR ≥0.2 mg/L</w:t>
                    </w:r>
                  </w:sdtContent>
                </w:sdt>
              </w:p>
            </w:tc>
            <w:tc>
              <w:tcPr>
                <w:tcW w:w="1500" w:type="dxa"/>
              </w:tcPr>
              <w:p w14:paraId="5A0F421E"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Adequately chlorinated source water and household treatment significantly reduced risk of E. coli contamination</w:t>
                </w:r>
              </w:p>
            </w:tc>
          </w:tr>
          <w:tr w:rsidR="005150C2" w14:paraId="17BDC5EE" w14:textId="77777777" w:rsidTr="004B4663">
            <w:tc>
              <w:tcPr>
                <w:tcW w:w="1275" w:type="dxa"/>
              </w:tcPr>
              <w:p w14:paraId="3B0450CA"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Pande et al., 2018</w:t>
                </w:r>
              </w:p>
            </w:tc>
            <w:tc>
              <w:tcPr>
                <w:tcW w:w="1275" w:type="dxa"/>
              </w:tcPr>
              <w:p w14:paraId="2F9C3059"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Uganda</w:t>
                </w:r>
              </w:p>
            </w:tc>
            <w:tc>
              <w:tcPr>
                <w:tcW w:w="1440" w:type="dxa"/>
              </w:tcPr>
              <w:p w14:paraId="15F78D71"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Descriptive, analytic (case-control), and environmental assessments.</w:t>
                </w:r>
              </w:p>
            </w:tc>
            <w:tc>
              <w:tcPr>
                <w:tcW w:w="1260" w:type="dxa"/>
              </w:tcPr>
              <w:p w14:paraId="54F9E9FD"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61 suspected cases</w:t>
                </w:r>
              </w:p>
            </w:tc>
            <w:tc>
              <w:tcPr>
                <w:tcW w:w="2025" w:type="dxa"/>
              </w:tcPr>
              <w:p w14:paraId="129262C2"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Emergency control measures included:</w:t>
                </w:r>
              </w:p>
              <w:p w14:paraId="14E369C5"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Provision of water chlorination tablets, Boiling water advisory, Disinfection of faeces, and repair of broken tap water system</w:t>
                </w:r>
              </w:p>
            </w:tc>
            <w:tc>
              <w:tcPr>
                <w:tcW w:w="1590" w:type="dxa"/>
              </w:tcPr>
              <w:p w14:paraId="735D745E"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Water treatment (boiling/filtering/chlorination) was protective, and Community stopped risky behaviours after education.</w:t>
                </w:r>
              </w:p>
            </w:tc>
            <w:tc>
              <w:tcPr>
                <w:tcW w:w="1500" w:type="dxa"/>
              </w:tcPr>
              <w:p w14:paraId="63463721"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Environmental conditions such as Poor water conditions enabled transmission, but swift detection and response contained the outbreak, highlighting the need for better infrastructure and prompt action.</w:t>
                </w:r>
              </w:p>
            </w:tc>
          </w:tr>
          <w:tr w:rsidR="005150C2" w14:paraId="2380EA2E" w14:textId="77777777" w:rsidTr="004B4663">
            <w:tc>
              <w:tcPr>
                <w:tcW w:w="1275" w:type="dxa"/>
              </w:tcPr>
              <w:p w14:paraId="665F063D"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Dongdem et al., 2025</w:t>
                </w:r>
              </w:p>
            </w:tc>
            <w:tc>
              <w:tcPr>
                <w:tcW w:w="1275" w:type="dxa"/>
              </w:tcPr>
              <w:p w14:paraId="667F36A3"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Ghana</w:t>
                </w:r>
              </w:p>
            </w:tc>
            <w:tc>
              <w:tcPr>
                <w:tcW w:w="1440" w:type="dxa"/>
              </w:tcPr>
              <w:p w14:paraId="395FFB4F"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Cross-sectional comparative study</w:t>
                </w:r>
              </w:p>
            </w:tc>
            <w:tc>
              <w:tcPr>
                <w:tcW w:w="1260" w:type="dxa"/>
              </w:tcPr>
              <w:p w14:paraId="3238D559"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480 household water samples from cholera-endemic and non-endemic </w:t>
                </w:r>
                <w:r>
                  <w:rPr>
                    <w:rFonts w:ascii="Times New Roman" w:eastAsia="Times New Roman" w:hAnsi="Times New Roman" w:cs="Times New Roman"/>
                    <w:sz w:val="22"/>
                    <w:szCs w:val="22"/>
                  </w:rPr>
                  <w:lastRenderedPageBreak/>
                  <w:t>communities across wet and dry seasons</w:t>
                </w:r>
              </w:p>
            </w:tc>
            <w:tc>
              <w:tcPr>
                <w:tcW w:w="2025" w:type="dxa"/>
              </w:tcPr>
              <w:p w14:paraId="495D9465"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lastRenderedPageBreak/>
                  <w:t>Assessment of bacteriological quality of drinking water; focus on cholera risk factors; identified household water storage and source contamination</w:t>
                </w:r>
              </w:p>
            </w:tc>
            <w:tc>
              <w:tcPr>
                <w:tcW w:w="1590" w:type="dxa"/>
              </w:tcPr>
              <w:p w14:paraId="2612B119"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 xml:space="preserve">High total and faecal coliform levels exceeding WHO standards; storage vessels and wet season worsened </w:t>
                </w:r>
                <w:r w:rsidRPr="22083A0C">
                  <w:rPr>
                    <w:rFonts w:ascii="Times New Roman" w:eastAsia="Times New Roman" w:hAnsi="Times New Roman" w:cs="Times New Roman"/>
                    <w:sz w:val="22"/>
                    <w:szCs w:val="22"/>
                    <w:lang w:val="en-US"/>
                  </w:rPr>
                  <w:lastRenderedPageBreak/>
                  <w:t>contamination; no Vibrio cholerae detected</w:t>
                </w:r>
              </w:p>
            </w:tc>
            <w:tc>
              <w:tcPr>
                <w:tcW w:w="1500" w:type="dxa"/>
              </w:tcPr>
              <w:p w14:paraId="3620CDB8"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lastRenderedPageBreak/>
                  <w:t xml:space="preserve">Stored and source water in both endemic and non-endemic areas was unsafe. E. coli and Klebsiella pneumoniae </w:t>
                </w:r>
                <w:r w:rsidRPr="22083A0C">
                  <w:rPr>
                    <w:rFonts w:ascii="Times New Roman" w:eastAsia="Times New Roman" w:hAnsi="Times New Roman" w:cs="Times New Roman"/>
                    <w:sz w:val="22"/>
                    <w:szCs w:val="22"/>
                    <w:lang w:val="en-US"/>
                  </w:rPr>
                  <w:lastRenderedPageBreak/>
                  <w:t>most prevalent. Highlights urgent need for household-level water treatment and better monitoring of sachet water.</w:t>
                </w:r>
              </w:p>
            </w:tc>
          </w:tr>
          <w:tr w:rsidR="005150C2" w14:paraId="39070E8F" w14:textId="77777777" w:rsidTr="004B4663">
            <w:tc>
              <w:tcPr>
                <w:tcW w:w="1275" w:type="dxa"/>
              </w:tcPr>
              <w:p w14:paraId="23A4B47D"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Kwesiga et al., 2017</w:t>
                </w:r>
              </w:p>
            </w:tc>
            <w:tc>
              <w:tcPr>
                <w:tcW w:w="1275" w:type="dxa"/>
              </w:tcPr>
              <w:p w14:paraId="00ACE7B8"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Uganda</w:t>
                </w:r>
              </w:p>
            </w:tc>
            <w:tc>
              <w:tcPr>
                <w:tcW w:w="1440" w:type="dxa"/>
              </w:tcPr>
              <w:p w14:paraId="04423C30"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Case-control study</w:t>
                </w:r>
              </w:p>
            </w:tc>
            <w:tc>
              <w:tcPr>
                <w:tcW w:w="1260" w:type="dxa"/>
              </w:tcPr>
              <w:p w14:paraId="7C0BB5B5"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183 suspected cholera cases (61 confirmed); 49 case-patients and 201 matched</w:t>
                </w:r>
              </w:p>
            </w:tc>
            <w:tc>
              <w:tcPr>
                <w:tcW w:w="2025" w:type="dxa"/>
              </w:tcPr>
              <w:p w14:paraId="6846D5E6"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CTCs were set up, water supplies chlorinated, and communities educated on safe water practices. Contamination was addressed through environmental assessment, and patient waste was safely managed. Cross-border coordination was advised due to the index case’s travel from the DRC.</w:t>
                </w:r>
              </w:p>
            </w:tc>
            <w:tc>
              <w:tcPr>
                <w:tcW w:w="1590" w:type="dxa"/>
              </w:tcPr>
              <w:p w14:paraId="0088BDC9"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Environmental sampling revealed significant faecal contamination in public taps and household water. Following chlorination and control measures.</w:t>
                </w:r>
              </w:p>
            </w:tc>
            <w:tc>
              <w:tcPr>
                <w:tcW w:w="1500" w:type="dxa"/>
              </w:tcPr>
              <w:p w14:paraId="18E58AB5"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The outbreak stemmed from contaminated water and cross-border trade, worsened by poor sanitation. It was contained through water treatment and hygiene measures, highlighting the need for safe water, swift response, and regional surveillance. Recurrent outbreaks reveal persistent WASH weaknesses.</w:t>
                </w:r>
              </w:p>
            </w:tc>
          </w:tr>
          <w:tr w:rsidR="005150C2" w14:paraId="467BD52F" w14:textId="77777777" w:rsidTr="004B4663">
            <w:tc>
              <w:tcPr>
                <w:tcW w:w="1275" w:type="dxa"/>
              </w:tcPr>
              <w:p w14:paraId="5EC649E5"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Mbala-Kingebeni et al., 2021</w:t>
                </w:r>
              </w:p>
            </w:tc>
            <w:tc>
              <w:tcPr>
                <w:tcW w:w="1275" w:type="dxa"/>
              </w:tcPr>
              <w:p w14:paraId="780DB25A"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Democratic Republic of the Congo (DRC)</w:t>
                </w:r>
              </w:p>
            </w:tc>
            <w:tc>
              <w:tcPr>
                <w:tcW w:w="1440" w:type="dxa"/>
              </w:tcPr>
              <w:p w14:paraId="40801092"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Quantitative, analytical case-control study</w:t>
                </w:r>
              </w:p>
            </w:tc>
            <w:tc>
              <w:tcPr>
                <w:tcW w:w="1260" w:type="dxa"/>
              </w:tcPr>
              <w:p w14:paraId="0C087DD8"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390 participants (195 matched case–control pairs)</w:t>
                </w:r>
              </w:p>
            </w:tc>
            <w:tc>
              <w:tcPr>
                <w:tcW w:w="2025" w:type="dxa"/>
              </w:tcPr>
              <w:p w14:paraId="3CD081EA"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 xml:space="preserve">Investigation to identify context-specific urban risk factors, Surveillance and case management in cholera treatment centres (CTCs), Behavioural risk assessment and as well as identification of </w:t>
                </w:r>
                <w:r w:rsidRPr="22083A0C">
                  <w:rPr>
                    <w:rFonts w:ascii="Times New Roman" w:eastAsia="Times New Roman" w:hAnsi="Times New Roman" w:cs="Times New Roman"/>
                    <w:sz w:val="22"/>
                    <w:szCs w:val="22"/>
                    <w:lang w:val="en-US"/>
                  </w:rPr>
                  <w:lastRenderedPageBreak/>
                  <w:t>informal water consumption pathways</w:t>
                </w:r>
              </w:p>
            </w:tc>
            <w:tc>
              <w:tcPr>
                <w:tcW w:w="1590" w:type="dxa"/>
              </w:tcPr>
              <w:p w14:paraId="2614BB8F"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lastRenderedPageBreak/>
                  <w:t xml:space="preserve">Street-vended sachet water consumption was strongly associated with cholera risk, while WASH behaviours (e.g. roadside food, fruit washing) were not </w:t>
                </w:r>
                <w:r w:rsidRPr="22083A0C">
                  <w:rPr>
                    <w:rFonts w:ascii="Times New Roman" w:eastAsia="Times New Roman" w:hAnsi="Times New Roman" w:cs="Times New Roman"/>
                    <w:sz w:val="22"/>
                    <w:szCs w:val="22"/>
                    <w:lang w:val="en-US"/>
                  </w:rPr>
                  <w:lastRenderedPageBreak/>
                  <w:t xml:space="preserve">significantly associated. </w:t>
                </w:r>
              </w:p>
            </w:tc>
            <w:tc>
              <w:tcPr>
                <w:tcW w:w="1500" w:type="dxa"/>
              </w:tcPr>
              <w:p w14:paraId="046C36B8"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 xml:space="preserve">Frequent consumption of informally sold sachet water was a strong, dose-dependent risk factor for infection in an urban population with limited </w:t>
                </w:r>
                <w:r>
                  <w:rPr>
                    <w:rFonts w:ascii="Times New Roman" w:eastAsia="Times New Roman" w:hAnsi="Times New Roman" w:cs="Times New Roman"/>
                    <w:sz w:val="22"/>
                    <w:szCs w:val="22"/>
                  </w:rPr>
                  <w:lastRenderedPageBreak/>
                  <w:t>prior exposure to cholera</w:t>
                </w:r>
              </w:p>
            </w:tc>
          </w:tr>
          <w:tr w:rsidR="005150C2" w14:paraId="3265000D" w14:textId="77777777" w:rsidTr="004B4663">
            <w:tc>
              <w:tcPr>
                <w:tcW w:w="1275" w:type="dxa"/>
              </w:tcPr>
              <w:p w14:paraId="17AE4996"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Monje et al., 2020</w:t>
                </w:r>
              </w:p>
              <w:p w14:paraId="1449CD58" w14:textId="77777777" w:rsidR="005150C2" w:rsidRDefault="005150C2" w:rsidP="004B4663">
                <w:pPr>
                  <w:rPr>
                    <w:rFonts w:ascii="Times New Roman" w:eastAsia="Times New Roman" w:hAnsi="Times New Roman" w:cs="Times New Roman"/>
                    <w:sz w:val="22"/>
                    <w:szCs w:val="22"/>
                  </w:rPr>
                </w:pPr>
              </w:p>
            </w:tc>
            <w:tc>
              <w:tcPr>
                <w:tcW w:w="1275" w:type="dxa"/>
              </w:tcPr>
              <w:p w14:paraId="6E57783E"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Uganda </w:t>
                </w:r>
              </w:p>
            </w:tc>
            <w:tc>
              <w:tcPr>
                <w:tcW w:w="1440" w:type="dxa"/>
              </w:tcPr>
              <w:p w14:paraId="2CACC31C"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Case-control Study</w:t>
                </w:r>
              </w:p>
            </w:tc>
            <w:tc>
              <w:tcPr>
                <w:tcW w:w="1260" w:type="dxa"/>
              </w:tcPr>
              <w:p w14:paraId="7AC5C1E4"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73 case-households, 107 control-households.</w:t>
                </w:r>
              </w:p>
            </w:tc>
            <w:tc>
              <w:tcPr>
                <w:tcW w:w="2025" w:type="dxa"/>
              </w:tcPr>
              <w:p w14:paraId="0FAC34ED"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Emergency latrine construction, Mass cholera vaccination campaign and public awareness campaigns and hygiene promotion</w:t>
                </w:r>
              </w:p>
            </w:tc>
            <w:tc>
              <w:tcPr>
                <w:tcW w:w="1590" w:type="dxa"/>
              </w:tcPr>
              <w:p w14:paraId="5C772D8E"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Environmental assessment showed open defecation along stream and All stream water samples assessed had &gt;100 fecal coliforms.</w:t>
                </w:r>
              </w:p>
            </w:tc>
            <w:tc>
              <w:tcPr>
                <w:tcW w:w="1500" w:type="dxa"/>
              </w:tcPr>
              <w:p w14:paraId="631B8909"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Cholera outbreak in refugee settlement driven by use of contaminated stream water and possibly unchlorinated tank water. Overcrowding, insufficient latrines, and proximity to DRC (cross-border transmission) were contributing factors.</w:t>
                </w:r>
              </w:p>
            </w:tc>
          </w:tr>
          <w:tr w:rsidR="005150C2" w14:paraId="6F727CF8" w14:textId="77777777" w:rsidTr="004B4663">
            <w:tc>
              <w:tcPr>
                <w:tcW w:w="1275" w:type="dxa"/>
              </w:tcPr>
              <w:p w14:paraId="67BFCE22"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Mukonka et al., 2023</w:t>
                </w:r>
              </w:p>
            </w:tc>
            <w:tc>
              <w:tcPr>
                <w:tcW w:w="1275" w:type="dxa"/>
              </w:tcPr>
              <w:p w14:paraId="4453DF45"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Zambia</w:t>
                </w:r>
              </w:p>
            </w:tc>
            <w:tc>
              <w:tcPr>
                <w:tcW w:w="1440" w:type="dxa"/>
              </w:tcPr>
              <w:p w14:paraId="60A929A3"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Cross-sectional descriptive survey</w:t>
                </w:r>
              </w:p>
            </w:tc>
            <w:tc>
              <w:tcPr>
                <w:tcW w:w="1260" w:type="dxa"/>
              </w:tcPr>
              <w:p w14:paraId="54AF4EAB"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1,691 respondents</w:t>
                </w:r>
              </w:p>
            </w:tc>
            <w:tc>
              <w:tcPr>
                <w:tcW w:w="2025" w:type="dxa"/>
              </w:tcPr>
              <w:p w14:paraId="6469EB02"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Oral cholera vaccine (OCV) campaign</w:t>
                </w:r>
              </w:p>
            </w:tc>
            <w:tc>
              <w:tcPr>
                <w:tcW w:w="1590" w:type="dxa"/>
              </w:tcPr>
              <w:p w14:paraId="4E69935A"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Water treatment: 68.3% of households treated their water, primarily through chlorination.</w:t>
                </w:r>
              </w:p>
              <w:p w14:paraId="4346C58D"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Sanitation: Fewer than 20% had access to flush toilets; the majority relied on pit latrines.</w:t>
                </w:r>
              </w:p>
              <w:p w14:paraId="0D15949B"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Hygiene practices: Reported handwashing was high, 98.3% after toilet use and </w:t>
                </w:r>
                <w:r>
                  <w:rPr>
                    <w:rFonts w:ascii="Times New Roman" w:eastAsia="Times New Roman" w:hAnsi="Times New Roman" w:cs="Times New Roman"/>
                    <w:sz w:val="22"/>
                    <w:szCs w:val="22"/>
                  </w:rPr>
                  <w:lastRenderedPageBreak/>
                  <w:t>91.4% before eating.</w:t>
                </w:r>
              </w:p>
            </w:tc>
            <w:tc>
              <w:tcPr>
                <w:tcW w:w="1500" w:type="dxa"/>
              </w:tcPr>
              <w:p w14:paraId="0FF2C4BF"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lastRenderedPageBreak/>
                  <w:t>The OCV campaign in Lusaka reached 81.3% for the first dose and 66% for both doses, with an 18.8% dropout rate, highlighting the need for population-based surveys to confirm coverage and identify gaps.</w:t>
                </w:r>
              </w:p>
            </w:tc>
          </w:tr>
          <w:tr w:rsidR="005150C2" w14:paraId="4035BF25" w14:textId="77777777" w:rsidTr="004B4663">
            <w:tc>
              <w:tcPr>
                <w:tcW w:w="1275" w:type="dxa"/>
              </w:tcPr>
              <w:p w14:paraId="16312F08"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Ng′ombe et al., 2022</w:t>
                </w:r>
              </w:p>
            </w:tc>
            <w:tc>
              <w:tcPr>
                <w:tcW w:w="1275" w:type="dxa"/>
              </w:tcPr>
              <w:p w14:paraId="77E5FFF9"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Zambia</w:t>
                </w:r>
              </w:p>
            </w:tc>
            <w:tc>
              <w:tcPr>
                <w:tcW w:w="1440" w:type="dxa"/>
              </w:tcPr>
              <w:p w14:paraId="4D99EAE4"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Longitudinal cohort study</w:t>
                </w:r>
              </w:p>
            </w:tc>
            <w:tc>
              <w:tcPr>
                <w:tcW w:w="1260" w:type="dxa"/>
              </w:tcPr>
              <w:p w14:paraId="24D51B59"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223 adults</w:t>
                </w:r>
              </w:p>
            </w:tc>
            <w:tc>
              <w:tcPr>
                <w:tcW w:w="2025" w:type="dxa"/>
              </w:tcPr>
              <w:p w14:paraId="1E86FC1A"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Two-dose oral cholera vaccination (Shanchol™)</w:t>
                </w:r>
              </w:p>
            </w:tc>
            <w:tc>
              <w:tcPr>
                <w:tcW w:w="1590" w:type="dxa"/>
              </w:tcPr>
              <w:p w14:paraId="3B8231F6"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N/A</w:t>
                </w:r>
              </w:p>
            </w:tc>
            <w:tc>
              <w:tcPr>
                <w:tcW w:w="1500" w:type="dxa"/>
              </w:tcPr>
              <w:p w14:paraId="0CC36CE8"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Vaccine was immunogenic but showed low seroconversion due to high baseline titres; vibriocidal antibodies not reliable for long-term protection; natural exposure may boost immunity at ~36 months</w:t>
                </w:r>
              </w:p>
            </w:tc>
          </w:tr>
          <w:tr w:rsidR="005150C2" w14:paraId="1316F2B5" w14:textId="77777777" w:rsidTr="004B4663">
            <w:tc>
              <w:tcPr>
                <w:tcW w:w="1275" w:type="dxa"/>
              </w:tcPr>
              <w:p w14:paraId="68F2D77D"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Oguttu et al., 2017</w:t>
                </w:r>
              </w:p>
            </w:tc>
            <w:tc>
              <w:tcPr>
                <w:tcW w:w="1275" w:type="dxa"/>
              </w:tcPr>
              <w:p w14:paraId="4741C993"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Ugadan </w:t>
                </w:r>
              </w:p>
            </w:tc>
            <w:tc>
              <w:tcPr>
                <w:tcW w:w="1440" w:type="dxa"/>
              </w:tcPr>
              <w:p w14:paraId="41DEED36"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Unmatched case-control study</w:t>
                </w:r>
              </w:p>
            </w:tc>
            <w:tc>
              <w:tcPr>
                <w:tcW w:w="1260" w:type="dxa"/>
              </w:tcPr>
              <w:p w14:paraId="203EFE2C"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61 cases and 126 controls</w:t>
                </w:r>
              </w:p>
            </w:tc>
            <w:tc>
              <w:tcPr>
                <w:tcW w:w="2025" w:type="dxa"/>
              </w:tcPr>
              <w:p w14:paraId="2BA99163"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Awareness campaign, distribution of chlorine, recommendation to restore piped water and construct latrines</w:t>
                </w:r>
              </w:p>
            </w:tc>
            <w:tc>
              <w:tcPr>
                <w:tcW w:w="1590" w:type="dxa"/>
              </w:tcPr>
              <w:p w14:paraId="233B4DAC"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Complete reliance on lake water due to vandalised piped system, common open defecation due to no latrines and No boiling/treatment of water reported in all cases</w:t>
                </w:r>
              </w:p>
            </w:tc>
            <w:tc>
              <w:tcPr>
                <w:tcW w:w="1500" w:type="dxa"/>
              </w:tcPr>
              <w:p w14:paraId="351F76A2"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Outbreak likely driven by rainfall-induced contamination of lake water and recurrent cholera in the region due to lack of structural interventions</w:t>
                </w:r>
              </w:p>
            </w:tc>
          </w:tr>
          <w:tr w:rsidR="005150C2" w14:paraId="18A1BD31" w14:textId="77777777" w:rsidTr="004B4663">
            <w:tc>
              <w:tcPr>
                <w:tcW w:w="1275" w:type="dxa"/>
              </w:tcPr>
              <w:p w14:paraId="7269B2A9"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Sokemawu Freeman et al., 2024</w:t>
                </w:r>
              </w:p>
            </w:tc>
            <w:tc>
              <w:tcPr>
                <w:tcW w:w="1275" w:type="dxa"/>
              </w:tcPr>
              <w:p w14:paraId="5BF80457"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Malawi</w:t>
                </w:r>
              </w:p>
            </w:tc>
            <w:tc>
              <w:tcPr>
                <w:tcW w:w="1440" w:type="dxa"/>
              </w:tcPr>
              <w:p w14:paraId="54CB5CB0"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Cross-sectional survey</w:t>
                </w:r>
              </w:p>
            </w:tc>
            <w:tc>
              <w:tcPr>
                <w:tcW w:w="1260" w:type="dxa"/>
              </w:tcPr>
              <w:p w14:paraId="18AFB909"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633</w:t>
                </w:r>
              </w:p>
            </w:tc>
            <w:tc>
              <w:tcPr>
                <w:tcW w:w="2025" w:type="dxa"/>
              </w:tcPr>
              <w:p w14:paraId="285A53BB"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Ongoing WASH/ Risk Communication and Community Engagement (RCCE) and chlorination efforts noted but found ineffective; recommendations included better free residual chlorine (FRC) dosing, targeted RCCE, Integrated Disease Surveillance and Response (IDSR) </w:t>
                </w:r>
                <w:r>
                  <w:rPr>
                    <w:rFonts w:ascii="Times New Roman" w:eastAsia="Times New Roman" w:hAnsi="Times New Roman" w:cs="Times New Roman"/>
                    <w:sz w:val="22"/>
                    <w:szCs w:val="22"/>
                  </w:rPr>
                  <w:lastRenderedPageBreak/>
                  <w:t>integration, and storage improvements</w:t>
                </w:r>
              </w:p>
            </w:tc>
            <w:tc>
              <w:tcPr>
                <w:tcW w:w="1590" w:type="dxa"/>
              </w:tcPr>
              <w:p w14:paraId="2C4AEF06"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Household sources 3x more likely to have E. coli; 2.5x more likely for thermotolerant coliform (TTC) and Poor sanitation, cyclone impact, extreme poverty hindered control efforts.</w:t>
                </w:r>
              </w:p>
            </w:tc>
            <w:tc>
              <w:tcPr>
                <w:tcW w:w="1500" w:type="dxa"/>
              </w:tcPr>
              <w:p w14:paraId="51C07499"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Substantial contamination in households linked to ineffective chlorination and unsafe water handling.</w:t>
                </w:r>
              </w:p>
              <w:p w14:paraId="5F45ECFE"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Chlorine effectiveness reduced by turbidity, poor pH, and elevated temperatures and RCCE </w:t>
                </w:r>
                <w:r>
                  <w:rPr>
                    <w:rFonts w:ascii="Times New Roman" w:eastAsia="Times New Roman" w:hAnsi="Times New Roman" w:cs="Times New Roman"/>
                    <w:sz w:val="22"/>
                    <w:szCs w:val="22"/>
                  </w:rPr>
                  <w:lastRenderedPageBreak/>
                  <w:t>messaging did not address technical practices for safe storage.</w:t>
                </w:r>
              </w:p>
            </w:tc>
          </w:tr>
          <w:tr w:rsidR="005150C2" w14:paraId="021EAB44" w14:textId="77777777" w:rsidTr="004B4663">
            <w:tc>
              <w:tcPr>
                <w:tcW w:w="1275" w:type="dxa"/>
              </w:tcPr>
              <w:p w14:paraId="0FE3D061"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lastRenderedPageBreak/>
                  <w:t>Elimian et al., 2020</w:t>
                </w:r>
              </w:p>
            </w:tc>
            <w:tc>
              <w:tcPr>
                <w:tcW w:w="1275" w:type="dxa"/>
              </w:tcPr>
              <w:p w14:paraId="31BDC8F8"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Nigeria</w:t>
                </w:r>
              </w:p>
            </w:tc>
            <w:tc>
              <w:tcPr>
                <w:tcW w:w="1440" w:type="dxa"/>
              </w:tcPr>
              <w:p w14:paraId="58D3A09E"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Cross-sectional study</w:t>
                </w:r>
              </w:p>
            </w:tc>
            <w:tc>
              <w:tcPr>
                <w:tcW w:w="1260" w:type="dxa"/>
              </w:tcPr>
              <w:p w14:paraId="49C5B506"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41,394 cholera cases reported</w:t>
                </w:r>
              </w:p>
            </w:tc>
            <w:tc>
              <w:tcPr>
                <w:tcW w:w="2025" w:type="dxa"/>
              </w:tcPr>
              <w:p w14:paraId="40BE8909"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Health system responses noted; focus on surveillance, secondary care, and early treatment; recommendations for improved WASH and emergency coordination</w:t>
                </w:r>
              </w:p>
            </w:tc>
            <w:tc>
              <w:tcPr>
                <w:tcW w:w="1590" w:type="dxa"/>
              </w:tcPr>
              <w:p w14:paraId="689C00A6"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Flooding and rainy season increased death risk, Peri-urban areas had higher mortality (OR: 1.48) and Health care delay &gt;2 days doubled death risk</w:t>
                </w:r>
              </w:p>
            </w:tc>
            <w:tc>
              <w:tcPr>
                <w:tcW w:w="1500" w:type="dxa"/>
              </w:tcPr>
              <w:p w14:paraId="43D1CD1A"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Environmental and socio-demographic drivers significantly influenced mortality.</w:t>
                </w:r>
              </w:p>
              <w:p w14:paraId="62B62E64"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Early presentation, secondary hospital care, and urban residence were protective, and importance of WASH were highlighted, prompt treatment, and access to structured health systems</w:t>
                </w:r>
              </w:p>
            </w:tc>
          </w:tr>
          <w:tr w:rsidR="005150C2" w14:paraId="131938C1" w14:textId="77777777" w:rsidTr="004B4663">
            <w:tc>
              <w:tcPr>
                <w:tcW w:w="1275" w:type="dxa"/>
              </w:tcPr>
              <w:p w14:paraId="6D9D099F"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Endrise et al., 2019</w:t>
                </w:r>
              </w:p>
            </w:tc>
            <w:tc>
              <w:tcPr>
                <w:tcW w:w="1275" w:type="dxa"/>
              </w:tcPr>
              <w:p w14:paraId="3C870243"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Ethiopia</w:t>
                </w:r>
              </w:p>
            </w:tc>
            <w:tc>
              <w:tcPr>
                <w:tcW w:w="1440" w:type="dxa"/>
              </w:tcPr>
              <w:p w14:paraId="226EABAB"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Unmatched case-control study</w:t>
                </w:r>
              </w:p>
            </w:tc>
            <w:tc>
              <w:tcPr>
                <w:tcW w:w="1260" w:type="dxa"/>
              </w:tcPr>
              <w:p w14:paraId="0ABC851C"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300</w:t>
                </w:r>
              </w:p>
            </w:tc>
            <w:tc>
              <w:tcPr>
                <w:tcW w:w="2025" w:type="dxa"/>
              </w:tcPr>
              <w:p w14:paraId="7D4B294F"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Field investigation and risk communication; testing of holy water, street food, meats, water points; IEC campaigns and surveillance enhancement</w:t>
                </w:r>
              </w:p>
            </w:tc>
            <w:tc>
              <w:tcPr>
                <w:tcW w:w="1590" w:type="dxa"/>
              </w:tcPr>
              <w:p w14:paraId="477CA6FF"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Tap water often below chlorine safety threshold </w:t>
                </w:r>
              </w:p>
            </w:tc>
            <w:tc>
              <w:tcPr>
                <w:tcW w:w="1500" w:type="dxa"/>
              </w:tcPr>
              <w:p w14:paraId="141F62AD"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 xml:space="preserve">Multiple WASH-related exposures were strongly associated with cholera. Latrine use and hand hygiene were protective, while inadequate water chlorination and possible sewer cross-contamination were </w:t>
                </w:r>
                <w:r w:rsidRPr="22083A0C">
                  <w:rPr>
                    <w:rFonts w:ascii="Times New Roman" w:eastAsia="Times New Roman" w:hAnsi="Times New Roman" w:cs="Times New Roman"/>
                    <w:sz w:val="22"/>
                    <w:szCs w:val="22"/>
                    <w:lang w:val="en-US"/>
                  </w:rPr>
                  <w:lastRenderedPageBreak/>
                  <w:t>identified as risk factors</w:t>
                </w:r>
              </w:p>
            </w:tc>
          </w:tr>
          <w:tr w:rsidR="005150C2" w14:paraId="0E5AA0DF" w14:textId="77777777" w:rsidTr="004B4663">
            <w:tc>
              <w:tcPr>
                <w:tcW w:w="1275" w:type="dxa"/>
              </w:tcPr>
              <w:p w14:paraId="49A2F68A"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lastRenderedPageBreak/>
                  <w:t>Matapo et al., 2016</w:t>
                </w:r>
              </w:p>
            </w:tc>
            <w:tc>
              <w:tcPr>
                <w:tcW w:w="1275" w:type="dxa"/>
              </w:tcPr>
              <w:p w14:paraId="0BD8EF57"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Zambia</w:t>
                </w:r>
              </w:p>
            </w:tc>
            <w:tc>
              <w:tcPr>
                <w:tcW w:w="1440" w:type="dxa"/>
              </w:tcPr>
              <w:p w14:paraId="1C62A2F7"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Quantitative Case-control study</w:t>
                </w:r>
              </w:p>
            </w:tc>
            <w:tc>
              <w:tcPr>
                <w:tcW w:w="1260" w:type="dxa"/>
              </w:tcPr>
              <w:p w14:paraId="0F12A6B7"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200</w:t>
                </w:r>
              </w:p>
            </w:tc>
            <w:tc>
              <w:tcPr>
                <w:tcW w:w="2025" w:type="dxa"/>
              </w:tcPr>
              <w:p w14:paraId="59926ACF"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Multi-partner response by MoH and partners; cholera treatment centres (CTCs) set up; treated water promotion; oral cholera vaccination (OCV); hygiene campaigns; contaminated boreholes shut down</w:t>
                </w:r>
              </w:p>
            </w:tc>
            <w:tc>
              <w:tcPr>
                <w:tcW w:w="1590" w:type="dxa"/>
              </w:tcPr>
              <w:p w14:paraId="6118671B"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Access to safe toilets and knowledge were not significantly associated but showed protective trends</w:t>
                </w:r>
              </w:p>
            </w:tc>
            <w:tc>
              <w:tcPr>
                <w:tcW w:w="1500" w:type="dxa"/>
              </w:tcPr>
              <w:p w14:paraId="003863D5"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Vibrio cholerae was confirmed in borehole water. The risk was driven by consumption of untreated water and person-to-person transmission. Interventions, including safe water provision, improved hygiene practices, and oral cholera vaccination (OCV), contributed to outbreak control within 8 weeks.</w:t>
                </w:r>
              </w:p>
            </w:tc>
          </w:tr>
          <w:tr w:rsidR="005150C2" w14:paraId="37E6C988" w14:textId="77777777" w:rsidTr="004B4663">
            <w:tc>
              <w:tcPr>
                <w:tcW w:w="1275" w:type="dxa"/>
              </w:tcPr>
              <w:p w14:paraId="45DA5139"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Sinyange et al., 2024</w:t>
                </w:r>
              </w:p>
            </w:tc>
            <w:tc>
              <w:tcPr>
                <w:tcW w:w="1275" w:type="dxa"/>
              </w:tcPr>
              <w:p w14:paraId="636AC11E"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Zambia</w:t>
                </w:r>
              </w:p>
            </w:tc>
            <w:tc>
              <w:tcPr>
                <w:tcW w:w="1440" w:type="dxa"/>
              </w:tcPr>
              <w:p w14:paraId="117F7DE8"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Quantitative, ecological, cross-sectional study</w:t>
                </w:r>
              </w:p>
            </w:tc>
            <w:tc>
              <w:tcPr>
                <w:tcW w:w="1260" w:type="dxa"/>
              </w:tcPr>
              <w:p w14:paraId="630DF73C"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405</w:t>
                </w:r>
              </w:p>
            </w:tc>
            <w:tc>
              <w:tcPr>
                <w:tcW w:w="2025" w:type="dxa"/>
              </w:tcPr>
              <w:p w14:paraId="29D29D5A"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Water tanks installed during the outbreak response (2017–2018),</w:t>
                </w:r>
              </w:p>
              <w:p w14:paraId="0FEB5665"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Physical mapping and data collection of toilets, latrines, and waste sites by health workers</w:t>
                </w:r>
              </w:p>
            </w:tc>
            <w:tc>
              <w:tcPr>
                <w:tcW w:w="1590" w:type="dxa"/>
              </w:tcPr>
              <w:p w14:paraId="525E2C38" w14:textId="77777777" w:rsidR="005150C2" w:rsidRDefault="005150C2" w:rsidP="004B4663">
                <w:pPr>
                  <w:rPr>
                    <w:rFonts w:ascii="Times New Roman" w:eastAsia="Times New Roman" w:hAnsi="Times New Roman" w:cs="Times New Roman"/>
                    <w:sz w:val="22"/>
                    <w:szCs w:val="22"/>
                    <w:lang w:val="en-US"/>
                  </w:rPr>
                </w:pPr>
                <w:r w:rsidRPr="22083A0C">
                  <w:rPr>
                    <w:rFonts w:ascii="Times New Roman" w:eastAsia="Times New Roman" w:hAnsi="Times New Roman" w:cs="Times New Roman"/>
                    <w:sz w:val="22"/>
                    <w:szCs w:val="22"/>
                    <w:lang w:val="en-US"/>
                  </w:rPr>
                  <w:t xml:space="preserve">Positive correlation between number of outdoor toilets/pit latrines and cholera cases. </w:t>
                </w:r>
              </w:p>
              <w:p w14:paraId="01D33DC9"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While waste collection sites and flooded wetlands were not significantly associated</w:t>
                </w:r>
              </w:p>
            </w:tc>
            <w:tc>
              <w:tcPr>
                <w:tcW w:w="1500" w:type="dxa"/>
              </w:tcPr>
              <w:p w14:paraId="1FF5E88A" w14:textId="77777777" w:rsidR="005150C2" w:rsidRDefault="005150C2" w:rsidP="004B4663">
                <w:pPr>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Poor environmental sanitation and lack of safe water supply significantly contribute to cholera transmission. The study highlights the need for targeted water and sanitation interventions in high-risk, low-income areas, recommending expanded access to </w:t>
                </w:r>
                <w:r>
                  <w:rPr>
                    <w:rFonts w:ascii="Times New Roman" w:eastAsia="Times New Roman" w:hAnsi="Times New Roman" w:cs="Times New Roman"/>
                    <w:sz w:val="22"/>
                    <w:szCs w:val="22"/>
                  </w:rPr>
                  <w:lastRenderedPageBreak/>
                  <w:t xml:space="preserve">sanitary toilets and improved public health infrastructure. </w:t>
                </w:r>
              </w:p>
            </w:tc>
          </w:tr>
        </w:tbl>
      </w:sdtContent>
    </w:sdt>
    <w:p w14:paraId="2BCE3741" w14:textId="77777777" w:rsidR="005150C2" w:rsidRDefault="005150C2" w:rsidP="005150C2">
      <w:pPr>
        <w:spacing w:line="259" w:lineRule="auto"/>
        <w:jc w:val="both"/>
        <w:rPr>
          <w:rFonts w:ascii="Times New Roman" w:eastAsia="Times New Roman" w:hAnsi="Times New Roman" w:cs="Times New Roman"/>
        </w:rPr>
      </w:pPr>
    </w:p>
    <w:p w14:paraId="212A9214" w14:textId="77777777" w:rsidR="005150C2" w:rsidRDefault="005150C2" w:rsidP="005150C2">
      <w:pPr>
        <w:spacing w:line="259" w:lineRule="auto"/>
        <w:jc w:val="both"/>
        <w:rPr>
          <w:rFonts w:ascii="Times New Roman" w:eastAsia="Times New Roman" w:hAnsi="Times New Roman" w:cs="Times New Roman"/>
          <w:sz w:val="22"/>
          <w:szCs w:val="22"/>
        </w:rPr>
      </w:pPr>
      <w:bookmarkStart w:id="1" w:name="_heading=h.yxs55vsf6e44"/>
      <w:bookmarkEnd w:id="1"/>
    </w:p>
    <w:tbl>
      <w:tblPr>
        <w:tblW w:w="10170"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85"/>
        <w:gridCol w:w="1800"/>
        <w:gridCol w:w="1800"/>
        <w:gridCol w:w="1800"/>
        <w:gridCol w:w="2985"/>
      </w:tblGrid>
      <w:tr w:rsidR="005150C2" w14:paraId="2F8D1C80" w14:textId="77777777" w:rsidTr="004B4663">
        <w:trPr>
          <w:trHeight w:val="360"/>
          <w:tblHeader/>
        </w:trPr>
        <w:tc>
          <w:tcPr>
            <w:tcW w:w="10170" w:type="dxa"/>
            <w:gridSpan w:val="5"/>
            <w:shd w:val="clear" w:color="auto" w:fill="F1F3F4"/>
          </w:tcPr>
          <w:p w14:paraId="7932DE75" w14:textId="77777777" w:rsidR="005150C2" w:rsidRDefault="005150C2" w:rsidP="004B4663">
            <w:pPr>
              <w:jc w:val="both"/>
            </w:pPr>
            <w:r>
              <w:rPr>
                <w:rFonts w:ascii="Times New Roman" w:eastAsia="Times New Roman" w:hAnsi="Times New Roman" w:cs="Times New Roman"/>
                <w:b/>
                <w:bCs/>
              </w:rPr>
              <w:t>Table 4:</w:t>
            </w:r>
            <w:r>
              <w:rPr>
                <w:rFonts w:ascii="Times New Roman" w:eastAsia="Times New Roman" w:hAnsi="Times New Roman" w:cs="Times New Roman"/>
              </w:rPr>
              <w:t xml:space="preserve"> Risk of Bias Assessment of Included Studies.</w:t>
            </w:r>
          </w:p>
        </w:tc>
      </w:tr>
      <w:tr w:rsidR="005150C2" w14:paraId="31E64264" w14:textId="77777777" w:rsidTr="004B4663">
        <w:tc>
          <w:tcPr>
            <w:tcW w:w="1785" w:type="dxa"/>
          </w:tcPr>
          <w:p w14:paraId="538B26DA" w14:textId="77777777" w:rsidR="005150C2" w:rsidRDefault="005150C2" w:rsidP="004B4663">
            <w:pPr>
              <w:rPr>
                <w:rFonts w:ascii="Times New Roman" w:eastAsia="Times New Roman" w:hAnsi="Times New Roman" w:cs="Times New Roman"/>
                <w:b/>
                <w:bCs/>
              </w:rPr>
            </w:pPr>
            <w:r>
              <w:rPr>
                <w:rFonts w:ascii="Times New Roman" w:eastAsia="Times New Roman" w:hAnsi="Times New Roman" w:cs="Times New Roman"/>
                <w:b/>
                <w:bCs/>
              </w:rPr>
              <w:t>Included Studies</w:t>
            </w:r>
          </w:p>
        </w:tc>
        <w:tc>
          <w:tcPr>
            <w:tcW w:w="1800" w:type="dxa"/>
          </w:tcPr>
          <w:p w14:paraId="1C5E568F" w14:textId="77777777" w:rsidR="005150C2" w:rsidRDefault="005150C2" w:rsidP="004B4663">
            <w:pPr>
              <w:rPr>
                <w:rFonts w:ascii="Times New Roman" w:eastAsia="Times New Roman" w:hAnsi="Times New Roman" w:cs="Times New Roman"/>
                <w:b/>
                <w:bCs/>
              </w:rPr>
            </w:pPr>
            <w:r>
              <w:rPr>
                <w:rFonts w:ascii="Times New Roman" w:eastAsia="Times New Roman" w:hAnsi="Times New Roman" w:cs="Times New Roman"/>
                <w:b/>
                <w:bCs/>
              </w:rPr>
              <w:t>Study type</w:t>
            </w:r>
          </w:p>
        </w:tc>
        <w:tc>
          <w:tcPr>
            <w:tcW w:w="1800" w:type="dxa"/>
          </w:tcPr>
          <w:p w14:paraId="6A2B6BDC" w14:textId="77777777" w:rsidR="005150C2" w:rsidRDefault="005150C2" w:rsidP="004B4663">
            <w:pPr>
              <w:rPr>
                <w:rFonts w:ascii="Times New Roman" w:eastAsia="Times New Roman" w:hAnsi="Times New Roman" w:cs="Times New Roman"/>
                <w:b/>
                <w:bCs/>
              </w:rPr>
            </w:pPr>
            <w:r>
              <w:rPr>
                <w:rFonts w:ascii="Times New Roman" w:eastAsia="Times New Roman" w:hAnsi="Times New Roman" w:cs="Times New Roman"/>
                <w:b/>
                <w:bCs/>
              </w:rPr>
              <w:t>Quality Assessment Tool</w:t>
            </w:r>
          </w:p>
        </w:tc>
        <w:tc>
          <w:tcPr>
            <w:tcW w:w="1800" w:type="dxa"/>
          </w:tcPr>
          <w:p w14:paraId="1ED5D4CE" w14:textId="77777777" w:rsidR="005150C2" w:rsidRDefault="005150C2" w:rsidP="004B4663">
            <w:pPr>
              <w:rPr>
                <w:rFonts w:ascii="Times New Roman" w:eastAsia="Times New Roman" w:hAnsi="Times New Roman" w:cs="Times New Roman"/>
                <w:b/>
                <w:bCs/>
              </w:rPr>
            </w:pPr>
            <w:r>
              <w:rPr>
                <w:rFonts w:ascii="Times New Roman" w:eastAsia="Times New Roman" w:hAnsi="Times New Roman" w:cs="Times New Roman"/>
                <w:b/>
                <w:bCs/>
              </w:rPr>
              <w:t>Quality Rating /Overall risk of Bias</w:t>
            </w:r>
          </w:p>
        </w:tc>
        <w:tc>
          <w:tcPr>
            <w:tcW w:w="2985" w:type="dxa"/>
          </w:tcPr>
          <w:p w14:paraId="0C519C4F" w14:textId="77777777" w:rsidR="005150C2" w:rsidRDefault="005150C2" w:rsidP="004B4663">
            <w:pPr>
              <w:rPr>
                <w:rFonts w:ascii="Times New Roman" w:eastAsia="Times New Roman" w:hAnsi="Times New Roman" w:cs="Times New Roman"/>
                <w:b/>
                <w:bCs/>
              </w:rPr>
            </w:pPr>
            <w:r>
              <w:rPr>
                <w:rFonts w:ascii="Times New Roman" w:eastAsia="Times New Roman" w:hAnsi="Times New Roman" w:cs="Times New Roman"/>
                <w:b/>
                <w:bCs/>
              </w:rPr>
              <w:t>Notable Concerns</w:t>
            </w:r>
          </w:p>
        </w:tc>
      </w:tr>
      <w:tr w:rsidR="005150C2" w14:paraId="6530A5B5" w14:textId="77777777" w:rsidTr="004B4663">
        <w:tc>
          <w:tcPr>
            <w:tcW w:w="1785" w:type="dxa"/>
          </w:tcPr>
          <w:p w14:paraId="698DB8F0" w14:textId="77777777" w:rsidR="005150C2" w:rsidRDefault="005150C2" w:rsidP="004B4663">
            <w:pPr>
              <w:rPr>
                <w:rFonts w:ascii="Times New Roman" w:eastAsia="Times New Roman" w:hAnsi="Times New Roman" w:cs="Times New Roman"/>
                <w:lang w:val="en-US"/>
              </w:rPr>
            </w:pPr>
            <w:r w:rsidRPr="22083A0C">
              <w:rPr>
                <w:rFonts w:ascii="Times New Roman" w:eastAsia="Times New Roman" w:hAnsi="Times New Roman" w:cs="Times New Roman"/>
                <w:lang w:val="en-US"/>
              </w:rPr>
              <w:t>Semá Baltazar et al., 2024</w:t>
            </w:r>
          </w:p>
        </w:tc>
        <w:tc>
          <w:tcPr>
            <w:tcW w:w="1800" w:type="dxa"/>
          </w:tcPr>
          <w:p w14:paraId="7CFCBB61"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Prospective observational surveillance study</w:t>
            </w:r>
          </w:p>
        </w:tc>
        <w:tc>
          <w:tcPr>
            <w:tcW w:w="1800" w:type="dxa"/>
          </w:tcPr>
          <w:p w14:paraId="06AD8389"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NIH Quality Assessment Tool</w:t>
            </w:r>
          </w:p>
        </w:tc>
        <w:tc>
          <w:tcPr>
            <w:tcW w:w="1800" w:type="dxa"/>
          </w:tcPr>
          <w:p w14:paraId="499BC5A8"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Moderate Risk of Bias</w:t>
            </w:r>
          </w:p>
        </w:tc>
        <w:tc>
          <w:tcPr>
            <w:tcW w:w="2985" w:type="dxa"/>
          </w:tcPr>
          <w:p w14:paraId="77FAA248"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No sample size justification</w:t>
            </w:r>
          </w:p>
        </w:tc>
      </w:tr>
      <w:tr w:rsidR="005150C2" w14:paraId="36C59AEB" w14:textId="77777777" w:rsidTr="004B4663">
        <w:tc>
          <w:tcPr>
            <w:tcW w:w="1785" w:type="dxa"/>
          </w:tcPr>
          <w:p w14:paraId="1651ECD8"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Berhe et al., 2024</w:t>
            </w:r>
          </w:p>
        </w:tc>
        <w:tc>
          <w:tcPr>
            <w:tcW w:w="1800" w:type="dxa"/>
          </w:tcPr>
          <w:p w14:paraId="5FF7D702"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Observational descriptive study</w:t>
            </w:r>
          </w:p>
        </w:tc>
        <w:tc>
          <w:tcPr>
            <w:tcW w:w="1800" w:type="dxa"/>
          </w:tcPr>
          <w:p w14:paraId="42005EF0"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NIH Quality Assessment Tool</w:t>
            </w:r>
          </w:p>
        </w:tc>
        <w:tc>
          <w:tcPr>
            <w:tcW w:w="1800" w:type="dxa"/>
          </w:tcPr>
          <w:p w14:paraId="2346F6A7"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Some risk of bias</w:t>
            </w:r>
          </w:p>
        </w:tc>
        <w:tc>
          <w:tcPr>
            <w:tcW w:w="2985" w:type="dxa"/>
          </w:tcPr>
          <w:p w14:paraId="747139DC"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No sample size justification</w:t>
            </w:r>
          </w:p>
        </w:tc>
      </w:tr>
      <w:tr w:rsidR="005150C2" w14:paraId="3EB88AD7" w14:textId="77777777" w:rsidTr="004B4663">
        <w:tc>
          <w:tcPr>
            <w:tcW w:w="1785" w:type="dxa"/>
          </w:tcPr>
          <w:p w14:paraId="55D4F5B9"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Bwire et al., 2017</w:t>
            </w:r>
          </w:p>
        </w:tc>
        <w:tc>
          <w:tcPr>
            <w:tcW w:w="1800" w:type="dxa"/>
          </w:tcPr>
          <w:p w14:paraId="65E39791"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Quantitative descriptive (prospective surveillance)</w:t>
            </w:r>
          </w:p>
        </w:tc>
        <w:tc>
          <w:tcPr>
            <w:tcW w:w="1800" w:type="dxa"/>
          </w:tcPr>
          <w:p w14:paraId="673A7BF3"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NIH Quality Assessment Tool</w:t>
            </w:r>
          </w:p>
        </w:tc>
        <w:tc>
          <w:tcPr>
            <w:tcW w:w="1800" w:type="dxa"/>
          </w:tcPr>
          <w:p w14:paraId="49B21728"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Moderate Risk of Bias</w:t>
            </w:r>
          </w:p>
        </w:tc>
        <w:tc>
          <w:tcPr>
            <w:tcW w:w="2985" w:type="dxa"/>
          </w:tcPr>
          <w:p w14:paraId="502F395D"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No adjustment for confounding</w:t>
            </w:r>
          </w:p>
        </w:tc>
      </w:tr>
      <w:tr w:rsidR="005150C2" w14:paraId="5A0FBF1F" w14:textId="77777777" w:rsidTr="004B4663">
        <w:tc>
          <w:tcPr>
            <w:tcW w:w="1785" w:type="dxa"/>
          </w:tcPr>
          <w:p w14:paraId="48B31CB7" w14:textId="77777777" w:rsidR="005150C2" w:rsidRDefault="005150C2" w:rsidP="004B4663">
            <w:pPr>
              <w:rPr>
                <w:rFonts w:ascii="Times New Roman" w:eastAsia="Times New Roman" w:hAnsi="Times New Roman" w:cs="Times New Roman"/>
                <w:lang w:val="en-US"/>
              </w:rPr>
            </w:pPr>
            <w:r w:rsidRPr="22083A0C">
              <w:rPr>
                <w:rFonts w:ascii="Times New Roman" w:eastAsia="Times New Roman" w:hAnsi="Times New Roman" w:cs="Times New Roman"/>
                <w:lang w:val="en-US"/>
              </w:rPr>
              <w:t>Torrea et al., 2025</w:t>
            </w:r>
          </w:p>
        </w:tc>
        <w:tc>
          <w:tcPr>
            <w:tcW w:w="1800" w:type="dxa"/>
          </w:tcPr>
          <w:p w14:paraId="1A6184AE"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Cross sectional survey</w:t>
            </w:r>
          </w:p>
        </w:tc>
        <w:tc>
          <w:tcPr>
            <w:tcW w:w="1800" w:type="dxa"/>
          </w:tcPr>
          <w:p w14:paraId="2A2BC5C7"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NIH Quality Assessment Tool</w:t>
            </w:r>
          </w:p>
        </w:tc>
        <w:tc>
          <w:tcPr>
            <w:tcW w:w="1800" w:type="dxa"/>
          </w:tcPr>
          <w:p w14:paraId="6C4F3077"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Moderate Risk of Bias</w:t>
            </w:r>
          </w:p>
        </w:tc>
        <w:tc>
          <w:tcPr>
            <w:tcW w:w="2985" w:type="dxa"/>
          </w:tcPr>
          <w:p w14:paraId="350348E1"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Self-reported data with no observational confirmation</w:t>
            </w:r>
          </w:p>
        </w:tc>
      </w:tr>
      <w:tr w:rsidR="005150C2" w14:paraId="2C07F321" w14:textId="77777777" w:rsidTr="004B4663">
        <w:tc>
          <w:tcPr>
            <w:tcW w:w="1785" w:type="dxa"/>
          </w:tcPr>
          <w:p w14:paraId="2923EADE" w14:textId="77777777" w:rsidR="005150C2" w:rsidRDefault="005150C2" w:rsidP="004B4663">
            <w:pPr>
              <w:rPr>
                <w:rFonts w:ascii="Times New Roman" w:eastAsia="Times New Roman" w:hAnsi="Times New Roman" w:cs="Times New Roman"/>
              </w:rPr>
            </w:pPr>
            <w:bookmarkStart w:id="2" w:name="_heading=h.nigcztofajzv" w:colFirst="0" w:colLast="0"/>
            <w:bookmarkEnd w:id="2"/>
            <w:r>
              <w:rPr>
                <w:rFonts w:ascii="Times New Roman" w:eastAsia="Times New Roman" w:hAnsi="Times New Roman" w:cs="Times New Roman"/>
              </w:rPr>
              <w:t>Okeeffe et al., 2024</w:t>
            </w:r>
          </w:p>
        </w:tc>
        <w:tc>
          <w:tcPr>
            <w:tcW w:w="1800" w:type="dxa"/>
          </w:tcPr>
          <w:p w14:paraId="61F621FC"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Prospective observational cohort study</w:t>
            </w:r>
          </w:p>
        </w:tc>
        <w:tc>
          <w:tcPr>
            <w:tcW w:w="1800" w:type="dxa"/>
          </w:tcPr>
          <w:p w14:paraId="3A82AA7F"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NIH Quality Assessment Tool</w:t>
            </w:r>
          </w:p>
        </w:tc>
        <w:tc>
          <w:tcPr>
            <w:tcW w:w="1800" w:type="dxa"/>
          </w:tcPr>
          <w:p w14:paraId="41D39DD5"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Low Risk of Bias</w:t>
            </w:r>
          </w:p>
        </w:tc>
        <w:tc>
          <w:tcPr>
            <w:tcW w:w="2985" w:type="dxa"/>
          </w:tcPr>
          <w:p w14:paraId="6E5ACA18"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No Major Concern</w:t>
            </w:r>
          </w:p>
        </w:tc>
      </w:tr>
      <w:tr w:rsidR="005150C2" w14:paraId="290E7C23" w14:textId="77777777" w:rsidTr="004B4663">
        <w:tc>
          <w:tcPr>
            <w:tcW w:w="1785" w:type="dxa"/>
          </w:tcPr>
          <w:p w14:paraId="48070EEE"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Blanton et al., 2015</w:t>
            </w:r>
          </w:p>
        </w:tc>
        <w:tc>
          <w:tcPr>
            <w:tcW w:w="1800" w:type="dxa"/>
          </w:tcPr>
          <w:p w14:paraId="51D4A769"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Cross-sectional observational study</w:t>
            </w:r>
          </w:p>
        </w:tc>
        <w:tc>
          <w:tcPr>
            <w:tcW w:w="1800" w:type="dxa"/>
          </w:tcPr>
          <w:p w14:paraId="66275703" w14:textId="77777777" w:rsidR="005150C2" w:rsidRDefault="005150C2" w:rsidP="004B4663">
            <w:pPr>
              <w:rPr>
                <w:rFonts w:ascii="Times New Roman" w:eastAsia="Times New Roman" w:hAnsi="Times New Roman" w:cs="Times New Roman"/>
              </w:rPr>
            </w:pPr>
          </w:p>
        </w:tc>
        <w:tc>
          <w:tcPr>
            <w:tcW w:w="1800" w:type="dxa"/>
          </w:tcPr>
          <w:p w14:paraId="0E41EF33"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Moderate Risk of Bias</w:t>
            </w:r>
          </w:p>
        </w:tc>
        <w:tc>
          <w:tcPr>
            <w:tcW w:w="2985" w:type="dxa"/>
          </w:tcPr>
          <w:p w14:paraId="12823A97"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No sample size justification</w:t>
            </w:r>
          </w:p>
        </w:tc>
      </w:tr>
      <w:tr w:rsidR="005150C2" w14:paraId="3025433C" w14:textId="77777777" w:rsidTr="004B4663">
        <w:tc>
          <w:tcPr>
            <w:tcW w:w="1785" w:type="dxa"/>
          </w:tcPr>
          <w:p w14:paraId="2BBD16EB"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Pande et al., 2018</w:t>
            </w:r>
          </w:p>
        </w:tc>
        <w:tc>
          <w:tcPr>
            <w:tcW w:w="1800" w:type="dxa"/>
          </w:tcPr>
          <w:p w14:paraId="102504CC"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Case-Control Study</w:t>
            </w:r>
          </w:p>
        </w:tc>
        <w:tc>
          <w:tcPr>
            <w:tcW w:w="1800" w:type="dxa"/>
          </w:tcPr>
          <w:p w14:paraId="7735CE43"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NIH Quality Assessment Tool</w:t>
            </w:r>
          </w:p>
        </w:tc>
        <w:tc>
          <w:tcPr>
            <w:tcW w:w="1800" w:type="dxa"/>
          </w:tcPr>
          <w:p w14:paraId="6636DD78"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Moderate Risk of Bias</w:t>
            </w:r>
          </w:p>
        </w:tc>
        <w:tc>
          <w:tcPr>
            <w:tcW w:w="2985" w:type="dxa"/>
          </w:tcPr>
          <w:p w14:paraId="61DB2B9E"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No sample size justification</w:t>
            </w:r>
          </w:p>
        </w:tc>
      </w:tr>
      <w:tr w:rsidR="005150C2" w14:paraId="06DB39DF" w14:textId="77777777" w:rsidTr="004B4663">
        <w:tc>
          <w:tcPr>
            <w:tcW w:w="1785" w:type="dxa"/>
          </w:tcPr>
          <w:p w14:paraId="209131C9" w14:textId="77777777" w:rsidR="005150C2" w:rsidRDefault="005150C2" w:rsidP="004B4663">
            <w:pPr>
              <w:rPr>
                <w:rFonts w:ascii="Times New Roman" w:eastAsia="Times New Roman" w:hAnsi="Times New Roman" w:cs="Times New Roman"/>
                <w:lang w:val="en-US"/>
              </w:rPr>
            </w:pPr>
            <w:r w:rsidRPr="22083A0C">
              <w:rPr>
                <w:rFonts w:ascii="Times New Roman" w:eastAsia="Times New Roman" w:hAnsi="Times New Roman" w:cs="Times New Roman"/>
                <w:lang w:val="en-US"/>
              </w:rPr>
              <w:t>Dongdem et al., 2025</w:t>
            </w:r>
          </w:p>
        </w:tc>
        <w:tc>
          <w:tcPr>
            <w:tcW w:w="1800" w:type="dxa"/>
          </w:tcPr>
          <w:p w14:paraId="7D2FAF74"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 xml:space="preserve">Cross- Sectional </w:t>
            </w:r>
          </w:p>
        </w:tc>
        <w:tc>
          <w:tcPr>
            <w:tcW w:w="1800" w:type="dxa"/>
          </w:tcPr>
          <w:p w14:paraId="296AE144"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NIH Quality Assessment Tool</w:t>
            </w:r>
          </w:p>
        </w:tc>
        <w:tc>
          <w:tcPr>
            <w:tcW w:w="1800" w:type="dxa"/>
          </w:tcPr>
          <w:p w14:paraId="0450A561"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Moderate Risk of Bias</w:t>
            </w:r>
          </w:p>
        </w:tc>
        <w:tc>
          <w:tcPr>
            <w:tcW w:w="2985" w:type="dxa"/>
          </w:tcPr>
          <w:p w14:paraId="24E52C24"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Potential confounding factors</w:t>
            </w:r>
          </w:p>
        </w:tc>
      </w:tr>
      <w:tr w:rsidR="005150C2" w14:paraId="1C0F3709" w14:textId="77777777" w:rsidTr="004B4663">
        <w:trPr>
          <w:trHeight w:val="90"/>
        </w:trPr>
        <w:tc>
          <w:tcPr>
            <w:tcW w:w="1785" w:type="dxa"/>
          </w:tcPr>
          <w:p w14:paraId="2347DCDB"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Kwesiga et al., 2017</w:t>
            </w:r>
          </w:p>
        </w:tc>
        <w:tc>
          <w:tcPr>
            <w:tcW w:w="1800" w:type="dxa"/>
          </w:tcPr>
          <w:p w14:paraId="16F083EB"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Case-Control</w:t>
            </w:r>
          </w:p>
        </w:tc>
        <w:tc>
          <w:tcPr>
            <w:tcW w:w="1800" w:type="dxa"/>
          </w:tcPr>
          <w:p w14:paraId="2401975A"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NIH Quality Assessment Tool</w:t>
            </w:r>
          </w:p>
        </w:tc>
        <w:tc>
          <w:tcPr>
            <w:tcW w:w="1800" w:type="dxa"/>
          </w:tcPr>
          <w:p w14:paraId="6C182E63"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Some risk of bias</w:t>
            </w:r>
          </w:p>
        </w:tc>
        <w:tc>
          <w:tcPr>
            <w:tcW w:w="2985" w:type="dxa"/>
          </w:tcPr>
          <w:p w14:paraId="76B86BDF"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Sample size determination concern</w:t>
            </w:r>
          </w:p>
        </w:tc>
      </w:tr>
      <w:tr w:rsidR="005150C2" w14:paraId="6BD712FB" w14:textId="77777777" w:rsidTr="004B4663">
        <w:trPr>
          <w:trHeight w:val="90"/>
        </w:trPr>
        <w:tc>
          <w:tcPr>
            <w:tcW w:w="1785" w:type="dxa"/>
          </w:tcPr>
          <w:p w14:paraId="0EBF12D7"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lastRenderedPageBreak/>
              <w:t>Mbala-Kingebeni et al., 2021</w:t>
            </w:r>
          </w:p>
        </w:tc>
        <w:tc>
          <w:tcPr>
            <w:tcW w:w="1800" w:type="dxa"/>
          </w:tcPr>
          <w:p w14:paraId="534268EB"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Case-Control</w:t>
            </w:r>
          </w:p>
        </w:tc>
        <w:tc>
          <w:tcPr>
            <w:tcW w:w="1800" w:type="dxa"/>
          </w:tcPr>
          <w:p w14:paraId="35BFDCA8"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NIH Quality Assessment Tool</w:t>
            </w:r>
          </w:p>
        </w:tc>
        <w:tc>
          <w:tcPr>
            <w:tcW w:w="1800" w:type="dxa"/>
          </w:tcPr>
          <w:p w14:paraId="1C80F858"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Low Risk of Bias</w:t>
            </w:r>
          </w:p>
        </w:tc>
        <w:tc>
          <w:tcPr>
            <w:tcW w:w="2985" w:type="dxa"/>
          </w:tcPr>
          <w:p w14:paraId="1AC3FD3F"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No Major Concern</w:t>
            </w:r>
          </w:p>
        </w:tc>
      </w:tr>
      <w:tr w:rsidR="005150C2" w14:paraId="11B50949" w14:textId="77777777" w:rsidTr="004B4663">
        <w:trPr>
          <w:trHeight w:val="90"/>
        </w:trPr>
        <w:tc>
          <w:tcPr>
            <w:tcW w:w="1785" w:type="dxa"/>
          </w:tcPr>
          <w:p w14:paraId="350010C2"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Monje et al., 2020</w:t>
            </w:r>
          </w:p>
        </w:tc>
        <w:tc>
          <w:tcPr>
            <w:tcW w:w="1800" w:type="dxa"/>
          </w:tcPr>
          <w:p w14:paraId="5E8FB9C4"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Case-Control</w:t>
            </w:r>
          </w:p>
        </w:tc>
        <w:tc>
          <w:tcPr>
            <w:tcW w:w="1800" w:type="dxa"/>
          </w:tcPr>
          <w:p w14:paraId="4AD6857F"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NIH Quality Assessment Tool</w:t>
            </w:r>
          </w:p>
        </w:tc>
        <w:tc>
          <w:tcPr>
            <w:tcW w:w="1800" w:type="dxa"/>
          </w:tcPr>
          <w:p w14:paraId="22CC2531"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Moderate Risk of Bias</w:t>
            </w:r>
          </w:p>
        </w:tc>
        <w:tc>
          <w:tcPr>
            <w:tcW w:w="2985" w:type="dxa"/>
          </w:tcPr>
          <w:p w14:paraId="0CBB8A4B"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No sample size justification</w:t>
            </w:r>
          </w:p>
        </w:tc>
      </w:tr>
      <w:tr w:rsidR="005150C2" w14:paraId="179E98DA" w14:textId="77777777" w:rsidTr="004B4663">
        <w:trPr>
          <w:trHeight w:val="90"/>
        </w:trPr>
        <w:tc>
          <w:tcPr>
            <w:tcW w:w="1785" w:type="dxa"/>
          </w:tcPr>
          <w:p w14:paraId="6931E52C"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Mukonka et al., 2023</w:t>
            </w:r>
          </w:p>
        </w:tc>
        <w:tc>
          <w:tcPr>
            <w:tcW w:w="1800" w:type="dxa"/>
          </w:tcPr>
          <w:p w14:paraId="3A31B6E8"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Cross Sectional study</w:t>
            </w:r>
          </w:p>
        </w:tc>
        <w:tc>
          <w:tcPr>
            <w:tcW w:w="1800" w:type="dxa"/>
          </w:tcPr>
          <w:p w14:paraId="2042A7AB"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NIH Quality Assessment Tool</w:t>
            </w:r>
          </w:p>
        </w:tc>
        <w:tc>
          <w:tcPr>
            <w:tcW w:w="1800" w:type="dxa"/>
          </w:tcPr>
          <w:p w14:paraId="3827063E"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Moderate Risk of Bias</w:t>
            </w:r>
          </w:p>
        </w:tc>
        <w:tc>
          <w:tcPr>
            <w:tcW w:w="2985" w:type="dxa"/>
          </w:tcPr>
          <w:p w14:paraId="4C273810"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Potential confounding factors</w:t>
            </w:r>
          </w:p>
        </w:tc>
      </w:tr>
      <w:tr w:rsidR="005150C2" w14:paraId="64968A06" w14:textId="77777777" w:rsidTr="004B4663">
        <w:trPr>
          <w:trHeight w:val="90"/>
        </w:trPr>
        <w:tc>
          <w:tcPr>
            <w:tcW w:w="1785" w:type="dxa"/>
          </w:tcPr>
          <w:p w14:paraId="3A5AB145" w14:textId="77777777" w:rsidR="005150C2" w:rsidRDefault="005150C2" w:rsidP="004B4663">
            <w:pPr>
              <w:rPr>
                <w:rFonts w:ascii="Times New Roman" w:eastAsia="Times New Roman" w:hAnsi="Times New Roman" w:cs="Times New Roman"/>
              </w:rPr>
            </w:pPr>
            <w:bookmarkStart w:id="3" w:name="_heading=h.c1orkc1hx6g0" w:colFirst="0" w:colLast="0"/>
            <w:bookmarkEnd w:id="3"/>
            <w:r>
              <w:rPr>
                <w:rFonts w:ascii="Times New Roman" w:eastAsia="Times New Roman" w:hAnsi="Times New Roman" w:cs="Times New Roman"/>
              </w:rPr>
              <w:t>Ng′ombe et al., 2022</w:t>
            </w:r>
          </w:p>
        </w:tc>
        <w:tc>
          <w:tcPr>
            <w:tcW w:w="1800" w:type="dxa"/>
          </w:tcPr>
          <w:p w14:paraId="444F883F"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Longitudinal cohort study</w:t>
            </w:r>
          </w:p>
        </w:tc>
        <w:tc>
          <w:tcPr>
            <w:tcW w:w="1800" w:type="dxa"/>
          </w:tcPr>
          <w:p w14:paraId="3A2AAD1B"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NIH Quality Assessment Tool</w:t>
            </w:r>
          </w:p>
        </w:tc>
        <w:tc>
          <w:tcPr>
            <w:tcW w:w="1800" w:type="dxa"/>
          </w:tcPr>
          <w:p w14:paraId="123FC4F2"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Moderate Risk of Bias</w:t>
            </w:r>
          </w:p>
        </w:tc>
        <w:tc>
          <w:tcPr>
            <w:tcW w:w="2985" w:type="dxa"/>
          </w:tcPr>
          <w:p w14:paraId="33732D1D"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No adjustment for confounders</w:t>
            </w:r>
          </w:p>
        </w:tc>
      </w:tr>
      <w:tr w:rsidR="005150C2" w14:paraId="147B721F" w14:textId="77777777" w:rsidTr="004B4663">
        <w:trPr>
          <w:trHeight w:val="90"/>
        </w:trPr>
        <w:tc>
          <w:tcPr>
            <w:tcW w:w="1785" w:type="dxa"/>
          </w:tcPr>
          <w:p w14:paraId="7E39F5DF" w14:textId="77777777" w:rsidR="005150C2" w:rsidRDefault="005150C2" w:rsidP="004B4663">
            <w:pPr>
              <w:rPr>
                <w:rFonts w:ascii="Times New Roman" w:eastAsia="Times New Roman" w:hAnsi="Times New Roman" w:cs="Times New Roman"/>
                <w:lang w:val="en-US"/>
              </w:rPr>
            </w:pPr>
            <w:r w:rsidRPr="22083A0C">
              <w:rPr>
                <w:rFonts w:ascii="Times New Roman" w:eastAsia="Times New Roman" w:hAnsi="Times New Roman" w:cs="Times New Roman"/>
                <w:lang w:val="en-US"/>
              </w:rPr>
              <w:t>Oguttu et al., 2017</w:t>
            </w:r>
          </w:p>
        </w:tc>
        <w:tc>
          <w:tcPr>
            <w:tcW w:w="1800" w:type="dxa"/>
          </w:tcPr>
          <w:p w14:paraId="109A6938"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Unmatched case-control study</w:t>
            </w:r>
          </w:p>
        </w:tc>
        <w:tc>
          <w:tcPr>
            <w:tcW w:w="1800" w:type="dxa"/>
          </w:tcPr>
          <w:p w14:paraId="0EC350E7"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NIH Quality Assessment Tool</w:t>
            </w:r>
          </w:p>
        </w:tc>
        <w:tc>
          <w:tcPr>
            <w:tcW w:w="1800" w:type="dxa"/>
          </w:tcPr>
          <w:p w14:paraId="7603734C"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Moderate Risk of Bias</w:t>
            </w:r>
          </w:p>
        </w:tc>
        <w:tc>
          <w:tcPr>
            <w:tcW w:w="2985" w:type="dxa"/>
          </w:tcPr>
          <w:p w14:paraId="7D6B3273"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Potential confounding factors</w:t>
            </w:r>
          </w:p>
        </w:tc>
      </w:tr>
      <w:tr w:rsidR="005150C2" w14:paraId="19B08981" w14:textId="77777777" w:rsidTr="004B4663">
        <w:trPr>
          <w:trHeight w:val="90"/>
        </w:trPr>
        <w:tc>
          <w:tcPr>
            <w:tcW w:w="1785" w:type="dxa"/>
          </w:tcPr>
          <w:p w14:paraId="5ED5CAFA" w14:textId="77777777" w:rsidR="005150C2" w:rsidRDefault="005150C2" w:rsidP="004B4663">
            <w:pPr>
              <w:rPr>
                <w:rFonts w:ascii="Times New Roman" w:eastAsia="Times New Roman" w:hAnsi="Times New Roman" w:cs="Times New Roman"/>
                <w:lang w:val="en-US"/>
              </w:rPr>
            </w:pPr>
            <w:r w:rsidRPr="22083A0C">
              <w:rPr>
                <w:rFonts w:ascii="Times New Roman" w:eastAsia="Times New Roman" w:hAnsi="Times New Roman" w:cs="Times New Roman"/>
                <w:lang w:val="en-US"/>
              </w:rPr>
              <w:t>Sokemawu Freeman et al., 2024</w:t>
            </w:r>
          </w:p>
        </w:tc>
        <w:tc>
          <w:tcPr>
            <w:tcW w:w="1800" w:type="dxa"/>
          </w:tcPr>
          <w:p w14:paraId="4AD8D01B"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Cross Sectional study</w:t>
            </w:r>
          </w:p>
        </w:tc>
        <w:tc>
          <w:tcPr>
            <w:tcW w:w="1800" w:type="dxa"/>
          </w:tcPr>
          <w:p w14:paraId="7AB47C3D"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NIH Quality Assessment Tool</w:t>
            </w:r>
          </w:p>
        </w:tc>
        <w:tc>
          <w:tcPr>
            <w:tcW w:w="1800" w:type="dxa"/>
          </w:tcPr>
          <w:p w14:paraId="790F2798"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Moderate Risk of Bias</w:t>
            </w:r>
          </w:p>
        </w:tc>
        <w:tc>
          <w:tcPr>
            <w:tcW w:w="2985" w:type="dxa"/>
          </w:tcPr>
          <w:p w14:paraId="556EE0BD"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No sample size justification</w:t>
            </w:r>
          </w:p>
        </w:tc>
      </w:tr>
      <w:tr w:rsidR="005150C2" w14:paraId="637ABA91" w14:textId="77777777" w:rsidTr="004B4663">
        <w:trPr>
          <w:trHeight w:val="201"/>
        </w:trPr>
        <w:tc>
          <w:tcPr>
            <w:tcW w:w="1785" w:type="dxa"/>
          </w:tcPr>
          <w:p w14:paraId="2497E159" w14:textId="77777777" w:rsidR="005150C2" w:rsidRDefault="005150C2" w:rsidP="004B4663">
            <w:pPr>
              <w:rPr>
                <w:rFonts w:ascii="Times New Roman" w:eastAsia="Times New Roman" w:hAnsi="Times New Roman" w:cs="Times New Roman"/>
                <w:lang w:val="en-US"/>
              </w:rPr>
            </w:pPr>
            <w:r w:rsidRPr="22083A0C">
              <w:rPr>
                <w:rFonts w:ascii="Times New Roman" w:eastAsia="Times New Roman" w:hAnsi="Times New Roman" w:cs="Times New Roman"/>
                <w:lang w:val="en-US"/>
              </w:rPr>
              <w:t>Elimian et al., 2020</w:t>
            </w:r>
          </w:p>
        </w:tc>
        <w:tc>
          <w:tcPr>
            <w:tcW w:w="1800" w:type="dxa"/>
          </w:tcPr>
          <w:p w14:paraId="71ACD1BF"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Cross Sectional study</w:t>
            </w:r>
          </w:p>
        </w:tc>
        <w:tc>
          <w:tcPr>
            <w:tcW w:w="1800" w:type="dxa"/>
          </w:tcPr>
          <w:p w14:paraId="0DF771FE"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NIH Quality Assessment Tool</w:t>
            </w:r>
          </w:p>
        </w:tc>
        <w:tc>
          <w:tcPr>
            <w:tcW w:w="1800" w:type="dxa"/>
          </w:tcPr>
          <w:p w14:paraId="68DCDC70"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Moderate Risk of Bias</w:t>
            </w:r>
          </w:p>
        </w:tc>
        <w:tc>
          <w:tcPr>
            <w:tcW w:w="2985" w:type="dxa"/>
          </w:tcPr>
          <w:p w14:paraId="7C01933E"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No sample size justification</w:t>
            </w:r>
          </w:p>
        </w:tc>
      </w:tr>
      <w:tr w:rsidR="005150C2" w14:paraId="24CE588B" w14:textId="77777777" w:rsidTr="004B4663">
        <w:trPr>
          <w:trHeight w:val="90"/>
        </w:trPr>
        <w:tc>
          <w:tcPr>
            <w:tcW w:w="1785" w:type="dxa"/>
          </w:tcPr>
          <w:p w14:paraId="76542F0E" w14:textId="77777777" w:rsidR="005150C2" w:rsidRDefault="005150C2" w:rsidP="004B4663">
            <w:pPr>
              <w:rPr>
                <w:rFonts w:ascii="Times New Roman" w:eastAsia="Times New Roman" w:hAnsi="Times New Roman" w:cs="Times New Roman"/>
                <w:lang w:val="en-US"/>
              </w:rPr>
            </w:pPr>
            <w:r w:rsidRPr="22083A0C">
              <w:rPr>
                <w:rFonts w:ascii="Times New Roman" w:eastAsia="Times New Roman" w:hAnsi="Times New Roman" w:cs="Times New Roman"/>
                <w:lang w:val="en-US"/>
              </w:rPr>
              <w:t>Endrise et al., 2019</w:t>
            </w:r>
          </w:p>
        </w:tc>
        <w:tc>
          <w:tcPr>
            <w:tcW w:w="1800" w:type="dxa"/>
          </w:tcPr>
          <w:p w14:paraId="169E18E2"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Unmatched case-control study</w:t>
            </w:r>
          </w:p>
        </w:tc>
        <w:tc>
          <w:tcPr>
            <w:tcW w:w="1800" w:type="dxa"/>
          </w:tcPr>
          <w:p w14:paraId="4A2D660D"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NIH Quality Assessment Tool</w:t>
            </w:r>
          </w:p>
        </w:tc>
        <w:tc>
          <w:tcPr>
            <w:tcW w:w="1800" w:type="dxa"/>
          </w:tcPr>
          <w:p w14:paraId="4AB0D34B"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Low Risk of Bias</w:t>
            </w:r>
          </w:p>
        </w:tc>
        <w:tc>
          <w:tcPr>
            <w:tcW w:w="2985" w:type="dxa"/>
          </w:tcPr>
          <w:p w14:paraId="7CA6C487"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No Major Concern</w:t>
            </w:r>
          </w:p>
        </w:tc>
      </w:tr>
      <w:tr w:rsidR="005150C2" w14:paraId="508AA699" w14:textId="77777777" w:rsidTr="004B4663">
        <w:trPr>
          <w:trHeight w:val="90"/>
        </w:trPr>
        <w:tc>
          <w:tcPr>
            <w:tcW w:w="1785" w:type="dxa"/>
          </w:tcPr>
          <w:p w14:paraId="1B279CBF" w14:textId="77777777" w:rsidR="005150C2" w:rsidRDefault="005150C2" w:rsidP="004B4663">
            <w:pPr>
              <w:rPr>
                <w:rFonts w:ascii="Times New Roman" w:eastAsia="Times New Roman" w:hAnsi="Times New Roman" w:cs="Times New Roman"/>
                <w:lang w:val="en-US"/>
              </w:rPr>
            </w:pPr>
            <w:r w:rsidRPr="22083A0C">
              <w:rPr>
                <w:rFonts w:ascii="Times New Roman" w:eastAsia="Times New Roman" w:hAnsi="Times New Roman" w:cs="Times New Roman"/>
                <w:lang w:val="en-US"/>
              </w:rPr>
              <w:t>Matapo et al., 2016</w:t>
            </w:r>
          </w:p>
        </w:tc>
        <w:tc>
          <w:tcPr>
            <w:tcW w:w="1800" w:type="dxa"/>
          </w:tcPr>
          <w:p w14:paraId="59B51377"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Case-control study</w:t>
            </w:r>
          </w:p>
        </w:tc>
        <w:tc>
          <w:tcPr>
            <w:tcW w:w="1800" w:type="dxa"/>
          </w:tcPr>
          <w:p w14:paraId="12B8B265"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NIH Quality Assessment Tool</w:t>
            </w:r>
          </w:p>
        </w:tc>
        <w:tc>
          <w:tcPr>
            <w:tcW w:w="1800" w:type="dxa"/>
          </w:tcPr>
          <w:p w14:paraId="52A09153"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Moderate Risk of Bias</w:t>
            </w:r>
          </w:p>
        </w:tc>
        <w:tc>
          <w:tcPr>
            <w:tcW w:w="2985" w:type="dxa"/>
          </w:tcPr>
          <w:p w14:paraId="74F405AD"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Potential confounding factors</w:t>
            </w:r>
          </w:p>
        </w:tc>
      </w:tr>
      <w:tr w:rsidR="005150C2" w14:paraId="77915D63" w14:textId="77777777" w:rsidTr="004B4663">
        <w:trPr>
          <w:trHeight w:val="90"/>
        </w:trPr>
        <w:tc>
          <w:tcPr>
            <w:tcW w:w="1785" w:type="dxa"/>
          </w:tcPr>
          <w:p w14:paraId="72261305" w14:textId="77777777" w:rsidR="005150C2" w:rsidRDefault="005150C2" w:rsidP="004B4663">
            <w:pPr>
              <w:rPr>
                <w:rFonts w:ascii="Times New Roman" w:eastAsia="Times New Roman" w:hAnsi="Times New Roman" w:cs="Times New Roman"/>
                <w:lang w:val="en-US"/>
              </w:rPr>
            </w:pPr>
            <w:r w:rsidRPr="22083A0C">
              <w:rPr>
                <w:rFonts w:ascii="Times New Roman" w:eastAsia="Times New Roman" w:hAnsi="Times New Roman" w:cs="Times New Roman"/>
                <w:lang w:val="en-US"/>
              </w:rPr>
              <w:t>Sinyange et al., 2024</w:t>
            </w:r>
          </w:p>
        </w:tc>
        <w:tc>
          <w:tcPr>
            <w:tcW w:w="1800" w:type="dxa"/>
          </w:tcPr>
          <w:p w14:paraId="39B4A60C"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Cross-sectional study</w:t>
            </w:r>
          </w:p>
        </w:tc>
        <w:tc>
          <w:tcPr>
            <w:tcW w:w="1800" w:type="dxa"/>
          </w:tcPr>
          <w:p w14:paraId="6252DE51"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NIH Quality Assessment Tool</w:t>
            </w:r>
          </w:p>
        </w:tc>
        <w:tc>
          <w:tcPr>
            <w:tcW w:w="1800" w:type="dxa"/>
          </w:tcPr>
          <w:p w14:paraId="2027BFF7"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Moderate Risk of Bias</w:t>
            </w:r>
          </w:p>
        </w:tc>
        <w:tc>
          <w:tcPr>
            <w:tcW w:w="2985" w:type="dxa"/>
          </w:tcPr>
          <w:p w14:paraId="2FFC27D8" w14:textId="77777777" w:rsidR="005150C2" w:rsidRDefault="005150C2" w:rsidP="004B4663">
            <w:pPr>
              <w:rPr>
                <w:rFonts w:ascii="Times New Roman" w:eastAsia="Times New Roman" w:hAnsi="Times New Roman" w:cs="Times New Roman"/>
              </w:rPr>
            </w:pPr>
            <w:r>
              <w:rPr>
                <w:rFonts w:ascii="Times New Roman" w:eastAsia="Times New Roman" w:hAnsi="Times New Roman" w:cs="Times New Roman"/>
              </w:rPr>
              <w:t>Potential confounding factors</w:t>
            </w:r>
          </w:p>
        </w:tc>
      </w:tr>
    </w:tbl>
    <w:p w14:paraId="1EB88997" w14:textId="77777777" w:rsidR="005150C2" w:rsidRDefault="005150C2" w:rsidP="005150C2">
      <w:pPr>
        <w:pStyle w:val="Heading2"/>
        <w:spacing w:line="259" w:lineRule="auto"/>
        <w:jc w:val="both"/>
      </w:pPr>
      <w:bookmarkStart w:id="4" w:name="_heading=h.rjccn0c2x2a0" w:colFirst="0" w:colLast="0"/>
      <w:bookmarkEnd w:id="4"/>
    </w:p>
    <w:p w14:paraId="5863FD63" w14:textId="77777777" w:rsidR="00EB4A2D" w:rsidRDefault="00EB4A2D"/>
    <w:sectPr w:rsidR="00EB4A2D" w:rsidSect="005150C2">
      <w:pgSz w:w="11906" w:h="16838"/>
      <w:pgMar w:top="567" w:right="567" w:bottom="567" w:left="567" w:header="720" w:footer="720" w:gutter="0"/>
      <w:cols w:space="720" w:equalWidth="0">
        <w:col w:w="10771"/>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ungsuh">
    <w:charset w:val="81"/>
    <w:family w:val="roman"/>
    <w:pitch w:val="variable"/>
    <w:sig w:usb0="B00002AF" w:usb1="69D77CFB" w:usb2="00000030" w:usb3="00000000" w:csb0="0008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0C2"/>
    <w:rsid w:val="00093681"/>
    <w:rsid w:val="005150C2"/>
    <w:rsid w:val="005C0D39"/>
    <w:rsid w:val="0070406C"/>
    <w:rsid w:val="00724754"/>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33FEC"/>
  <w15:chartTrackingRefBased/>
  <w15:docId w15:val="{0BB032D5-92EF-40BF-8F0B-5CF5499AB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50C2"/>
    <w:pPr>
      <w:spacing w:line="279" w:lineRule="auto"/>
    </w:pPr>
    <w:rPr>
      <w:rFonts w:ascii="Arial" w:eastAsia="Arial" w:hAnsi="Arial" w:cs="Arial"/>
      <w:kern w:val="0"/>
      <w:lang w:val="en" w:eastAsia="ja-JP"/>
      <w14:ligatures w14:val="none"/>
    </w:rPr>
  </w:style>
  <w:style w:type="paragraph" w:styleId="Heading1">
    <w:name w:val="heading 1"/>
    <w:basedOn w:val="Normal"/>
    <w:next w:val="Normal"/>
    <w:link w:val="Heading1Char"/>
    <w:uiPriority w:val="9"/>
    <w:qFormat/>
    <w:rsid w:val="005150C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unhideWhenUsed/>
    <w:qFormat/>
    <w:rsid w:val="005150C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5150C2"/>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5150C2"/>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IN" w:eastAsia="en-US"/>
      <w14:ligatures w14:val="standardContextual"/>
    </w:rPr>
  </w:style>
  <w:style w:type="paragraph" w:styleId="Heading5">
    <w:name w:val="heading 5"/>
    <w:basedOn w:val="Normal"/>
    <w:next w:val="Normal"/>
    <w:link w:val="Heading5Char"/>
    <w:uiPriority w:val="9"/>
    <w:semiHidden/>
    <w:unhideWhenUsed/>
    <w:qFormat/>
    <w:rsid w:val="005150C2"/>
    <w:pPr>
      <w:keepNext/>
      <w:keepLines/>
      <w:spacing w:before="80" w:after="40" w:line="278" w:lineRule="auto"/>
      <w:outlineLvl w:val="4"/>
    </w:pPr>
    <w:rPr>
      <w:rFonts w:asciiTheme="minorHAnsi" w:eastAsiaTheme="majorEastAsia" w:hAnsiTheme="minorHAnsi" w:cstheme="majorBidi"/>
      <w:color w:val="0F4761" w:themeColor="accent1" w:themeShade="BF"/>
      <w:kern w:val="2"/>
      <w:lang w:val="en-IN" w:eastAsia="en-US"/>
      <w14:ligatures w14:val="standardContextual"/>
    </w:rPr>
  </w:style>
  <w:style w:type="paragraph" w:styleId="Heading6">
    <w:name w:val="heading 6"/>
    <w:basedOn w:val="Normal"/>
    <w:next w:val="Normal"/>
    <w:link w:val="Heading6Char"/>
    <w:uiPriority w:val="9"/>
    <w:semiHidden/>
    <w:unhideWhenUsed/>
    <w:qFormat/>
    <w:rsid w:val="005150C2"/>
    <w:pPr>
      <w:keepNext/>
      <w:keepLines/>
      <w:spacing w:before="40" w:after="0" w:line="278" w:lineRule="auto"/>
      <w:outlineLvl w:val="5"/>
    </w:pPr>
    <w:rPr>
      <w:rFonts w:asciiTheme="minorHAnsi" w:eastAsiaTheme="majorEastAsia" w:hAnsiTheme="minorHAnsi" w:cstheme="majorBidi"/>
      <w:i/>
      <w:iCs/>
      <w:color w:val="595959" w:themeColor="text1" w:themeTint="A6"/>
      <w:kern w:val="2"/>
      <w:lang w:val="en-IN" w:eastAsia="en-US"/>
      <w14:ligatures w14:val="standardContextual"/>
    </w:rPr>
  </w:style>
  <w:style w:type="paragraph" w:styleId="Heading7">
    <w:name w:val="heading 7"/>
    <w:basedOn w:val="Normal"/>
    <w:next w:val="Normal"/>
    <w:link w:val="Heading7Char"/>
    <w:uiPriority w:val="9"/>
    <w:semiHidden/>
    <w:unhideWhenUsed/>
    <w:qFormat/>
    <w:rsid w:val="005150C2"/>
    <w:pPr>
      <w:keepNext/>
      <w:keepLines/>
      <w:spacing w:before="40" w:after="0" w:line="278" w:lineRule="auto"/>
      <w:outlineLvl w:val="6"/>
    </w:pPr>
    <w:rPr>
      <w:rFonts w:asciiTheme="minorHAnsi" w:eastAsiaTheme="majorEastAsia" w:hAnsiTheme="minorHAnsi" w:cstheme="majorBidi"/>
      <w:color w:val="595959" w:themeColor="text1" w:themeTint="A6"/>
      <w:kern w:val="2"/>
      <w:lang w:val="en-IN" w:eastAsia="en-US"/>
      <w14:ligatures w14:val="standardContextual"/>
    </w:rPr>
  </w:style>
  <w:style w:type="paragraph" w:styleId="Heading8">
    <w:name w:val="heading 8"/>
    <w:basedOn w:val="Normal"/>
    <w:next w:val="Normal"/>
    <w:link w:val="Heading8Char"/>
    <w:uiPriority w:val="9"/>
    <w:semiHidden/>
    <w:unhideWhenUsed/>
    <w:qFormat/>
    <w:rsid w:val="005150C2"/>
    <w:pPr>
      <w:keepNext/>
      <w:keepLines/>
      <w:spacing w:after="0" w:line="278" w:lineRule="auto"/>
      <w:outlineLvl w:val="7"/>
    </w:pPr>
    <w:rPr>
      <w:rFonts w:asciiTheme="minorHAnsi" w:eastAsiaTheme="majorEastAsia" w:hAnsiTheme="minorHAnsi" w:cstheme="majorBidi"/>
      <w:i/>
      <w:iCs/>
      <w:color w:val="272727" w:themeColor="text1" w:themeTint="D8"/>
      <w:kern w:val="2"/>
      <w:lang w:val="en-IN" w:eastAsia="en-US"/>
      <w14:ligatures w14:val="standardContextual"/>
    </w:rPr>
  </w:style>
  <w:style w:type="paragraph" w:styleId="Heading9">
    <w:name w:val="heading 9"/>
    <w:basedOn w:val="Normal"/>
    <w:next w:val="Normal"/>
    <w:link w:val="Heading9Char"/>
    <w:uiPriority w:val="9"/>
    <w:semiHidden/>
    <w:unhideWhenUsed/>
    <w:qFormat/>
    <w:rsid w:val="005150C2"/>
    <w:pPr>
      <w:keepNext/>
      <w:keepLines/>
      <w:spacing w:after="0" w:line="278" w:lineRule="auto"/>
      <w:outlineLvl w:val="8"/>
    </w:pPr>
    <w:rPr>
      <w:rFonts w:asciiTheme="minorHAnsi" w:eastAsiaTheme="majorEastAsia" w:hAnsiTheme="minorHAnsi" w:cstheme="majorBidi"/>
      <w:color w:val="272727" w:themeColor="text1" w:themeTint="D8"/>
      <w:kern w:val="2"/>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50C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150C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50C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50C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50C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50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50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50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50C2"/>
    <w:rPr>
      <w:rFonts w:eastAsiaTheme="majorEastAsia" w:cstheme="majorBidi"/>
      <w:color w:val="272727" w:themeColor="text1" w:themeTint="D8"/>
    </w:rPr>
  </w:style>
  <w:style w:type="paragraph" w:styleId="Title">
    <w:name w:val="Title"/>
    <w:basedOn w:val="Normal"/>
    <w:next w:val="Normal"/>
    <w:link w:val="TitleChar"/>
    <w:uiPriority w:val="10"/>
    <w:qFormat/>
    <w:rsid w:val="005150C2"/>
    <w:pPr>
      <w:spacing w:after="80" w:line="240" w:lineRule="auto"/>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5150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50C2"/>
    <w:pPr>
      <w:numPr>
        <w:ilvl w:val="1"/>
      </w:numPr>
      <w:spacing w:line="278" w:lineRule="auto"/>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5150C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50C2"/>
    <w:pPr>
      <w:spacing w:before="160" w:line="278" w:lineRule="auto"/>
      <w:jc w:val="center"/>
    </w:pPr>
    <w:rPr>
      <w:rFonts w:asciiTheme="minorHAnsi" w:eastAsiaTheme="minorHAnsi" w:hAnsiTheme="minorHAnsi" w:cstheme="minorBidi"/>
      <w:i/>
      <w:iCs/>
      <w:color w:val="404040" w:themeColor="text1" w:themeTint="BF"/>
      <w:kern w:val="2"/>
      <w:lang w:val="en-IN" w:eastAsia="en-US"/>
      <w14:ligatures w14:val="standardContextual"/>
    </w:rPr>
  </w:style>
  <w:style w:type="character" w:customStyle="1" w:styleId="QuoteChar">
    <w:name w:val="Quote Char"/>
    <w:basedOn w:val="DefaultParagraphFont"/>
    <w:link w:val="Quote"/>
    <w:uiPriority w:val="29"/>
    <w:rsid w:val="005150C2"/>
    <w:rPr>
      <w:i/>
      <w:iCs/>
      <w:color w:val="404040" w:themeColor="text1" w:themeTint="BF"/>
    </w:rPr>
  </w:style>
  <w:style w:type="paragraph" w:styleId="ListParagraph">
    <w:name w:val="List Paragraph"/>
    <w:basedOn w:val="Normal"/>
    <w:uiPriority w:val="34"/>
    <w:qFormat/>
    <w:rsid w:val="005150C2"/>
    <w:pPr>
      <w:spacing w:line="278" w:lineRule="auto"/>
      <w:ind w:left="720"/>
      <w:contextualSpacing/>
    </w:pPr>
    <w:rPr>
      <w:rFonts w:asciiTheme="minorHAnsi" w:eastAsiaTheme="minorHAnsi" w:hAnsiTheme="minorHAnsi" w:cstheme="minorBidi"/>
      <w:kern w:val="2"/>
      <w:lang w:val="en-IN" w:eastAsia="en-US"/>
      <w14:ligatures w14:val="standardContextual"/>
    </w:rPr>
  </w:style>
  <w:style w:type="character" w:styleId="IntenseEmphasis">
    <w:name w:val="Intense Emphasis"/>
    <w:basedOn w:val="DefaultParagraphFont"/>
    <w:uiPriority w:val="21"/>
    <w:qFormat/>
    <w:rsid w:val="005150C2"/>
    <w:rPr>
      <w:i/>
      <w:iCs/>
      <w:color w:val="0F4761" w:themeColor="accent1" w:themeShade="BF"/>
    </w:rPr>
  </w:style>
  <w:style w:type="paragraph" w:styleId="IntenseQuote">
    <w:name w:val="Intense Quote"/>
    <w:basedOn w:val="Normal"/>
    <w:next w:val="Normal"/>
    <w:link w:val="IntenseQuoteChar"/>
    <w:uiPriority w:val="30"/>
    <w:qFormat/>
    <w:rsid w:val="005150C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IN" w:eastAsia="en-US"/>
      <w14:ligatures w14:val="standardContextual"/>
    </w:rPr>
  </w:style>
  <w:style w:type="character" w:customStyle="1" w:styleId="IntenseQuoteChar">
    <w:name w:val="Intense Quote Char"/>
    <w:basedOn w:val="DefaultParagraphFont"/>
    <w:link w:val="IntenseQuote"/>
    <w:uiPriority w:val="30"/>
    <w:rsid w:val="005150C2"/>
    <w:rPr>
      <w:i/>
      <w:iCs/>
      <w:color w:val="0F4761" w:themeColor="accent1" w:themeShade="BF"/>
    </w:rPr>
  </w:style>
  <w:style w:type="character" w:styleId="IntenseReference">
    <w:name w:val="Intense Reference"/>
    <w:basedOn w:val="DefaultParagraphFont"/>
    <w:uiPriority w:val="32"/>
    <w:qFormat/>
    <w:rsid w:val="005150C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2491</Words>
  <Characters>16695</Characters>
  <Application>Microsoft Office Word</Application>
  <DocSecurity>0</DocSecurity>
  <Lines>878</Lines>
  <Paragraphs>188</Paragraphs>
  <ScaleCrop>false</ScaleCrop>
  <Company/>
  <LinksUpToDate>false</LinksUpToDate>
  <CharactersWithSpaces>18998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2026-01-21T05:12:00Z</dcterms:created>
  <dcterms:modified xsi:type="dcterms:W3CDTF">2026-01-21T05:12:00Z</dcterms:modified>
</cp:coreProperties>
</file>