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184127" w14:textId="77777777" w:rsidR="00CB641E" w:rsidRDefault="00CB641E" w:rsidP="00CB641E">
      <w:pPr>
        <w:spacing w:line="480" w:lineRule="auto"/>
        <w:ind w:firstLine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LEGENDS</w:t>
      </w:r>
    </w:p>
    <w:p w14:paraId="7888694E" w14:textId="77777777" w:rsidR="00CB641E" w:rsidRDefault="00CB641E" w:rsidP="00CB641E">
      <w:pPr>
        <w:spacing w:line="48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1B2">
        <w:rPr>
          <w:rFonts w:ascii="Times New Roman" w:eastAsia="Times New Roman" w:hAnsi="Times New Roman" w:cs="Times New Roman"/>
          <w:b/>
          <w:bCs/>
          <w:sz w:val="24"/>
          <w:szCs w:val="24"/>
        </w:rPr>
        <w:t>Table 1. Study Cohort Demographics and Clinical Characteristics.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771B2">
        <w:rPr>
          <w:rFonts w:ascii="Times New Roman" w:eastAsia="Times New Roman" w:hAnsi="Times New Roman" w:cs="Times New Roman"/>
          <w:sz w:val="24"/>
          <w:szCs w:val="24"/>
        </w:rPr>
        <w:t>Baseline demographics and clinical characteristics for the PRECISE analysis cohort (one eye per patient) completing aflibercept 2 mg induction, N=2036. Continuous variables are summarised as mean (SD) and median [min, max]; categorical variables as n (%).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1B2">
        <w:rPr>
          <w:rFonts w:ascii="Times New Roman" w:eastAsia="Times New Roman" w:hAnsi="Times New Roman" w:cs="Times New Roman"/>
          <w:sz w:val="24"/>
          <w:szCs w:val="24"/>
        </w:rPr>
        <w:t>Abbreviations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B771B2">
        <w:rPr>
          <w:rFonts w:ascii="Times New Roman" w:eastAsia="Times New Roman" w:hAnsi="Times New Roman" w:cs="Times New Roman"/>
          <w:sz w:val="24"/>
          <w:szCs w:val="24"/>
        </w:rPr>
        <w:t xml:space="preserve">BCVA, best-corrected visual acuity; PED, pigment epithelium detachment; SD, standard deviation. </w:t>
      </w:r>
    </w:p>
    <w:p w14:paraId="243CC428" w14:textId="77777777" w:rsidR="00CB641E" w:rsidRDefault="00CB641E" w:rsidP="00CB641E">
      <w:pPr>
        <w:spacing w:line="48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A3DFEE2" w14:textId="77777777" w:rsidR="00CB641E" w:rsidRDefault="00CB641E" w:rsidP="00CB641E">
      <w:pPr>
        <w:spacing w:line="48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1B2">
        <w:rPr>
          <w:rFonts w:ascii="Times New Roman" w:eastAsia="Times New Roman" w:hAnsi="Times New Roman" w:cs="Times New Roman"/>
          <w:b/>
          <w:bCs/>
          <w:sz w:val="24"/>
          <w:szCs w:val="24"/>
        </w:rPr>
        <w:t>Table 2. Evolution of Fibrosis Biomarkers Across Therapy Induction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B771B2">
        <w:rPr>
          <w:rFonts w:ascii="Times New Roman" w:eastAsia="Times New Roman" w:hAnsi="Times New Roman" w:cs="Times New Roman"/>
          <w:sz w:val="24"/>
          <w:szCs w:val="24"/>
        </w:rPr>
        <w:t>Baseline and Visit 4 (V4) clinical and OCT biomarker profiles in eyes with gradable V4 pathology (N=2028), stratified by wdHRM at V4 (wdHRM: N=428; no wdHRM: N=1600). The table reports baseline wdHRM and (S)HRM burden (presence/location, width, height), fluid status (IRF/SRF at baseline and V4; “dry” at V4), outer retinal integrity markers (EZ-loss, ELM-loss), and hypertransmission (HTM at baseline and V4). Group differences are summarised with p-values for wdHRM vs no wdHRM at V4. Abbreviations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B771B2">
        <w:rPr>
          <w:rFonts w:ascii="Times New Roman" w:eastAsia="Times New Roman" w:hAnsi="Times New Roman" w:cs="Times New Roman"/>
          <w:sz w:val="24"/>
          <w:szCs w:val="24"/>
        </w:rPr>
        <w:t>wdHRM, well-delineated hyperreflective material; (S)HRM, (subretinal) hyperreflective material; BCVA, best-corrected visual acuity; PED, pigment epithelium detachment; IRF, intraretinal fluid; SRF, subretinal fluid; EZ, ellipsoid zone; ELM, external limiting membrane; HTM, hypertransmission.</w:t>
      </w:r>
    </w:p>
    <w:p w14:paraId="47680176" w14:textId="77777777" w:rsidR="00CB641E" w:rsidRDefault="00CB641E" w:rsidP="00CB641E">
      <w:pPr>
        <w:spacing w:line="48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C0CF224" w14:textId="77777777" w:rsidR="00CB641E" w:rsidRPr="00B771B2" w:rsidRDefault="00CB641E" w:rsidP="00CB641E">
      <w:pPr>
        <w:spacing w:line="48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1B2">
        <w:rPr>
          <w:rFonts w:ascii="Times New Roman" w:eastAsia="Times New Roman" w:hAnsi="Times New Roman" w:cs="Times New Roman"/>
          <w:b/>
          <w:bCs/>
          <w:sz w:val="24"/>
          <w:szCs w:val="24"/>
        </w:rPr>
        <w:t>Table 3. Co-occurrence of Fibrosis and Macular Atrophy Biomarkers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17B24CF6" w14:textId="77777777" w:rsidR="00CB641E" w:rsidRPr="00B771B2" w:rsidRDefault="00CB641E" w:rsidP="00CB641E">
      <w:pPr>
        <w:spacing w:line="48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1B2">
        <w:rPr>
          <w:rFonts w:ascii="Times New Roman" w:eastAsia="Times New Roman" w:hAnsi="Times New Roman" w:cs="Times New Roman"/>
          <w:sz w:val="24"/>
          <w:szCs w:val="24"/>
        </w:rPr>
        <w:t xml:space="preserve">Baseline and V4 OCT biomarkers in eyes with gradable V4 pathology (N=2028), stratified by HTM at V4 (no HTM: N=518; HTM: N=1510). The table includes baseline HTM, BCVA (baseline and V4), PED subtype, (S)HRM burden (presence/location, width, height), baseline fluid status (IRF/SRF), baseline outer retinal disruption (EZ-loss, ELM-loss), and wdHRM at baseline and V4. P-values compare HTM vs no HTM at V4. </w:t>
      </w:r>
    </w:p>
    <w:p w14:paraId="2E3F32D7" w14:textId="77777777" w:rsidR="00CB641E" w:rsidRDefault="00CB641E" w:rsidP="00CB641E">
      <w:pPr>
        <w:spacing w:line="48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1B2">
        <w:rPr>
          <w:rFonts w:ascii="Times New Roman" w:eastAsia="Times New Roman" w:hAnsi="Times New Roman" w:cs="Times New Roman"/>
          <w:sz w:val="24"/>
          <w:szCs w:val="24"/>
        </w:rPr>
        <w:lastRenderedPageBreak/>
        <w:t>Abbreviations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B771B2">
        <w:rPr>
          <w:rFonts w:ascii="Times New Roman" w:eastAsia="Times New Roman" w:hAnsi="Times New Roman" w:cs="Times New Roman"/>
          <w:sz w:val="24"/>
          <w:szCs w:val="24"/>
        </w:rPr>
        <w:t>wdHRM, well-delineated hyperreflective material; (S)HRM, (subretinal) hyperreflective material; BCVA, best-corrected visual acuity; PED, pigment epithelium detachment; IRF, intraretinal fluid; SRF, subretinal fluid; EZ, ellipsoid zone; ELM, external limiting membrane; HTM, hypertransmission.</w:t>
      </w:r>
    </w:p>
    <w:p w14:paraId="498E21CB" w14:textId="77777777" w:rsidR="00CB641E" w:rsidRDefault="00CB641E" w:rsidP="00CB641E">
      <w:pPr>
        <w:spacing w:line="48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CB351B8" w14:textId="77777777" w:rsidR="00CB641E" w:rsidRPr="00B771B2" w:rsidRDefault="00CB641E" w:rsidP="00CB641E">
      <w:pPr>
        <w:spacing w:line="48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1B2">
        <w:rPr>
          <w:rFonts w:ascii="Times New Roman" w:eastAsia="Times New Roman" w:hAnsi="Times New Roman" w:cs="Times New Roman"/>
          <w:b/>
          <w:bCs/>
          <w:sz w:val="24"/>
          <w:szCs w:val="24"/>
        </w:rPr>
        <w:t>Table 4. Baseline and Visit 4 Biomarkers by Macular Neovascularization Subtype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3652EC0B" w14:textId="77777777" w:rsidR="00CB641E" w:rsidRDefault="00CB641E" w:rsidP="00CB641E">
      <w:pPr>
        <w:spacing w:line="48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1B2">
        <w:rPr>
          <w:rFonts w:ascii="Times New Roman" w:eastAsia="Times New Roman" w:hAnsi="Times New Roman" w:cs="Times New Roman"/>
          <w:sz w:val="24"/>
          <w:szCs w:val="24"/>
        </w:rPr>
        <w:t>Distribution of BCVA and OCT biomarkers at baseline and V4 stratified by baseline MNV subtype (PCV, Type 1, Type 2/mixed, Type 3), with overall cohort totals (N=2036). The table reports subtype-specific prevalence of wdHRM (baseline and V4), HTM (baseline and V4), (S)HRM burden (presence/location, width, height), fluid status (IRF/SRF baseline and V4), and “dry” status at V4. Missingness for selected V4 pathology variables is reported where applicable. Abbreviations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B771B2">
        <w:rPr>
          <w:rFonts w:ascii="Times New Roman" w:eastAsia="Times New Roman" w:hAnsi="Times New Roman" w:cs="Times New Roman"/>
          <w:sz w:val="24"/>
          <w:szCs w:val="24"/>
        </w:rPr>
        <w:t>BCVA, best-corrected visual acuity; (S)HRM, (subretinal) hyperreflective material; IRF, intraretinal fluid; SRF, subretinal fluid; EZ, ellipsoid zone; ELM, external limiting membrane; HTM, hypertransmission; PCV, polypoidal choroidal vasculopathy.</w:t>
      </w:r>
    </w:p>
    <w:p w14:paraId="2572F0B7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41E"/>
    <w:rsid w:val="000C4033"/>
    <w:rsid w:val="004B42CB"/>
    <w:rsid w:val="00554995"/>
    <w:rsid w:val="00692F8F"/>
    <w:rsid w:val="00B85331"/>
    <w:rsid w:val="00CB641E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78FD0"/>
  <w15:chartTrackingRefBased/>
  <w15:docId w15:val="{16EE4FB4-05D0-40FC-B619-A4566D540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641E"/>
    <w:pPr>
      <w:spacing w:after="0" w:line="360" w:lineRule="auto"/>
      <w:ind w:firstLine="720"/>
    </w:pPr>
    <w:rPr>
      <w:rFonts w:ascii="Arial" w:eastAsia="Arial" w:hAnsi="Arial" w:cs="Arial"/>
      <w:kern w:val="0"/>
      <w:sz w:val="20"/>
      <w:szCs w:val="2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641E"/>
    <w:pPr>
      <w:keepNext/>
      <w:keepLines/>
      <w:spacing w:before="360" w:after="80" w:line="278" w:lineRule="auto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641E"/>
    <w:pPr>
      <w:keepNext/>
      <w:keepLines/>
      <w:spacing w:before="160" w:after="80" w:line="278" w:lineRule="auto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641E"/>
    <w:pPr>
      <w:keepNext/>
      <w:keepLines/>
      <w:spacing w:before="160" w:after="80" w:line="278" w:lineRule="auto"/>
      <w:ind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641E"/>
    <w:pPr>
      <w:keepNext/>
      <w:keepLines/>
      <w:spacing w:before="80" w:after="40" w:line="278" w:lineRule="auto"/>
      <w:ind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641E"/>
    <w:pPr>
      <w:keepNext/>
      <w:keepLines/>
      <w:spacing w:before="80" w:after="40" w:line="278" w:lineRule="auto"/>
      <w:ind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641E"/>
    <w:pPr>
      <w:keepNext/>
      <w:keepLines/>
      <w:spacing w:before="40" w:line="278" w:lineRule="auto"/>
      <w:ind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641E"/>
    <w:pPr>
      <w:keepNext/>
      <w:keepLines/>
      <w:spacing w:before="40" w:line="278" w:lineRule="auto"/>
      <w:ind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641E"/>
    <w:pPr>
      <w:keepNext/>
      <w:keepLines/>
      <w:spacing w:line="278" w:lineRule="auto"/>
      <w:ind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641E"/>
    <w:pPr>
      <w:keepNext/>
      <w:keepLines/>
      <w:spacing w:line="278" w:lineRule="auto"/>
      <w:ind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64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64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64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64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64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64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64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64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64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641E"/>
    <w:pPr>
      <w:spacing w:after="80" w:line="240" w:lineRule="auto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B64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641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B64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641E"/>
    <w:pPr>
      <w:spacing w:before="160" w:after="160" w:line="278" w:lineRule="auto"/>
      <w:ind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B64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641E"/>
    <w:pPr>
      <w:spacing w:after="160" w:line="278" w:lineRule="auto"/>
      <w:ind w:left="720" w:firstLine="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B64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64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64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641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381</Words>
  <Characters>2503</Characters>
  <Application>Microsoft Office Word</Application>
  <DocSecurity>0</DocSecurity>
  <Lines>39</Lines>
  <Paragraphs>8</Paragraphs>
  <ScaleCrop>false</ScaleCrop>
  <Company/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2026-02-03T15:03:00Z</dcterms:created>
  <dcterms:modified xsi:type="dcterms:W3CDTF">2026-02-03T15:04:00Z</dcterms:modified>
</cp:coreProperties>
</file>