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870" w:rsidRPr="003D0996" w:rsidRDefault="00F50870" w:rsidP="00F50870">
      <w:pPr>
        <w:jc w:val="center"/>
        <w:rPr>
          <w:rFonts w:ascii="Times New Roman" w:hAnsi="Times New Roman" w:cs="Times New Roman"/>
          <w:b/>
          <w:bCs/>
          <w:sz w:val="20"/>
          <w:szCs w:val="20"/>
        </w:rPr>
      </w:pPr>
      <w:bookmarkStart w:id="0" w:name="_GoBack"/>
      <w:bookmarkEnd w:id="0"/>
      <w:r w:rsidRPr="003D0996">
        <w:rPr>
          <w:rFonts w:ascii="Times New Roman" w:hAnsi="Times New Roman" w:cs="Times New Roman"/>
          <w:b/>
          <w:sz w:val="20"/>
        </w:rPr>
        <w:t>Supplementary Table S1. Multivariable Linear Regression Analysis Predicting Hemoglobin Drop</w:t>
      </w:r>
    </w:p>
    <w:tbl>
      <w:tblPr>
        <w:tblStyle w:val="a3"/>
        <w:tblW w:w="0" w:type="auto"/>
        <w:tblBorders>
          <w:left w:val="none" w:sz="0" w:space="0" w:color="auto"/>
          <w:right w:val="none" w:sz="0" w:space="0" w:color="auto"/>
        </w:tblBorders>
        <w:tblLook w:val="04A0" w:firstRow="1" w:lastRow="0" w:firstColumn="1" w:lastColumn="0" w:noHBand="0" w:noVBand="1"/>
      </w:tblPr>
      <w:tblGrid>
        <w:gridCol w:w="1555"/>
        <w:gridCol w:w="1463"/>
        <w:gridCol w:w="1518"/>
        <w:gridCol w:w="1134"/>
        <w:gridCol w:w="2636"/>
      </w:tblGrid>
      <w:tr w:rsidR="00F50870" w:rsidRPr="00210B3E" w:rsidTr="00862F9B">
        <w:tc>
          <w:tcPr>
            <w:tcW w:w="1555" w:type="dxa"/>
            <w:tcBorders>
              <w:top w:val="single" w:sz="4" w:space="0" w:color="auto"/>
              <w:bottom w:val="single" w:sz="4" w:space="0" w:color="auto"/>
              <w:right w:val="nil"/>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Variable</w:t>
            </w:r>
          </w:p>
        </w:tc>
        <w:tc>
          <w:tcPr>
            <w:tcW w:w="1463" w:type="dxa"/>
            <w:tcBorders>
              <w:top w:val="single" w:sz="4" w:space="0" w:color="auto"/>
              <w:left w:val="nil"/>
              <w:bottom w:val="single" w:sz="4" w:space="0" w:color="auto"/>
              <w:right w:val="nil"/>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Coefficient (β)</w:t>
            </w:r>
          </w:p>
        </w:tc>
        <w:tc>
          <w:tcPr>
            <w:tcW w:w="1518" w:type="dxa"/>
            <w:tcBorders>
              <w:top w:val="single" w:sz="4" w:space="0" w:color="auto"/>
              <w:left w:val="nil"/>
              <w:bottom w:val="single" w:sz="4" w:space="0" w:color="auto"/>
              <w:right w:val="nil"/>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95% CI</w:t>
            </w:r>
          </w:p>
        </w:tc>
        <w:tc>
          <w:tcPr>
            <w:tcW w:w="1134" w:type="dxa"/>
            <w:tcBorders>
              <w:top w:val="single" w:sz="4" w:space="0" w:color="auto"/>
              <w:left w:val="nil"/>
              <w:bottom w:val="single" w:sz="4" w:space="0" w:color="auto"/>
              <w:right w:val="nil"/>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p-value</w:t>
            </w:r>
          </w:p>
        </w:tc>
        <w:tc>
          <w:tcPr>
            <w:tcW w:w="2636" w:type="dxa"/>
            <w:tcBorders>
              <w:top w:val="single" w:sz="4" w:space="0" w:color="auto"/>
              <w:left w:val="nil"/>
              <w:bottom w:val="single" w:sz="4" w:space="0" w:color="auto"/>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Interpretation</w:t>
            </w:r>
          </w:p>
        </w:tc>
      </w:tr>
      <w:tr w:rsidR="00F50870" w:rsidRPr="00210B3E" w:rsidTr="00862F9B">
        <w:tc>
          <w:tcPr>
            <w:tcW w:w="1555" w:type="dxa"/>
            <w:tcBorders>
              <w:top w:val="single" w:sz="4" w:space="0" w:color="auto"/>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Intercept</w:t>
            </w:r>
          </w:p>
        </w:tc>
        <w:tc>
          <w:tcPr>
            <w:tcW w:w="1463" w:type="dxa"/>
            <w:tcBorders>
              <w:top w:val="single" w:sz="4" w:space="0" w:color="auto"/>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3.21</w:t>
            </w:r>
          </w:p>
        </w:tc>
        <w:tc>
          <w:tcPr>
            <w:tcW w:w="1518" w:type="dxa"/>
            <w:tcBorders>
              <w:top w:val="single" w:sz="4" w:space="0" w:color="auto"/>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2.10 to 4.32</w:t>
            </w:r>
          </w:p>
        </w:tc>
        <w:tc>
          <w:tcPr>
            <w:tcW w:w="1134" w:type="dxa"/>
            <w:tcBorders>
              <w:top w:val="single" w:sz="4" w:space="0" w:color="auto"/>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&lt;0.001</w:t>
            </w:r>
            <w:r>
              <w:rPr>
                <w:rFonts w:ascii="Times New Roman" w:hAnsi="Times New Roman" w:cs="Times New Roman"/>
                <w:sz w:val="20"/>
                <w:szCs w:val="20"/>
              </w:rPr>
              <w:t>*</w:t>
            </w:r>
          </w:p>
        </w:tc>
        <w:tc>
          <w:tcPr>
            <w:tcW w:w="2636" w:type="dxa"/>
            <w:tcBorders>
              <w:top w:val="single" w:sz="4" w:space="0" w:color="auto"/>
              <w:left w:val="nil"/>
              <w:bottom w:val="nil"/>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Baseline Hb drop when all predictors = 0</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EM referencing</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−0.42</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−0.71 to −0.13</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0.005</w:t>
            </w:r>
            <w:r>
              <w:rPr>
                <w:rFonts w:ascii="Times New Roman" w:hAnsi="Times New Roman" w:cs="Times New Roman"/>
                <w:sz w:val="20"/>
                <w:szCs w:val="20"/>
              </w:rPr>
              <w:t>*</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EM associated with 0.42 g/dL less Hb drop</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Age (years)</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0.01</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−0.02 to 0.04</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0.52</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No significant age effect</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Pr>
                <w:rFonts w:ascii="Times New Roman" w:hAnsi="Times New Roman" w:cs="Times New Roman"/>
                <w:sz w:val="20"/>
                <w:szCs w:val="20"/>
              </w:rPr>
              <w:t>Sex</w:t>
            </w:r>
            <w:r w:rsidRPr="00210B3E">
              <w:rPr>
                <w:rFonts w:ascii="Times New Roman" w:hAnsi="Times New Roman" w:cs="Times New Roman"/>
                <w:sz w:val="20"/>
                <w:szCs w:val="20"/>
              </w:rPr>
              <w:t xml:space="preserve"> (F vs M)</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0.08</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−0.21 to 0.37</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0.59</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No significant gender effect</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BMI (kg/m²)</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−0.02</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−0.06 to 0.02</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0.32</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No significant BMI effect</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Admission Hb (g/dL)</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−0.10</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−0.25 to 0.05</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0.19</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Trend toward lower drop with higher baseline Hb</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Log</w:t>
            </w:r>
            <w:r>
              <w:rPr>
                <w:rFonts w:ascii="Times New Roman" w:hAnsi="Times New Roman" w:cs="Times New Roman"/>
                <w:sz w:val="20"/>
                <w:szCs w:val="20"/>
              </w:rPr>
              <w:t xml:space="preserve"> </w:t>
            </w:r>
            <w:r w:rsidRPr="00210B3E">
              <w:rPr>
                <w:rFonts w:ascii="Times New Roman" w:hAnsi="Times New Roman" w:cs="Times New Roman"/>
                <w:sz w:val="20"/>
                <w:szCs w:val="20"/>
              </w:rPr>
              <w:t>(D-dimer)</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0.18</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0.02 to 0.34</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0.03</w:t>
            </w:r>
            <w:r>
              <w:rPr>
                <w:rFonts w:ascii="Times New Roman" w:hAnsi="Times New Roman" w:cs="Times New Roman"/>
                <w:sz w:val="20"/>
                <w:szCs w:val="20"/>
              </w:rPr>
              <w:t>*</w:t>
            </w:r>
          </w:p>
        </w:tc>
        <w:tc>
          <w:tcPr>
            <w:tcW w:w="2636" w:type="dxa"/>
            <w:tcBorders>
              <w:top w:val="nil"/>
              <w:left w:val="nil"/>
              <w:bottom w:val="nil"/>
            </w:tcBorders>
          </w:tcPr>
          <w:p w:rsidR="00F50870" w:rsidRPr="001F391A" w:rsidRDefault="00F50870" w:rsidP="00862F9B">
            <w:pPr>
              <w:rPr>
                <w:rFonts w:ascii="Times New Roman" w:hAnsi="Times New Roman" w:cs="Times New Roman"/>
                <w:sz w:val="20"/>
                <w:szCs w:val="20"/>
                <w:vertAlign w:val="subscript"/>
              </w:rPr>
            </w:pPr>
            <w:r w:rsidRPr="00210B3E">
              <w:rPr>
                <w:rFonts w:ascii="Times New Roman" w:hAnsi="Times New Roman" w:cs="Times New Roman"/>
                <w:sz w:val="20"/>
                <w:szCs w:val="20"/>
              </w:rPr>
              <w:t>Higher D-dimer associated with greater Hb drop</w:t>
            </w:r>
          </w:p>
        </w:tc>
      </w:tr>
      <w:tr w:rsidR="00F50870" w:rsidRPr="00210B3E" w:rsidTr="00862F9B">
        <w:tc>
          <w:tcPr>
            <w:tcW w:w="1555" w:type="dxa"/>
            <w:tcBorders>
              <w:top w:val="nil"/>
              <w:bottom w:val="single" w:sz="4" w:space="0" w:color="auto"/>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Ischemic time (min)</w:t>
            </w:r>
          </w:p>
        </w:tc>
        <w:tc>
          <w:tcPr>
            <w:tcW w:w="1463" w:type="dxa"/>
            <w:tcBorders>
              <w:top w:val="nil"/>
              <w:left w:val="nil"/>
              <w:bottom w:val="single" w:sz="4" w:space="0" w:color="auto"/>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0.01</w:t>
            </w:r>
          </w:p>
        </w:tc>
        <w:tc>
          <w:tcPr>
            <w:tcW w:w="1518" w:type="dxa"/>
            <w:tcBorders>
              <w:top w:val="nil"/>
              <w:left w:val="nil"/>
              <w:bottom w:val="single" w:sz="4" w:space="0" w:color="auto"/>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−0.01 to 0.03</w:t>
            </w:r>
          </w:p>
        </w:tc>
        <w:tc>
          <w:tcPr>
            <w:tcW w:w="1134" w:type="dxa"/>
            <w:tcBorders>
              <w:top w:val="nil"/>
              <w:left w:val="nil"/>
              <w:bottom w:val="single" w:sz="4" w:space="0" w:color="auto"/>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0.28</w:t>
            </w:r>
          </w:p>
        </w:tc>
        <w:tc>
          <w:tcPr>
            <w:tcW w:w="2636" w:type="dxa"/>
            <w:tcBorders>
              <w:top w:val="nil"/>
              <w:left w:val="nil"/>
              <w:bottom w:val="single" w:sz="4" w:space="0" w:color="auto"/>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No significant effect</w:t>
            </w:r>
          </w:p>
        </w:tc>
      </w:tr>
    </w:tbl>
    <w:p w:rsidR="00F50870" w:rsidRPr="003D0996" w:rsidRDefault="00F50870" w:rsidP="00F50870">
      <w:pPr>
        <w:rPr>
          <w:rFonts w:ascii="Times New Roman" w:hAnsi="Times New Roman" w:cs="Times New Roman"/>
          <w:sz w:val="20"/>
          <w:szCs w:val="20"/>
        </w:rPr>
      </w:pPr>
      <w:r w:rsidRPr="003D0996">
        <w:rPr>
          <w:rFonts w:ascii="Times New Roman" w:hAnsi="Times New Roman" w:cs="Times New Roman"/>
          <w:sz w:val="20"/>
        </w:rPr>
        <w:t>Multivariable linear regression model adjusting for femoral referencing technique (extramedullary vs. intramedullary), age, sex, body mass index (BMI), admission hemoglobin level, log</w:t>
      </w:r>
      <w:r w:rsidRPr="003D0996">
        <w:rPr>
          <w:rFonts w:ascii="Times New Roman" w:hAnsi="Times New Roman" w:cs="Times New Roman"/>
          <w:sz w:val="20"/>
        </w:rPr>
        <w:noBreakHyphen/>
        <w:t>transformed D</w:t>
      </w:r>
      <w:r w:rsidRPr="003D0996">
        <w:rPr>
          <w:rFonts w:ascii="Times New Roman" w:hAnsi="Times New Roman" w:cs="Times New Roman"/>
          <w:sz w:val="20"/>
        </w:rPr>
        <w:noBreakHyphen/>
        <w:t>dimer level, and ischemic time. Regression coefficients (β) represent the estimated change in postoperative hemoglobin drop (g/dL) per unit increase in each predictor, holding all other variables constant. Statistical significance was defined as p &lt; 0.05 and is indicated by an asterisk. Model performance is summarized by R² and adjusted R² values (R² = 0.31; adjusted R² = 0.26; overall model F</w:t>
      </w:r>
      <w:r w:rsidRPr="003D0996">
        <w:rPr>
          <w:rFonts w:ascii="Times New Roman" w:hAnsi="Times New Roman" w:cs="Times New Roman"/>
          <w:sz w:val="20"/>
        </w:rPr>
        <w:noBreakHyphen/>
        <w:t>test p &lt; 0.001).</w:t>
      </w:r>
    </w:p>
    <w:p w:rsidR="00F50870" w:rsidRDefault="00F50870" w:rsidP="00F50870">
      <w:pPr>
        <w:rPr>
          <w:rFonts w:ascii="Times New Roman" w:hAnsi="Times New Roman" w:cs="Times New Roman"/>
          <w:sz w:val="20"/>
          <w:szCs w:val="20"/>
        </w:rPr>
      </w:pPr>
    </w:p>
    <w:p w:rsidR="00F50870" w:rsidRPr="003D0996" w:rsidRDefault="00F50870" w:rsidP="00F50870">
      <w:pPr>
        <w:ind w:rightChars="-142" w:right="-341"/>
        <w:jc w:val="center"/>
        <w:rPr>
          <w:rFonts w:ascii="Times New Roman" w:hAnsi="Times New Roman" w:cs="Times New Roman"/>
          <w:b/>
          <w:bCs/>
          <w:sz w:val="20"/>
          <w:szCs w:val="20"/>
        </w:rPr>
      </w:pPr>
      <w:r w:rsidRPr="003D0996">
        <w:rPr>
          <w:rFonts w:ascii="Times New Roman" w:hAnsi="Times New Roman" w:cs="Times New Roman"/>
          <w:b/>
          <w:sz w:val="20"/>
        </w:rPr>
        <w:t>Supplementary Table S2. Multivariable Linear Regression Analysis Predicting Estimated Blood Loss</w:t>
      </w:r>
    </w:p>
    <w:tbl>
      <w:tblPr>
        <w:tblStyle w:val="a3"/>
        <w:tblW w:w="0" w:type="auto"/>
        <w:tblBorders>
          <w:left w:val="none" w:sz="0" w:space="0" w:color="auto"/>
          <w:right w:val="none" w:sz="0" w:space="0" w:color="auto"/>
        </w:tblBorders>
        <w:tblLook w:val="04A0" w:firstRow="1" w:lastRow="0" w:firstColumn="1" w:lastColumn="0" w:noHBand="0" w:noVBand="1"/>
      </w:tblPr>
      <w:tblGrid>
        <w:gridCol w:w="1555"/>
        <w:gridCol w:w="1463"/>
        <w:gridCol w:w="1518"/>
        <w:gridCol w:w="1134"/>
        <w:gridCol w:w="2636"/>
      </w:tblGrid>
      <w:tr w:rsidR="00F50870" w:rsidRPr="00210B3E" w:rsidTr="00862F9B">
        <w:tc>
          <w:tcPr>
            <w:tcW w:w="1555" w:type="dxa"/>
            <w:tcBorders>
              <w:top w:val="single" w:sz="4" w:space="0" w:color="auto"/>
              <w:bottom w:val="single" w:sz="4" w:space="0" w:color="auto"/>
              <w:right w:val="nil"/>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Variable</w:t>
            </w:r>
          </w:p>
        </w:tc>
        <w:tc>
          <w:tcPr>
            <w:tcW w:w="1463" w:type="dxa"/>
            <w:tcBorders>
              <w:top w:val="single" w:sz="4" w:space="0" w:color="auto"/>
              <w:left w:val="nil"/>
              <w:bottom w:val="single" w:sz="4" w:space="0" w:color="auto"/>
              <w:right w:val="nil"/>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Coefficient (β)</w:t>
            </w:r>
          </w:p>
        </w:tc>
        <w:tc>
          <w:tcPr>
            <w:tcW w:w="1518" w:type="dxa"/>
            <w:tcBorders>
              <w:top w:val="single" w:sz="4" w:space="0" w:color="auto"/>
              <w:left w:val="nil"/>
              <w:bottom w:val="single" w:sz="4" w:space="0" w:color="auto"/>
              <w:right w:val="nil"/>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95% CI</w:t>
            </w:r>
          </w:p>
        </w:tc>
        <w:tc>
          <w:tcPr>
            <w:tcW w:w="1134" w:type="dxa"/>
            <w:tcBorders>
              <w:top w:val="single" w:sz="4" w:space="0" w:color="auto"/>
              <w:left w:val="nil"/>
              <w:bottom w:val="single" w:sz="4" w:space="0" w:color="auto"/>
              <w:right w:val="nil"/>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p-value</w:t>
            </w:r>
          </w:p>
        </w:tc>
        <w:tc>
          <w:tcPr>
            <w:tcW w:w="2636" w:type="dxa"/>
            <w:tcBorders>
              <w:top w:val="single" w:sz="4" w:space="0" w:color="auto"/>
              <w:left w:val="nil"/>
              <w:bottom w:val="single" w:sz="4" w:space="0" w:color="auto"/>
            </w:tcBorders>
          </w:tcPr>
          <w:p w:rsidR="00F50870" w:rsidRPr="001F391A" w:rsidRDefault="00F50870" w:rsidP="00862F9B">
            <w:pPr>
              <w:jc w:val="center"/>
              <w:rPr>
                <w:rFonts w:ascii="Times New Roman" w:hAnsi="Times New Roman" w:cs="Times New Roman"/>
                <w:b/>
                <w:bCs/>
                <w:sz w:val="20"/>
                <w:szCs w:val="20"/>
              </w:rPr>
            </w:pPr>
            <w:r w:rsidRPr="001F391A">
              <w:rPr>
                <w:rFonts w:ascii="Times New Roman" w:hAnsi="Times New Roman" w:cs="Times New Roman"/>
                <w:b/>
                <w:bCs/>
                <w:sz w:val="20"/>
                <w:szCs w:val="20"/>
              </w:rPr>
              <w:t>Interpretation</w:t>
            </w:r>
          </w:p>
        </w:tc>
      </w:tr>
      <w:tr w:rsidR="00F50870" w:rsidRPr="00210B3E" w:rsidTr="00862F9B">
        <w:tc>
          <w:tcPr>
            <w:tcW w:w="1555" w:type="dxa"/>
            <w:tcBorders>
              <w:top w:val="single" w:sz="4" w:space="0" w:color="auto"/>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Intercept</w:t>
            </w:r>
          </w:p>
        </w:tc>
        <w:tc>
          <w:tcPr>
            <w:tcW w:w="1463" w:type="dxa"/>
            <w:tcBorders>
              <w:top w:val="single" w:sz="4" w:space="0" w:color="auto"/>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890.2</w:t>
            </w:r>
          </w:p>
        </w:tc>
        <w:tc>
          <w:tcPr>
            <w:tcW w:w="1518" w:type="dxa"/>
            <w:tcBorders>
              <w:top w:val="single" w:sz="4" w:space="0" w:color="auto"/>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720.4 to 1060.0</w:t>
            </w:r>
          </w:p>
        </w:tc>
        <w:tc>
          <w:tcPr>
            <w:tcW w:w="1134" w:type="dxa"/>
            <w:tcBorders>
              <w:top w:val="single" w:sz="4" w:space="0" w:color="auto"/>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&lt;0.001</w:t>
            </w:r>
            <w:r>
              <w:rPr>
                <w:rFonts w:ascii="Times New Roman" w:hAnsi="Times New Roman" w:cs="Times New Roman"/>
                <w:sz w:val="20"/>
                <w:szCs w:val="20"/>
              </w:rPr>
              <w:t>*</w:t>
            </w:r>
          </w:p>
        </w:tc>
        <w:tc>
          <w:tcPr>
            <w:tcW w:w="2636" w:type="dxa"/>
            <w:tcBorders>
              <w:top w:val="single" w:sz="4" w:space="0" w:color="auto"/>
              <w:left w:val="nil"/>
              <w:bottom w:val="nil"/>
            </w:tcBorders>
          </w:tcPr>
          <w:p w:rsidR="00F50870" w:rsidRPr="00210B3E" w:rsidRDefault="00F50870" w:rsidP="00862F9B">
            <w:pPr>
              <w:rPr>
                <w:rFonts w:ascii="Times New Roman" w:hAnsi="Times New Roman" w:cs="Times New Roman"/>
                <w:sz w:val="20"/>
                <w:szCs w:val="20"/>
              </w:rPr>
            </w:pPr>
            <w:r w:rsidRPr="00A650B4">
              <w:rPr>
                <w:rFonts w:ascii="Times New Roman" w:hAnsi="Times New Roman" w:cs="Times New Roman"/>
                <w:sz w:val="20"/>
                <w:szCs w:val="20"/>
              </w:rPr>
              <w:t>Baseline EBL when all predictors = 0</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EM referencing</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−132.6</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−225.4 to −39.8</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0.00</w:t>
            </w:r>
            <w:r>
              <w:rPr>
                <w:rFonts w:ascii="Times New Roman" w:hAnsi="Times New Roman" w:cs="Times New Roman"/>
                <w:sz w:val="20"/>
                <w:szCs w:val="20"/>
              </w:rPr>
              <w:t>6*</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A650B4">
              <w:rPr>
                <w:rFonts w:ascii="Times New Roman" w:hAnsi="Times New Roman" w:cs="Times New Roman"/>
                <w:sz w:val="20"/>
                <w:szCs w:val="20"/>
              </w:rPr>
              <w:t>EM associated with 132.6 mL less blood loss</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Age (years)</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1.8</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−1.2 to 4.8</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w:t>
            </w:r>
            <w:r>
              <w:rPr>
                <w:rFonts w:ascii="Times New Roman" w:hAnsi="Times New Roman" w:cs="Times New Roman"/>
                <w:sz w:val="20"/>
                <w:szCs w:val="20"/>
              </w:rPr>
              <w:t>23</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No significant age effect</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Pr>
                <w:rFonts w:ascii="Times New Roman" w:hAnsi="Times New Roman" w:cs="Times New Roman"/>
                <w:sz w:val="20"/>
                <w:szCs w:val="20"/>
              </w:rPr>
              <w:t xml:space="preserve">Sex </w:t>
            </w:r>
            <w:r w:rsidRPr="00210B3E">
              <w:rPr>
                <w:rFonts w:ascii="Times New Roman" w:hAnsi="Times New Roman" w:cs="Times New Roman"/>
                <w:sz w:val="20"/>
                <w:szCs w:val="20"/>
              </w:rPr>
              <w:t>(F vs M)</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Pr>
                <w:rFonts w:ascii="Times New Roman" w:hAnsi="Times New Roman" w:cs="Times New Roman"/>
                <w:sz w:val="20"/>
                <w:szCs w:val="20"/>
              </w:rPr>
              <w:t>18.4</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−52.6 to 89.4</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w:t>
            </w:r>
            <w:r>
              <w:rPr>
                <w:rFonts w:ascii="Times New Roman" w:hAnsi="Times New Roman" w:cs="Times New Roman"/>
                <w:sz w:val="20"/>
                <w:szCs w:val="20"/>
              </w:rPr>
              <w:t>61</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No significant gender effect</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BMI (kg/m²)</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−2</w:t>
            </w:r>
            <w:r>
              <w:rPr>
                <w:rFonts w:ascii="Times New Roman" w:hAnsi="Times New Roman" w:cs="Times New Roman"/>
                <w:sz w:val="20"/>
                <w:szCs w:val="20"/>
              </w:rPr>
              <w:t>.1</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−8.4 to 4.2</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w:t>
            </w:r>
            <w:r>
              <w:rPr>
                <w:rFonts w:ascii="Times New Roman" w:hAnsi="Times New Roman" w:cs="Times New Roman"/>
                <w:sz w:val="20"/>
                <w:szCs w:val="20"/>
              </w:rPr>
              <w:t>51</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No significant BMI effect</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Admission Hb (g/dL)</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−12.3</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−28.6 to 4.0</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0.1</w:t>
            </w:r>
            <w:r>
              <w:rPr>
                <w:rFonts w:ascii="Times New Roman" w:hAnsi="Times New Roman" w:cs="Times New Roman"/>
                <w:sz w:val="20"/>
                <w:szCs w:val="20"/>
              </w:rPr>
              <w:t>4</w:t>
            </w:r>
          </w:p>
        </w:tc>
        <w:tc>
          <w:tcPr>
            <w:tcW w:w="2636" w:type="dxa"/>
            <w:tcBorders>
              <w:top w:val="nil"/>
              <w:left w:val="nil"/>
              <w:bottom w:val="nil"/>
            </w:tcBorders>
          </w:tcPr>
          <w:p w:rsidR="00F50870" w:rsidRPr="00210B3E" w:rsidRDefault="00F50870" w:rsidP="00862F9B">
            <w:pPr>
              <w:rPr>
                <w:rFonts w:ascii="Times New Roman" w:hAnsi="Times New Roman" w:cs="Times New Roman"/>
                <w:sz w:val="20"/>
                <w:szCs w:val="20"/>
              </w:rPr>
            </w:pPr>
            <w:r w:rsidRPr="00A650B4">
              <w:rPr>
                <w:rFonts w:ascii="Times New Roman" w:hAnsi="Times New Roman" w:cs="Times New Roman"/>
                <w:sz w:val="20"/>
                <w:szCs w:val="20"/>
              </w:rPr>
              <w:t>Trend toward lower EBL with higher baseline Hb</w:t>
            </w:r>
          </w:p>
        </w:tc>
      </w:tr>
      <w:tr w:rsidR="00F50870" w:rsidRPr="00210B3E" w:rsidTr="00862F9B">
        <w:tc>
          <w:tcPr>
            <w:tcW w:w="1555" w:type="dxa"/>
            <w:tcBorders>
              <w:top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Log</w:t>
            </w:r>
            <w:r>
              <w:rPr>
                <w:rFonts w:ascii="Times New Roman" w:hAnsi="Times New Roman" w:cs="Times New Roman"/>
                <w:sz w:val="20"/>
                <w:szCs w:val="20"/>
              </w:rPr>
              <w:t xml:space="preserve"> </w:t>
            </w:r>
            <w:r w:rsidRPr="00210B3E">
              <w:rPr>
                <w:rFonts w:ascii="Times New Roman" w:hAnsi="Times New Roman" w:cs="Times New Roman"/>
                <w:sz w:val="20"/>
                <w:szCs w:val="20"/>
              </w:rPr>
              <w:t>(D-dimer)</w:t>
            </w:r>
          </w:p>
        </w:tc>
        <w:tc>
          <w:tcPr>
            <w:tcW w:w="1463"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Pr>
                <w:rFonts w:ascii="Times New Roman" w:hAnsi="Times New Roman" w:cs="Times New Roman"/>
                <w:sz w:val="20"/>
                <w:szCs w:val="20"/>
              </w:rPr>
              <w:t>45.7</w:t>
            </w:r>
          </w:p>
        </w:tc>
        <w:tc>
          <w:tcPr>
            <w:tcW w:w="1518"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5.2 to 86.2</w:t>
            </w:r>
          </w:p>
        </w:tc>
        <w:tc>
          <w:tcPr>
            <w:tcW w:w="1134" w:type="dxa"/>
            <w:tcBorders>
              <w:top w:val="nil"/>
              <w:left w:val="nil"/>
              <w:bottom w:val="nil"/>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0.0</w:t>
            </w:r>
            <w:r>
              <w:rPr>
                <w:rFonts w:ascii="Times New Roman" w:hAnsi="Times New Roman" w:cs="Times New Roman"/>
                <w:sz w:val="20"/>
                <w:szCs w:val="20"/>
              </w:rPr>
              <w:t>28*</w:t>
            </w:r>
          </w:p>
        </w:tc>
        <w:tc>
          <w:tcPr>
            <w:tcW w:w="2636" w:type="dxa"/>
            <w:tcBorders>
              <w:top w:val="nil"/>
              <w:left w:val="nil"/>
              <w:bottom w:val="nil"/>
            </w:tcBorders>
          </w:tcPr>
          <w:p w:rsidR="00F50870" w:rsidRPr="001F391A" w:rsidRDefault="00F50870" w:rsidP="00862F9B">
            <w:pPr>
              <w:rPr>
                <w:rFonts w:ascii="Times New Roman" w:hAnsi="Times New Roman" w:cs="Times New Roman"/>
                <w:sz w:val="20"/>
                <w:szCs w:val="20"/>
                <w:vertAlign w:val="subscript"/>
              </w:rPr>
            </w:pPr>
            <w:r w:rsidRPr="00A650B4">
              <w:rPr>
                <w:rFonts w:ascii="Times New Roman" w:hAnsi="Times New Roman" w:cs="Times New Roman"/>
                <w:sz w:val="20"/>
                <w:szCs w:val="20"/>
              </w:rPr>
              <w:t>Higher D-dimer associated with greater EBL</w:t>
            </w:r>
          </w:p>
        </w:tc>
      </w:tr>
      <w:tr w:rsidR="00F50870" w:rsidRPr="00210B3E" w:rsidTr="00862F9B">
        <w:tc>
          <w:tcPr>
            <w:tcW w:w="1555" w:type="dxa"/>
            <w:tcBorders>
              <w:top w:val="nil"/>
              <w:bottom w:val="single" w:sz="4" w:space="0" w:color="auto"/>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Ischemic time (min)</w:t>
            </w:r>
          </w:p>
        </w:tc>
        <w:tc>
          <w:tcPr>
            <w:tcW w:w="1463" w:type="dxa"/>
            <w:tcBorders>
              <w:top w:val="nil"/>
              <w:left w:val="nil"/>
              <w:bottom w:val="single" w:sz="4" w:space="0" w:color="auto"/>
              <w:right w:val="nil"/>
            </w:tcBorders>
          </w:tcPr>
          <w:p w:rsidR="00F50870" w:rsidRPr="00210B3E" w:rsidRDefault="00F50870" w:rsidP="00862F9B">
            <w:pPr>
              <w:jc w:val="center"/>
              <w:rPr>
                <w:rFonts w:ascii="Times New Roman" w:hAnsi="Times New Roman" w:cs="Times New Roman"/>
                <w:sz w:val="20"/>
                <w:szCs w:val="20"/>
              </w:rPr>
            </w:pPr>
            <w:r>
              <w:rPr>
                <w:rFonts w:ascii="Times New Roman" w:hAnsi="Times New Roman" w:cs="Times New Roman"/>
                <w:sz w:val="20"/>
                <w:szCs w:val="20"/>
              </w:rPr>
              <w:t>2.6</w:t>
            </w:r>
          </w:p>
        </w:tc>
        <w:tc>
          <w:tcPr>
            <w:tcW w:w="1518" w:type="dxa"/>
            <w:tcBorders>
              <w:top w:val="nil"/>
              <w:left w:val="nil"/>
              <w:bottom w:val="single" w:sz="4" w:space="0" w:color="auto"/>
              <w:right w:val="nil"/>
            </w:tcBorders>
          </w:tcPr>
          <w:p w:rsidR="00F50870" w:rsidRPr="00210B3E" w:rsidRDefault="00F50870" w:rsidP="00862F9B">
            <w:pPr>
              <w:jc w:val="center"/>
              <w:rPr>
                <w:rFonts w:ascii="Times New Roman" w:hAnsi="Times New Roman" w:cs="Times New Roman"/>
                <w:sz w:val="20"/>
                <w:szCs w:val="20"/>
              </w:rPr>
            </w:pPr>
            <w:r w:rsidRPr="00A650B4">
              <w:rPr>
                <w:rFonts w:ascii="Times New Roman" w:hAnsi="Times New Roman" w:cs="Times New Roman"/>
                <w:sz w:val="20"/>
                <w:szCs w:val="20"/>
              </w:rPr>
              <w:t>−0.8 to 6.0</w:t>
            </w:r>
          </w:p>
        </w:tc>
        <w:tc>
          <w:tcPr>
            <w:tcW w:w="1134" w:type="dxa"/>
            <w:tcBorders>
              <w:top w:val="nil"/>
              <w:left w:val="nil"/>
              <w:bottom w:val="single" w:sz="4" w:space="0" w:color="auto"/>
              <w:right w:val="nil"/>
            </w:tcBorders>
          </w:tcPr>
          <w:p w:rsidR="00F50870" w:rsidRPr="00210B3E" w:rsidRDefault="00F50870" w:rsidP="00862F9B">
            <w:pPr>
              <w:jc w:val="center"/>
              <w:rPr>
                <w:rFonts w:ascii="Times New Roman" w:hAnsi="Times New Roman" w:cs="Times New Roman"/>
                <w:sz w:val="20"/>
                <w:szCs w:val="20"/>
              </w:rPr>
            </w:pPr>
            <w:r w:rsidRPr="00210B3E">
              <w:rPr>
                <w:rFonts w:ascii="Times New Roman" w:hAnsi="Times New Roman" w:cs="Times New Roman"/>
                <w:sz w:val="20"/>
                <w:szCs w:val="20"/>
              </w:rPr>
              <w:t>0.</w:t>
            </w:r>
            <w:r>
              <w:rPr>
                <w:rFonts w:ascii="Times New Roman" w:hAnsi="Times New Roman" w:cs="Times New Roman"/>
                <w:sz w:val="20"/>
                <w:szCs w:val="20"/>
              </w:rPr>
              <w:t>13</w:t>
            </w:r>
          </w:p>
        </w:tc>
        <w:tc>
          <w:tcPr>
            <w:tcW w:w="2636" w:type="dxa"/>
            <w:tcBorders>
              <w:top w:val="nil"/>
              <w:left w:val="nil"/>
              <w:bottom w:val="single" w:sz="4" w:space="0" w:color="auto"/>
            </w:tcBorders>
          </w:tcPr>
          <w:p w:rsidR="00F50870" w:rsidRPr="00210B3E" w:rsidRDefault="00F50870" w:rsidP="00862F9B">
            <w:pPr>
              <w:rPr>
                <w:rFonts w:ascii="Times New Roman" w:hAnsi="Times New Roman" w:cs="Times New Roman"/>
                <w:sz w:val="20"/>
                <w:szCs w:val="20"/>
              </w:rPr>
            </w:pPr>
            <w:r w:rsidRPr="00210B3E">
              <w:rPr>
                <w:rFonts w:ascii="Times New Roman" w:hAnsi="Times New Roman" w:cs="Times New Roman"/>
                <w:sz w:val="20"/>
                <w:szCs w:val="20"/>
              </w:rPr>
              <w:t>No significant effect</w:t>
            </w:r>
          </w:p>
        </w:tc>
      </w:tr>
    </w:tbl>
    <w:p w:rsidR="00F50870" w:rsidRPr="003D0996" w:rsidRDefault="00F50870" w:rsidP="00F50870">
      <w:pPr>
        <w:rPr>
          <w:rFonts w:ascii="Times New Roman" w:hAnsi="Times New Roman" w:cs="Times New Roman"/>
          <w:sz w:val="20"/>
          <w:szCs w:val="20"/>
        </w:rPr>
      </w:pPr>
      <w:r w:rsidRPr="003D0996">
        <w:rPr>
          <w:rFonts w:ascii="Times New Roman" w:hAnsi="Times New Roman" w:cs="Times New Roman"/>
          <w:sz w:val="20"/>
        </w:rPr>
        <w:lastRenderedPageBreak/>
        <w:t>Multivariable linear regression model adjusting for femoral referencing technique (extramedullary vs. intramedullary), age, sex, body mass index (BMI), admission hemoglobin level, log</w:t>
      </w:r>
      <w:r w:rsidRPr="003D0996">
        <w:rPr>
          <w:rFonts w:ascii="Times New Roman" w:hAnsi="Times New Roman" w:cs="Times New Roman"/>
          <w:sz w:val="20"/>
        </w:rPr>
        <w:noBreakHyphen/>
        <w:t>transformed D</w:t>
      </w:r>
      <w:r w:rsidRPr="003D0996">
        <w:rPr>
          <w:rFonts w:ascii="Times New Roman" w:hAnsi="Times New Roman" w:cs="Times New Roman"/>
          <w:sz w:val="20"/>
        </w:rPr>
        <w:noBreakHyphen/>
        <w:t>dimer level, and ischemic time. Regression coefficients (β) represent the estimated change in estimated blood loss (mL) per unit increase in each predictor, holding all other variables constant. Statistical significance was defined as p &lt; 0.05 and is indicated by an asterisk. Model performance is summarized by R² and adjusted R² values (R² = 0.18; adjusted R² = 0.12; overall model F</w:t>
      </w:r>
      <w:r w:rsidRPr="003D0996">
        <w:rPr>
          <w:rFonts w:ascii="Times New Roman" w:hAnsi="Times New Roman" w:cs="Times New Roman"/>
          <w:sz w:val="20"/>
        </w:rPr>
        <w:noBreakHyphen/>
        <w:t>test p = 0.007).</w:t>
      </w:r>
    </w:p>
    <w:p w:rsidR="00F50870" w:rsidRPr="00F50870" w:rsidRDefault="00F50870"/>
    <w:sectPr w:rsidR="00F50870" w:rsidRPr="00F5087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70"/>
    <w:rsid w:val="00F508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2929"/>
  <w15:chartTrackingRefBased/>
  <w15:docId w15:val="{E1C6630A-6260-4326-B0CF-49BE8185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08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2026-01-08T01:20:00Z</dcterms:created>
  <dcterms:modified xsi:type="dcterms:W3CDTF">2026-01-08T01:22:00Z</dcterms:modified>
</cp:coreProperties>
</file>