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2"/>
          <w:lang w:val="es-ES"/>
        </w:rPr>
        <w:id w:val="316851644"/>
        <w:docPartObj>
          <w:docPartGallery w:val="Table of Contents"/>
          <w:docPartUnique/>
        </w:docPartObj>
      </w:sdtPr>
      <w:sdtEndPr/>
      <w:sdtContent>
        <w:p w14:paraId="6BB5C70B" w14:textId="018E0C21" w:rsidR="006911F7" w:rsidRPr="006911F7" w:rsidRDefault="006911F7" w:rsidP="00BE1771">
          <w:pPr>
            <w:pStyle w:val="TtuloTDC"/>
            <w:rPr>
              <w:rFonts w:ascii="Times New Roman" w:hAnsi="Times New Roman" w:cs="Times New Roman"/>
              <w:color w:val="auto"/>
            </w:rPr>
          </w:pPr>
        </w:p>
        <w:p w14:paraId="011C2FD2" w14:textId="149C2917" w:rsidR="006911F7" w:rsidRPr="006911F7" w:rsidRDefault="006911F7">
          <w:pPr>
            <w:pStyle w:val="TDC1"/>
            <w:tabs>
              <w:tab w:val="right" w:leader="dot" w:pos="10070"/>
            </w:tabs>
            <w:rPr>
              <w:rFonts w:eastAsiaTheme="minorEastAsia" w:cs="Times New Roman"/>
              <w:noProof/>
              <w:sz w:val="22"/>
              <w:lang w:val="es-CO" w:eastAsia="es-CO"/>
            </w:rPr>
          </w:pPr>
          <w:r w:rsidRPr="006911F7">
            <w:rPr>
              <w:rFonts w:cs="Times New Roman"/>
            </w:rPr>
            <w:fldChar w:fldCharType="begin"/>
          </w:r>
          <w:r w:rsidRPr="006911F7">
            <w:rPr>
              <w:rFonts w:cs="Times New Roman"/>
            </w:rPr>
            <w:instrText xml:space="preserve"> TOC \o "1-3" \h \z \u </w:instrText>
          </w:r>
          <w:r w:rsidRPr="006911F7">
            <w:rPr>
              <w:rFonts w:cs="Times New Roman"/>
            </w:rPr>
            <w:fldChar w:fldCharType="separate"/>
          </w:r>
          <w:hyperlink w:anchor="_Toc212625494" w:history="1">
            <w:r w:rsidRPr="006911F7">
              <w:rPr>
                <w:rStyle w:val="Hipervnculo"/>
                <w:rFonts w:eastAsiaTheme="majorEastAsia" w:cs="Times New Roman"/>
                <w:noProof/>
                <w:color w:val="auto"/>
              </w:rPr>
              <w:t>Supplementary Table S1. Item-to-Dimension Mapping and Normalization (TEASUR).</w:t>
            </w:r>
            <w:r w:rsidRPr="006911F7">
              <w:rPr>
                <w:rFonts w:cs="Times New Roman"/>
                <w:noProof/>
                <w:webHidden/>
              </w:rPr>
              <w:tab/>
            </w:r>
            <w:r w:rsidRPr="006911F7">
              <w:rPr>
                <w:rFonts w:cs="Times New Roman"/>
                <w:noProof/>
                <w:webHidden/>
              </w:rPr>
              <w:fldChar w:fldCharType="begin"/>
            </w:r>
            <w:r w:rsidRPr="006911F7">
              <w:rPr>
                <w:rFonts w:cs="Times New Roman"/>
                <w:noProof/>
                <w:webHidden/>
              </w:rPr>
              <w:instrText xml:space="preserve"> PAGEREF _Toc212625494 \h </w:instrText>
            </w:r>
            <w:r w:rsidRPr="006911F7">
              <w:rPr>
                <w:rFonts w:cs="Times New Roman"/>
                <w:noProof/>
                <w:webHidden/>
              </w:rPr>
            </w:r>
            <w:r w:rsidRPr="006911F7">
              <w:rPr>
                <w:rFonts w:cs="Times New Roman"/>
                <w:noProof/>
                <w:webHidden/>
              </w:rPr>
              <w:fldChar w:fldCharType="separate"/>
            </w:r>
            <w:r w:rsidR="00BE1771">
              <w:rPr>
                <w:rFonts w:cs="Times New Roman"/>
                <w:noProof/>
                <w:webHidden/>
              </w:rPr>
              <w:t>1</w:t>
            </w:r>
            <w:r w:rsidRPr="006911F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1632C69" w14:textId="4592B087" w:rsidR="006911F7" w:rsidRPr="006911F7" w:rsidRDefault="006D0F7D">
          <w:pPr>
            <w:pStyle w:val="TDC1"/>
            <w:tabs>
              <w:tab w:val="right" w:leader="dot" w:pos="10070"/>
            </w:tabs>
            <w:rPr>
              <w:rFonts w:eastAsiaTheme="minorEastAsia" w:cs="Times New Roman"/>
              <w:noProof/>
              <w:sz w:val="22"/>
              <w:lang w:val="es-CO" w:eastAsia="es-CO"/>
            </w:rPr>
          </w:pPr>
          <w:hyperlink w:anchor="_Toc212625495" w:history="1">
            <w:r w:rsidR="006911F7" w:rsidRPr="006911F7">
              <w:rPr>
                <w:rStyle w:val="Hipervnculo"/>
                <w:rFonts w:eastAsiaTheme="majorEastAsia" w:cs="Times New Roman"/>
                <w:noProof/>
                <w:color w:val="auto"/>
              </w:rPr>
              <w:t>Supplementary Table S2. Dimension-Level Weights and Example Aggregation.</w:t>
            </w:r>
            <w:r w:rsidR="006911F7" w:rsidRPr="006911F7">
              <w:rPr>
                <w:rFonts w:cs="Times New Roman"/>
                <w:noProof/>
                <w:webHidden/>
              </w:rPr>
              <w:tab/>
            </w:r>
            <w:r w:rsidR="006911F7" w:rsidRPr="006911F7">
              <w:rPr>
                <w:rFonts w:cs="Times New Roman"/>
                <w:noProof/>
                <w:webHidden/>
              </w:rPr>
              <w:fldChar w:fldCharType="begin"/>
            </w:r>
            <w:r w:rsidR="006911F7" w:rsidRPr="006911F7">
              <w:rPr>
                <w:rFonts w:cs="Times New Roman"/>
                <w:noProof/>
                <w:webHidden/>
              </w:rPr>
              <w:instrText xml:space="preserve"> PAGEREF _Toc212625495 \h </w:instrText>
            </w:r>
            <w:r w:rsidR="006911F7" w:rsidRPr="006911F7">
              <w:rPr>
                <w:rFonts w:cs="Times New Roman"/>
                <w:noProof/>
                <w:webHidden/>
              </w:rPr>
            </w:r>
            <w:r w:rsidR="006911F7" w:rsidRPr="006911F7">
              <w:rPr>
                <w:rFonts w:cs="Times New Roman"/>
                <w:noProof/>
                <w:webHidden/>
              </w:rPr>
              <w:fldChar w:fldCharType="separate"/>
            </w:r>
            <w:r w:rsidR="00BE1771">
              <w:rPr>
                <w:rFonts w:cs="Times New Roman"/>
                <w:noProof/>
                <w:webHidden/>
              </w:rPr>
              <w:t>2</w:t>
            </w:r>
            <w:r w:rsidR="006911F7" w:rsidRPr="006911F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44AB7690" w14:textId="1952FA47" w:rsidR="006911F7" w:rsidRPr="006911F7" w:rsidRDefault="006D0F7D">
          <w:pPr>
            <w:pStyle w:val="TDC1"/>
            <w:tabs>
              <w:tab w:val="right" w:leader="dot" w:pos="10070"/>
            </w:tabs>
            <w:rPr>
              <w:rFonts w:eastAsiaTheme="minorEastAsia" w:cs="Times New Roman"/>
              <w:noProof/>
              <w:sz w:val="22"/>
              <w:lang w:val="es-CO" w:eastAsia="es-CO"/>
            </w:rPr>
          </w:pPr>
          <w:hyperlink w:anchor="_Toc212625496" w:history="1">
            <w:r w:rsidR="006911F7" w:rsidRPr="006911F7">
              <w:rPr>
                <w:rStyle w:val="Hipervnculo"/>
                <w:rFonts w:eastAsiaTheme="majorEastAsia" w:cs="Times New Roman"/>
                <w:noProof/>
                <w:color w:val="auto"/>
              </w:rPr>
              <w:t>Supplementary Table S3. Cultural/Semantic Adaptations for Latin-American Settings (Glossary).</w:t>
            </w:r>
            <w:r w:rsidR="006911F7" w:rsidRPr="006911F7">
              <w:rPr>
                <w:rFonts w:cs="Times New Roman"/>
                <w:noProof/>
                <w:webHidden/>
              </w:rPr>
              <w:tab/>
            </w:r>
            <w:r w:rsidR="006911F7" w:rsidRPr="006911F7">
              <w:rPr>
                <w:rFonts w:cs="Times New Roman"/>
                <w:noProof/>
                <w:webHidden/>
              </w:rPr>
              <w:fldChar w:fldCharType="begin"/>
            </w:r>
            <w:r w:rsidR="006911F7" w:rsidRPr="006911F7">
              <w:rPr>
                <w:rFonts w:cs="Times New Roman"/>
                <w:noProof/>
                <w:webHidden/>
              </w:rPr>
              <w:instrText xml:space="preserve"> PAGEREF _Toc212625496 \h </w:instrText>
            </w:r>
            <w:r w:rsidR="006911F7" w:rsidRPr="006911F7">
              <w:rPr>
                <w:rFonts w:cs="Times New Roman"/>
                <w:noProof/>
                <w:webHidden/>
              </w:rPr>
            </w:r>
            <w:r w:rsidR="006911F7" w:rsidRPr="006911F7">
              <w:rPr>
                <w:rFonts w:cs="Times New Roman"/>
                <w:noProof/>
                <w:webHidden/>
              </w:rPr>
              <w:fldChar w:fldCharType="separate"/>
            </w:r>
            <w:r w:rsidR="00BE1771">
              <w:rPr>
                <w:rFonts w:cs="Times New Roman"/>
                <w:noProof/>
                <w:webHidden/>
              </w:rPr>
              <w:t>2</w:t>
            </w:r>
            <w:r w:rsidR="006911F7" w:rsidRPr="006911F7">
              <w:rPr>
                <w:rFonts w:cs="Times New Roman"/>
                <w:noProof/>
                <w:webHidden/>
              </w:rPr>
              <w:fldChar w:fldCharType="end"/>
            </w:r>
          </w:hyperlink>
        </w:p>
        <w:p w14:paraId="37A1E8BB" w14:textId="00F03D0F" w:rsidR="006911F7" w:rsidRPr="006911F7" w:rsidRDefault="006911F7">
          <w:pPr>
            <w:rPr>
              <w:rFonts w:cs="Times New Roman"/>
            </w:rPr>
          </w:pPr>
          <w:r w:rsidRPr="006911F7">
            <w:rPr>
              <w:rFonts w:cs="Times New Roman"/>
              <w:b/>
              <w:bCs/>
              <w:lang w:val="es-ES"/>
            </w:rPr>
            <w:fldChar w:fldCharType="end"/>
          </w:r>
        </w:p>
      </w:sdtContent>
    </w:sdt>
    <w:p w14:paraId="55796CBA" w14:textId="41905C0B" w:rsidR="00065487" w:rsidRPr="006911F7" w:rsidRDefault="004B1ADF">
      <w:pPr>
        <w:pStyle w:val="Ttulo1"/>
        <w:rPr>
          <w:rFonts w:ascii="Times New Roman" w:hAnsi="Times New Roman" w:cs="Times New Roman"/>
          <w:color w:val="auto"/>
        </w:rPr>
      </w:pPr>
      <w:bookmarkStart w:id="0" w:name="_Toc212625494"/>
      <w:r w:rsidRPr="006911F7">
        <w:rPr>
          <w:rFonts w:ascii="Times New Roman" w:hAnsi="Times New Roman" w:cs="Times New Roman"/>
          <w:color w:val="auto"/>
        </w:rPr>
        <w:t>Supplementary Table S1. Item-to-Dimension Mapping and Normalization (TEASUR).</w:t>
      </w:r>
      <w:bookmarkEnd w:id="0"/>
    </w:p>
    <w:p w14:paraId="2E4CF470" w14:textId="26F69DD3" w:rsidR="00065487" w:rsidRPr="006911F7" w:rsidRDefault="004B1ADF">
      <w:pPr>
        <w:jc w:val="both"/>
        <w:rPr>
          <w:rFonts w:cs="Times New Roman"/>
        </w:rPr>
      </w:pPr>
      <w:r w:rsidRPr="006911F7">
        <w:rPr>
          <w:rFonts w:cs="Times New Roman"/>
        </w:rPr>
        <w:t>Note. Do not reproduce proprietary item text. Use instrument item codes/labels. Normalization to [0–10]: D_i^(norm) = 10 * (x_i − min) / (max − min). Weights (w_i) are initial priors before bounded updates (±50%).</w:t>
      </w:r>
    </w:p>
    <w:tbl>
      <w:tblPr>
        <w:tblStyle w:val="Tablaconcuadrcula"/>
        <w:tblW w:w="10036" w:type="dxa"/>
        <w:jc w:val="center"/>
        <w:tblLook w:val="04A0" w:firstRow="1" w:lastRow="0" w:firstColumn="1" w:lastColumn="0" w:noHBand="0" w:noVBand="1"/>
      </w:tblPr>
      <w:tblGrid>
        <w:gridCol w:w="1191"/>
        <w:gridCol w:w="1539"/>
        <w:gridCol w:w="1451"/>
        <w:gridCol w:w="1514"/>
        <w:gridCol w:w="1723"/>
        <w:gridCol w:w="984"/>
        <w:gridCol w:w="1634"/>
      </w:tblGrid>
      <w:tr w:rsidR="006911F7" w:rsidRPr="00053A4A" w14:paraId="474B0816" w14:textId="77777777" w:rsidTr="00A706F3">
        <w:trPr>
          <w:jc w:val="center"/>
        </w:trPr>
        <w:tc>
          <w:tcPr>
            <w:tcW w:w="1191" w:type="dxa"/>
            <w:shd w:val="clear" w:color="auto" w:fill="D9D9D9" w:themeFill="background1" w:themeFillShade="D9"/>
            <w:vAlign w:val="center"/>
          </w:tcPr>
          <w:p w14:paraId="594A307F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Instrument</w:t>
            </w:r>
          </w:p>
        </w:tc>
        <w:tc>
          <w:tcPr>
            <w:tcW w:w="1539" w:type="dxa"/>
            <w:shd w:val="clear" w:color="auto" w:fill="D9D9D9" w:themeFill="background1" w:themeFillShade="D9"/>
            <w:vAlign w:val="center"/>
          </w:tcPr>
          <w:p w14:paraId="0E3360BD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Item (code)</w:t>
            </w:r>
          </w:p>
        </w:tc>
        <w:tc>
          <w:tcPr>
            <w:tcW w:w="1451" w:type="dxa"/>
            <w:shd w:val="clear" w:color="auto" w:fill="D9D9D9" w:themeFill="background1" w:themeFillShade="D9"/>
            <w:vAlign w:val="center"/>
          </w:tcPr>
          <w:p w14:paraId="6412FC0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TEASUR Dimension</w:t>
            </w:r>
          </w:p>
        </w:tc>
        <w:tc>
          <w:tcPr>
            <w:tcW w:w="1514" w:type="dxa"/>
            <w:shd w:val="clear" w:color="auto" w:fill="D9D9D9" w:themeFill="background1" w:themeFillShade="D9"/>
            <w:vAlign w:val="center"/>
          </w:tcPr>
          <w:p w14:paraId="475AF8A0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Original Range</w:t>
            </w:r>
          </w:p>
        </w:tc>
        <w:tc>
          <w:tcPr>
            <w:tcW w:w="1723" w:type="dxa"/>
            <w:shd w:val="clear" w:color="auto" w:fill="D9D9D9" w:themeFill="background1" w:themeFillShade="D9"/>
            <w:vAlign w:val="center"/>
          </w:tcPr>
          <w:p w14:paraId="0800DD6F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Normalization to [0–10]</w:t>
            </w:r>
          </w:p>
        </w:tc>
        <w:tc>
          <w:tcPr>
            <w:tcW w:w="984" w:type="dxa"/>
            <w:shd w:val="clear" w:color="auto" w:fill="D9D9D9" w:themeFill="background1" w:themeFillShade="D9"/>
            <w:vAlign w:val="center"/>
          </w:tcPr>
          <w:p w14:paraId="243B8D7E" w14:textId="0CD1CB23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Initial Weight (</w:t>
            </w:r>
            <w:proofErr w:type="spellStart"/>
            <w:r w:rsidRPr="00053A4A">
              <w:rPr>
                <w:rFonts w:cs="Times New Roman"/>
                <w:sz w:val="18"/>
                <w:szCs w:val="16"/>
              </w:rPr>
              <w:t>w</w:t>
            </w:r>
            <w:r w:rsidRPr="00053A4A">
              <w:rPr>
                <w:rFonts w:cs="Times New Roman"/>
                <w:i/>
                <w:iCs/>
                <w:sz w:val="18"/>
                <w:szCs w:val="16"/>
              </w:rPr>
              <w:t>i</w:t>
            </w:r>
            <w:proofErr w:type="spellEnd"/>
            <w:r w:rsidRPr="00053A4A">
              <w:rPr>
                <w:rFonts w:cs="Times New Roman"/>
                <w:sz w:val="18"/>
                <w:szCs w:val="16"/>
              </w:rPr>
              <w:t>)</w:t>
            </w:r>
          </w:p>
        </w:tc>
        <w:tc>
          <w:tcPr>
            <w:tcW w:w="1634" w:type="dxa"/>
            <w:shd w:val="clear" w:color="auto" w:fill="D9D9D9" w:themeFill="background1" w:themeFillShade="D9"/>
            <w:vAlign w:val="center"/>
          </w:tcPr>
          <w:p w14:paraId="1BAFEE05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Notes</w:t>
            </w:r>
          </w:p>
        </w:tc>
      </w:tr>
      <w:tr w:rsidR="006911F7" w:rsidRPr="00053A4A" w14:paraId="347D1D64" w14:textId="77777777" w:rsidTr="00A706F3">
        <w:trPr>
          <w:jc w:val="center"/>
        </w:trPr>
        <w:tc>
          <w:tcPr>
            <w:tcW w:w="1191" w:type="dxa"/>
            <w:vAlign w:val="center"/>
          </w:tcPr>
          <w:p w14:paraId="24821EC4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FACIT-</w:t>
            </w:r>
            <w:proofErr w:type="spellStart"/>
            <w:r w:rsidRPr="00053A4A">
              <w:rPr>
                <w:rFonts w:cs="Times New Roman"/>
                <w:sz w:val="18"/>
                <w:szCs w:val="16"/>
              </w:rPr>
              <w:t>Sp</w:t>
            </w:r>
            <w:proofErr w:type="spellEnd"/>
          </w:p>
        </w:tc>
        <w:tc>
          <w:tcPr>
            <w:tcW w:w="1539" w:type="dxa"/>
            <w:vAlign w:val="center"/>
          </w:tcPr>
          <w:p w14:paraId="2EE318D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E1</w:t>
            </w:r>
          </w:p>
        </w:tc>
        <w:tc>
          <w:tcPr>
            <w:tcW w:w="1451" w:type="dxa"/>
            <w:vAlign w:val="center"/>
          </w:tcPr>
          <w:p w14:paraId="593C2567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Spiritual</w:t>
            </w:r>
          </w:p>
        </w:tc>
        <w:tc>
          <w:tcPr>
            <w:tcW w:w="1514" w:type="dxa"/>
            <w:vAlign w:val="center"/>
          </w:tcPr>
          <w:p w14:paraId="7373B695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0–4 (Likert)</w:t>
            </w:r>
          </w:p>
        </w:tc>
        <w:tc>
          <w:tcPr>
            <w:tcW w:w="1723" w:type="dxa"/>
            <w:vAlign w:val="center"/>
          </w:tcPr>
          <w:p w14:paraId="39306DFC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10 * (x − 0) / 4</w:t>
            </w:r>
          </w:p>
        </w:tc>
        <w:tc>
          <w:tcPr>
            <w:tcW w:w="984" w:type="dxa"/>
            <w:vAlign w:val="center"/>
          </w:tcPr>
          <w:p w14:paraId="11F8402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0.08</w:t>
            </w:r>
          </w:p>
        </w:tc>
        <w:tc>
          <w:tcPr>
            <w:tcW w:w="1634" w:type="dxa"/>
            <w:vAlign w:val="center"/>
          </w:tcPr>
          <w:p w14:paraId="7BC0F4D2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Meaning/peace construct; see S3 glossary</w:t>
            </w:r>
          </w:p>
        </w:tc>
      </w:tr>
      <w:tr w:rsidR="006911F7" w:rsidRPr="00053A4A" w14:paraId="19FC722B" w14:textId="77777777" w:rsidTr="00A706F3">
        <w:trPr>
          <w:jc w:val="center"/>
        </w:trPr>
        <w:tc>
          <w:tcPr>
            <w:tcW w:w="1191" w:type="dxa"/>
            <w:vAlign w:val="center"/>
          </w:tcPr>
          <w:p w14:paraId="3EDD5DF8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FACIT-</w:t>
            </w:r>
            <w:proofErr w:type="spellStart"/>
            <w:r w:rsidRPr="00053A4A">
              <w:rPr>
                <w:rFonts w:cs="Times New Roman"/>
                <w:sz w:val="18"/>
                <w:szCs w:val="16"/>
              </w:rPr>
              <w:t>Sp</w:t>
            </w:r>
            <w:proofErr w:type="spellEnd"/>
          </w:p>
        </w:tc>
        <w:tc>
          <w:tcPr>
            <w:tcW w:w="1539" w:type="dxa"/>
            <w:vAlign w:val="center"/>
          </w:tcPr>
          <w:p w14:paraId="4D6AC85D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E5</w:t>
            </w:r>
          </w:p>
        </w:tc>
        <w:tc>
          <w:tcPr>
            <w:tcW w:w="1451" w:type="dxa"/>
            <w:vAlign w:val="center"/>
          </w:tcPr>
          <w:p w14:paraId="1495666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Spiritual</w:t>
            </w:r>
          </w:p>
        </w:tc>
        <w:tc>
          <w:tcPr>
            <w:tcW w:w="1514" w:type="dxa"/>
            <w:vAlign w:val="center"/>
          </w:tcPr>
          <w:p w14:paraId="4285AC32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0–4 (Likert)</w:t>
            </w:r>
          </w:p>
        </w:tc>
        <w:tc>
          <w:tcPr>
            <w:tcW w:w="1723" w:type="dxa"/>
            <w:vAlign w:val="center"/>
          </w:tcPr>
          <w:p w14:paraId="1D2BD7E7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10 * (x − 0) / 4</w:t>
            </w:r>
          </w:p>
        </w:tc>
        <w:tc>
          <w:tcPr>
            <w:tcW w:w="984" w:type="dxa"/>
            <w:vAlign w:val="center"/>
          </w:tcPr>
          <w:p w14:paraId="36067550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0.08</w:t>
            </w:r>
          </w:p>
        </w:tc>
        <w:tc>
          <w:tcPr>
            <w:tcW w:w="1634" w:type="dxa"/>
            <w:vAlign w:val="center"/>
          </w:tcPr>
          <w:p w14:paraId="30CF40FA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Religious practice nuance; see S3</w:t>
            </w:r>
          </w:p>
        </w:tc>
      </w:tr>
      <w:tr w:rsidR="006911F7" w:rsidRPr="00053A4A" w14:paraId="65FFFEFE" w14:textId="77777777" w:rsidTr="00A706F3">
        <w:trPr>
          <w:jc w:val="center"/>
        </w:trPr>
        <w:tc>
          <w:tcPr>
            <w:tcW w:w="1191" w:type="dxa"/>
            <w:vAlign w:val="center"/>
          </w:tcPr>
          <w:p w14:paraId="04B489B5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ESAS-r</w:t>
            </w:r>
          </w:p>
        </w:tc>
        <w:tc>
          <w:tcPr>
            <w:tcW w:w="1539" w:type="dxa"/>
            <w:vAlign w:val="center"/>
          </w:tcPr>
          <w:p w14:paraId="1D138D1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Pain</w:t>
            </w:r>
          </w:p>
        </w:tc>
        <w:tc>
          <w:tcPr>
            <w:tcW w:w="1451" w:type="dxa"/>
            <w:vAlign w:val="center"/>
          </w:tcPr>
          <w:p w14:paraId="1217946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Physical</w:t>
            </w:r>
          </w:p>
        </w:tc>
        <w:tc>
          <w:tcPr>
            <w:tcW w:w="1514" w:type="dxa"/>
            <w:vAlign w:val="center"/>
          </w:tcPr>
          <w:p w14:paraId="2DA4007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0–10 (NRS)</w:t>
            </w:r>
          </w:p>
        </w:tc>
        <w:tc>
          <w:tcPr>
            <w:tcW w:w="1723" w:type="dxa"/>
            <w:vAlign w:val="center"/>
          </w:tcPr>
          <w:p w14:paraId="07B39E8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x (already 0–10)</w:t>
            </w:r>
          </w:p>
        </w:tc>
        <w:tc>
          <w:tcPr>
            <w:tcW w:w="984" w:type="dxa"/>
            <w:vAlign w:val="center"/>
          </w:tcPr>
          <w:p w14:paraId="10D5F9E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0.10</w:t>
            </w:r>
          </w:p>
        </w:tc>
        <w:tc>
          <w:tcPr>
            <w:tcW w:w="1634" w:type="dxa"/>
            <w:vAlign w:val="center"/>
          </w:tcPr>
          <w:p w14:paraId="7BE04690" w14:textId="77777777" w:rsidR="00065487" w:rsidRPr="00053A4A" w:rsidRDefault="00065487" w:rsidP="00A706F3">
            <w:pPr>
              <w:jc w:val="center"/>
              <w:rPr>
                <w:rFonts w:cs="Times New Roman"/>
                <w:sz w:val="18"/>
                <w:szCs w:val="16"/>
              </w:rPr>
            </w:pPr>
          </w:p>
        </w:tc>
      </w:tr>
      <w:tr w:rsidR="006911F7" w:rsidRPr="00053A4A" w14:paraId="790188F0" w14:textId="77777777" w:rsidTr="00A706F3">
        <w:trPr>
          <w:jc w:val="center"/>
        </w:trPr>
        <w:tc>
          <w:tcPr>
            <w:tcW w:w="1191" w:type="dxa"/>
            <w:vAlign w:val="center"/>
          </w:tcPr>
          <w:p w14:paraId="28E639B4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ESAS-r</w:t>
            </w:r>
          </w:p>
        </w:tc>
        <w:tc>
          <w:tcPr>
            <w:tcW w:w="1539" w:type="dxa"/>
            <w:vAlign w:val="center"/>
          </w:tcPr>
          <w:p w14:paraId="234089A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Anxiety</w:t>
            </w:r>
          </w:p>
        </w:tc>
        <w:tc>
          <w:tcPr>
            <w:tcW w:w="1451" w:type="dxa"/>
            <w:vAlign w:val="center"/>
          </w:tcPr>
          <w:p w14:paraId="7DEDAEA5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Psychological</w:t>
            </w:r>
          </w:p>
        </w:tc>
        <w:tc>
          <w:tcPr>
            <w:tcW w:w="1514" w:type="dxa"/>
            <w:vAlign w:val="center"/>
          </w:tcPr>
          <w:p w14:paraId="2251EE1F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0–10 (NRS)</w:t>
            </w:r>
          </w:p>
        </w:tc>
        <w:tc>
          <w:tcPr>
            <w:tcW w:w="1723" w:type="dxa"/>
            <w:vAlign w:val="center"/>
          </w:tcPr>
          <w:p w14:paraId="3C28F09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x (already 0–10)</w:t>
            </w:r>
          </w:p>
        </w:tc>
        <w:tc>
          <w:tcPr>
            <w:tcW w:w="984" w:type="dxa"/>
            <w:vAlign w:val="center"/>
          </w:tcPr>
          <w:p w14:paraId="09A33FE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0.09</w:t>
            </w:r>
          </w:p>
        </w:tc>
        <w:tc>
          <w:tcPr>
            <w:tcW w:w="1634" w:type="dxa"/>
            <w:vAlign w:val="center"/>
          </w:tcPr>
          <w:p w14:paraId="56D65ED9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Complementary to HADS</w:t>
            </w:r>
          </w:p>
        </w:tc>
      </w:tr>
      <w:tr w:rsidR="006911F7" w:rsidRPr="00053A4A" w14:paraId="2B831F19" w14:textId="77777777" w:rsidTr="00A706F3">
        <w:trPr>
          <w:jc w:val="center"/>
        </w:trPr>
        <w:tc>
          <w:tcPr>
            <w:tcW w:w="1191" w:type="dxa"/>
            <w:vAlign w:val="center"/>
          </w:tcPr>
          <w:p w14:paraId="4AEF64C9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HADS</w:t>
            </w:r>
          </w:p>
        </w:tc>
        <w:tc>
          <w:tcPr>
            <w:tcW w:w="1539" w:type="dxa"/>
            <w:vAlign w:val="center"/>
          </w:tcPr>
          <w:p w14:paraId="5CFA47C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A2</w:t>
            </w:r>
          </w:p>
        </w:tc>
        <w:tc>
          <w:tcPr>
            <w:tcW w:w="1451" w:type="dxa"/>
            <w:vAlign w:val="center"/>
          </w:tcPr>
          <w:p w14:paraId="089FEE64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Psychological</w:t>
            </w:r>
          </w:p>
        </w:tc>
        <w:tc>
          <w:tcPr>
            <w:tcW w:w="1514" w:type="dxa"/>
            <w:vAlign w:val="center"/>
          </w:tcPr>
          <w:p w14:paraId="7A89310A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0–3 (per item)</w:t>
            </w:r>
          </w:p>
        </w:tc>
        <w:tc>
          <w:tcPr>
            <w:tcW w:w="1723" w:type="dxa"/>
            <w:vAlign w:val="center"/>
          </w:tcPr>
          <w:p w14:paraId="7C2B4E1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10 * (x − 0) / 3</w:t>
            </w:r>
          </w:p>
        </w:tc>
        <w:tc>
          <w:tcPr>
            <w:tcW w:w="984" w:type="dxa"/>
            <w:vAlign w:val="center"/>
          </w:tcPr>
          <w:p w14:paraId="24605D3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0.07</w:t>
            </w:r>
          </w:p>
        </w:tc>
        <w:tc>
          <w:tcPr>
            <w:tcW w:w="1634" w:type="dxa"/>
            <w:vAlign w:val="center"/>
          </w:tcPr>
          <w:p w14:paraId="1FE4E71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Reverse scoring where applicable</w:t>
            </w:r>
          </w:p>
        </w:tc>
      </w:tr>
      <w:tr w:rsidR="006911F7" w:rsidRPr="00053A4A" w14:paraId="79A2BA84" w14:textId="77777777" w:rsidTr="00A706F3">
        <w:trPr>
          <w:jc w:val="center"/>
        </w:trPr>
        <w:tc>
          <w:tcPr>
            <w:tcW w:w="1191" w:type="dxa"/>
            <w:vAlign w:val="center"/>
          </w:tcPr>
          <w:p w14:paraId="604CDA92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Context</w:t>
            </w:r>
          </w:p>
        </w:tc>
        <w:tc>
          <w:tcPr>
            <w:tcW w:w="1539" w:type="dxa"/>
            <w:vAlign w:val="center"/>
          </w:tcPr>
          <w:p w14:paraId="7F6A00B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Family support (0–4)</w:t>
            </w:r>
          </w:p>
        </w:tc>
        <w:tc>
          <w:tcPr>
            <w:tcW w:w="1451" w:type="dxa"/>
            <w:vAlign w:val="center"/>
          </w:tcPr>
          <w:p w14:paraId="20AB0324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Social</w:t>
            </w:r>
          </w:p>
        </w:tc>
        <w:tc>
          <w:tcPr>
            <w:tcW w:w="1514" w:type="dxa"/>
            <w:vAlign w:val="center"/>
          </w:tcPr>
          <w:p w14:paraId="5BA443A2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0–4</w:t>
            </w:r>
          </w:p>
        </w:tc>
        <w:tc>
          <w:tcPr>
            <w:tcW w:w="1723" w:type="dxa"/>
            <w:vAlign w:val="center"/>
          </w:tcPr>
          <w:p w14:paraId="47C38999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10 * (x − 0) / 4</w:t>
            </w:r>
          </w:p>
        </w:tc>
        <w:tc>
          <w:tcPr>
            <w:tcW w:w="984" w:type="dxa"/>
            <w:vAlign w:val="center"/>
          </w:tcPr>
          <w:p w14:paraId="3382941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0.08</w:t>
            </w:r>
          </w:p>
        </w:tc>
        <w:tc>
          <w:tcPr>
            <w:tcW w:w="1634" w:type="dxa"/>
            <w:vAlign w:val="center"/>
          </w:tcPr>
          <w:p w14:paraId="33770FB7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Derived context variable</w:t>
            </w:r>
          </w:p>
        </w:tc>
      </w:tr>
      <w:tr w:rsidR="006911F7" w:rsidRPr="00053A4A" w14:paraId="599EA0F9" w14:textId="77777777" w:rsidTr="00A706F3">
        <w:trPr>
          <w:jc w:val="center"/>
        </w:trPr>
        <w:tc>
          <w:tcPr>
            <w:tcW w:w="1191" w:type="dxa"/>
            <w:vAlign w:val="center"/>
          </w:tcPr>
          <w:p w14:paraId="72DA4E64" w14:textId="77777777" w:rsidR="00065487" w:rsidRPr="00053A4A" w:rsidRDefault="004B1ADF">
            <w:pPr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Context</w:t>
            </w:r>
          </w:p>
        </w:tc>
        <w:tc>
          <w:tcPr>
            <w:tcW w:w="1539" w:type="dxa"/>
            <w:vAlign w:val="center"/>
          </w:tcPr>
          <w:p w14:paraId="3BFE36A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Isolation (0–4)</w:t>
            </w:r>
          </w:p>
        </w:tc>
        <w:tc>
          <w:tcPr>
            <w:tcW w:w="1451" w:type="dxa"/>
            <w:vAlign w:val="center"/>
          </w:tcPr>
          <w:p w14:paraId="2283AD44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Social</w:t>
            </w:r>
          </w:p>
        </w:tc>
        <w:tc>
          <w:tcPr>
            <w:tcW w:w="1514" w:type="dxa"/>
            <w:vAlign w:val="center"/>
          </w:tcPr>
          <w:p w14:paraId="309AC23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0–4</w:t>
            </w:r>
          </w:p>
        </w:tc>
        <w:tc>
          <w:tcPr>
            <w:tcW w:w="1723" w:type="dxa"/>
            <w:vAlign w:val="center"/>
          </w:tcPr>
          <w:p w14:paraId="3C18F6B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10 * (x − 0) / 4</w:t>
            </w:r>
          </w:p>
        </w:tc>
        <w:tc>
          <w:tcPr>
            <w:tcW w:w="984" w:type="dxa"/>
            <w:vAlign w:val="center"/>
          </w:tcPr>
          <w:p w14:paraId="24BDC2A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0.08</w:t>
            </w:r>
          </w:p>
        </w:tc>
        <w:tc>
          <w:tcPr>
            <w:tcW w:w="1634" w:type="dxa"/>
            <w:vAlign w:val="center"/>
          </w:tcPr>
          <w:p w14:paraId="1EE1DB16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Invert sign if higher = worse</w:t>
            </w:r>
          </w:p>
        </w:tc>
      </w:tr>
    </w:tbl>
    <w:p w14:paraId="2DE5FCCB" w14:textId="636EA681" w:rsidR="00A706F3" w:rsidRPr="006911F7" w:rsidRDefault="00A706F3" w:rsidP="006911F7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6911F7">
        <w:rPr>
          <w:rStyle w:val="Textoennegrita"/>
          <w:rFonts w:cs="Times New Roman"/>
          <w:b w:val="0"/>
          <w:bCs w:val="0"/>
          <w:sz w:val="20"/>
          <w:szCs w:val="20"/>
        </w:rPr>
        <w:t>Note.</w:t>
      </w:r>
      <w:r w:rsidRPr="006911F7">
        <w:rPr>
          <w:rFonts w:cs="Times New Roman"/>
          <w:b/>
          <w:bCs/>
          <w:sz w:val="20"/>
          <w:szCs w:val="20"/>
        </w:rPr>
        <w:t xml:space="preserve"> </w:t>
      </w:r>
      <w:r w:rsidRPr="006911F7">
        <w:rPr>
          <w:rFonts w:cs="Times New Roman"/>
          <w:sz w:val="20"/>
          <w:szCs w:val="20"/>
        </w:rPr>
        <w:t>Item-to-dimension mapping with original ranges, normalization to a common 0–10 scale, and initial item weights used to compute the Total Distress Index (TDI). Proprietary item wording is not reproduced; only instrument codes/labels are shown. Weights are priors subject to bounded updates (±50%) during simulated calibration; XAI-SHAP provides traceability of each item’s contribution.</w:t>
      </w:r>
    </w:p>
    <w:p w14:paraId="3BB01C15" w14:textId="2E59485D" w:rsidR="00A706F3" w:rsidRPr="006911F7" w:rsidRDefault="00A706F3" w:rsidP="00A706F3">
      <w:pPr>
        <w:pStyle w:val="Ttulo1"/>
        <w:spacing w:before="0"/>
        <w:rPr>
          <w:rFonts w:ascii="Times New Roman" w:hAnsi="Times New Roman" w:cs="Times New Roman"/>
          <w:color w:val="auto"/>
        </w:rPr>
      </w:pPr>
    </w:p>
    <w:p w14:paraId="3239E317" w14:textId="71C9B1E2" w:rsidR="006911F7" w:rsidRPr="006911F7" w:rsidRDefault="006911F7" w:rsidP="006911F7">
      <w:pPr>
        <w:rPr>
          <w:rFonts w:cs="Times New Roman"/>
        </w:rPr>
      </w:pPr>
    </w:p>
    <w:p w14:paraId="61BA24B5" w14:textId="3D1F2C77" w:rsidR="006911F7" w:rsidRPr="006911F7" w:rsidRDefault="006911F7" w:rsidP="006911F7">
      <w:pPr>
        <w:rPr>
          <w:rFonts w:cs="Times New Roman"/>
        </w:rPr>
      </w:pPr>
    </w:p>
    <w:p w14:paraId="4BF92C16" w14:textId="6B1FBD5A" w:rsidR="00065487" w:rsidRPr="006911F7" w:rsidRDefault="004B1ADF" w:rsidP="00A706F3">
      <w:pPr>
        <w:pStyle w:val="Ttulo1"/>
        <w:spacing w:before="0"/>
        <w:rPr>
          <w:rFonts w:ascii="Times New Roman" w:hAnsi="Times New Roman" w:cs="Times New Roman"/>
          <w:color w:val="auto"/>
        </w:rPr>
      </w:pPr>
      <w:bookmarkStart w:id="1" w:name="_Toc212625495"/>
      <w:r w:rsidRPr="006911F7">
        <w:rPr>
          <w:rFonts w:ascii="Times New Roman" w:hAnsi="Times New Roman" w:cs="Times New Roman"/>
          <w:color w:val="auto"/>
        </w:rPr>
        <w:lastRenderedPageBreak/>
        <w:t>Supplementary Table S2. Dimension-Level Weights and Example Aggregation.</w:t>
      </w:r>
      <w:bookmarkEnd w:id="1"/>
    </w:p>
    <w:p w14:paraId="311D2607" w14:textId="693B112E" w:rsidR="00065487" w:rsidRPr="006911F7" w:rsidRDefault="004B1ADF">
      <w:pPr>
        <w:jc w:val="both"/>
        <w:rPr>
          <w:rFonts w:cs="Times New Roman"/>
        </w:rPr>
      </w:pPr>
      <w:r w:rsidRPr="006911F7">
        <w:rPr>
          <w:rFonts w:cs="Times New Roman"/>
        </w:rPr>
        <w:t xml:space="preserve">Note. Suggested initial dimension weights used in simulations; subject to bounded linear updates (±50%) during calibration. TDI = Σ </w:t>
      </w:r>
      <w:proofErr w:type="spellStart"/>
      <w:r w:rsidRPr="006911F7">
        <w:rPr>
          <w:rFonts w:cs="Times New Roman"/>
        </w:rPr>
        <w:t>w_i</w:t>
      </w:r>
      <w:proofErr w:type="spellEnd"/>
      <w:r w:rsidRPr="006911F7">
        <w:rPr>
          <w:rFonts w:cs="Times New Roman"/>
        </w:rPr>
        <w:t xml:space="preserve"> · </w:t>
      </w:r>
      <w:proofErr w:type="spellStart"/>
      <w:r w:rsidRPr="006911F7">
        <w:rPr>
          <w:rFonts w:cs="Times New Roman"/>
        </w:rPr>
        <w:t>D_i</w:t>
      </w:r>
      <w:r w:rsidRPr="006911F7">
        <w:rPr>
          <w:rFonts w:cs="Times New Roman"/>
          <w:vertAlign w:val="superscript"/>
        </w:rPr>
        <w:t>norm</w:t>
      </w:r>
      <w:proofErr w:type="spellEnd"/>
      <w:r w:rsidRPr="006911F7">
        <w:rPr>
          <w:rFonts w:cs="Times New Roman"/>
        </w:rPr>
        <w:t>. Provide final item-level breakdown in your submission if required by the journal.</w:t>
      </w:r>
    </w:p>
    <w:tbl>
      <w:tblPr>
        <w:tblStyle w:val="Tablaconcuadrcula"/>
        <w:tblW w:w="9930" w:type="dxa"/>
        <w:jc w:val="center"/>
        <w:tblLook w:val="04A0" w:firstRow="1" w:lastRow="0" w:firstColumn="1" w:lastColumn="0" w:noHBand="0" w:noVBand="1"/>
      </w:tblPr>
      <w:tblGrid>
        <w:gridCol w:w="2808"/>
        <w:gridCol w:w="2207"/>
        <w:gridCol w:w="2679"/>
        <w:gridCol w:w="2236"/>
      </w:tblGrid>
      <w:tr w:rsidR="006911F7" w:rsidRPr="00053A4A" w14:paraId="245155F5" w14:textId="77777777" w:rsidTr="00A706F3">
        <w:trPr>
          <w:jc w:val="center"/>
        </w:trPr>
        <w:tc>
          <w:tcPr>
            <w:tcW w:w="2808" w:type="dxa"/>
            <w:shd w:val="clear" w:color="auto" w:fill="D9D9D9" w:themeFill="background1" w:themeFillShade="D9"/>
            <w:vAlign w:val="center"/>
          </w:tcPr>
          <w:p w14:paraId="4648B2CF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TEASUR Dimension</w:t>
            </w:r>
          </w:p>
        </w:tc>
        <w:tc>
          <w:tcPr>
            <w:tcW w:w="2207" w:type="dxa"/>
            <w:shd w:val="clear" w:color="auto" w:fill="D9D9D9" w:themeFill="background1" w:themeFillShade="D9"/>
            <w:vAlign w:val="center"/>
          </w:tcPr>
          <w:p w14:paraId="6E0087FD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Initial Dimension Weight</w:t>
            </w:r>
          </w:p>
        </w:tc>
        <w:tc>
          <w:tcPr>
            <w:tcW w:w="2679" w:type="dxa"/>
            <w:shd w:val="clear" w:color="auto" w:fill="D9D9D9" w:themeFill="background1" w:themeFillShade="D9"/>
            <w:vAlign w:val="center"/>
          </w:tcPr>
          <w:p w14:paraId="256DD81E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Example Item Codes</w:t>
            </w:r>
          </w:p>
        </w:tc>
        <w:tc>
          <w:tcPr>
            <w:tcW w:w="2236" w:type="dxa"/>
            <w:shd w:val="clear" w:color="auto" w:fill="D9D9D9" w:themeFill="background1" w:themeFillShade="D9"/>
            <w:vAlign w:val="center"/>
          </w:tcPr>
          <w:p w14:paraId="0208BD43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Comments</w:t>
            </w:r>
          </w:p>
        </w:tc>
      </w:tr>
      <w:tr w:rsidR="006911F7" w:rsidRPr="00053A4A" w14:paraId="09EB00CC" w14:textId="77777777" w:rsidTr="00A706F3">
        <w:trPr>
          <w:jc w:val="center"/>
        </w:trPr>
        <w:tc>
          <w:tcPr>
            <w:tcW w:w="2808" w:type="dxa"/>
            <w:vAlign w:val="center"/>
          </w:tcPr>
          <w:p w14:paraId="5F5B6EB2" w14:textId="77777777" w:rsidR="00065487" w:rsidRPr="00053A4A" w:rsidRDefault="004B1ADF">
            <w:pPr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Physical</w:t>
            </w:r>
          </w:p>
        </w:tc>
        <w:tc>
          <w:tcPr>
            <w:tcW w:w="2207" w:type="dxa"/>
            <w:vAlign w:val="center"/>
          </w:tcPr>
          <w:p w14:paraId="51B29993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0.30</w:t>
            </w:r>
          </w:p>
        </w:tc>
        <w:tc>
          <w:tcPr>
            <w:tcW w:w="2679" w:type="dxa"/>
            <w:vAlign w:val="center"/>
          </w:tcPr>
          <w:p w14:paraId="4BBA805B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ESAS-r: Pain, Dyspnea; Context: Functional limitation</w:t>
            </w:r>
          </w:p>
        </w:tc>
        <w:tc>
          <w:tcPr>
            <w:tcW w:w="2236" w:type="dxa"/>
            <w:vAlign w:val="center"/>
          </w:tcPr>
          <w:p w14:paraId="4CDB08BC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High symptom-burden domain</w:t>
            </w:r>
          </w:p>
        </w:tc>
      </w:tr>
      <w:tr w:rsidR="006911F7" w:rsidRPr="00053A4A" w14:paraId="3CFD331C" w14:textId="77777777" w:rsidTr="00A706F3">
        <w:trPr>
          <w:jc w:val="center"/>
        </w:trPr>
        <w:tc>
          <w:tcPr>
            <w:tcW w:w="2808" w:type="dxa"/>
            <w:vAlign w:val="center"/>
          </w:tcPr>
          <w:p w14:paraId="178A4630" w14:textId="77777777" w:rsidR="00065487" w:rsidRPr="00053A4A" w:rsidRDefault="004B1ADF">
            <w:pPr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Psychological</w:t>
            </w:r>
          </w:p>
        </w:tc>
        <w:tc>
          <w:tcPr>
            <w:tcW w:w="2207" w:type="dxa"/>
            <w:vAlign w:val="center"/>
          </w:tcPr>
          <w:p w14:paraId="2EB35C21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0.25</w:t>
            </w:r>
          </w:p>
        </w:tc>
        <w:tc>
          <w:tcPr>
            <w:tcW w:w="2679" w:type="dxa"/>
            <w:vAlign w:val="center"/>
          </w:tcPr>
          <w:p w14:paraId="31E23CC6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HADS-A/HADS-D; ESAS-r: Anxiety</w:t>
            </w:r>
          </w:p>
        </w:tc>
        <w:tc>
          <w:tcPr>
            <w:tcW w:w="2236" w:type="dxa"/>
            <w:vAlign w:val="center"/>
          </w:tcPr>
          <w:p w14:paraId="4F424927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Includes affective symptoms</w:t>
            </w:r>
          </w:p>
        </w:tc>
      </w:tr>
      <w:tr w:rsidR="006911F7" w:rsidRPr="00053A4A" w14:paraId="78C3C2B8" w14:textId="77777777" w:rsidTr="00A706F3">
        <w:trPr>
          <w:jc w:val="center"/>
        </w:trPr>
        <w:tc>
          <w:tcPr>
            <w:tcW w:w="2808" w:type="dxa"/>
            <w:vAlign w:val="center"/>
          </w:tcPr>
          <w:p w14:paraId="589EA01F" w14:textId="77777777" w:rsidR="00065487" w:rsidRPr="00053A4A" w:rsidRDefault="004B1ADF">
            <w:pPr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Social</w:t>
            </w:r>
          </w:p>
        </w:tc>
        <w:tc>
          <w:tcPr>
            <w:tcW w:w="2207" w:type="dxa"/>
            <w:vAlign w:val="center"/>
          </w:tcPr>
          <w:p w14:paraId="5871B521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0.25</w:t>
            </w:r>
          </w:p>
        </w:tc>
        <w:tc>
          <w:tcPr>
            <w:tcW w:w="2679" w:type="dxa"/>
            <w:vAlign w:val="center"/>
          </w:tcPr>
          <w:p w14:paraId="1D3E9419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Context: Family support, Isolation, Caregiver burden</w:t>
            </w:r>
          </w:p>
        </w:tc>
        <w:tc>
          <w:tcPr>
            <w:tcW w:w="2236" w:type="dxa"/>
            <w:vAlign w:val="center"/>
          </w:tcPr>
          <w:p w14:paraId="04C44626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Context-sensitive burden</w:t>
            </w:r>
          </w:p>
        </w:tc>
      </w:tr>
      <w:tr w:rsidR="006911F7" w:rsidRPr="00053A4A" w14:paraId="5FC3FC8A" w14:textId="77777777" w:rsidTr="00A706F3">
        <w:trPr>
          <w:jc w:val="center"/>
        </w:trPr>
        <w:tc>
          <w:tcPr>
            <w:tcW w:w="2808" w:type="dxa"/>
            <w:vAlign w:val="center"/>
          </w:tcPr>
          <w:p w14:paraId="0911FF6A" w14:textId="77777777" w:rsidR="00065487" w:rsidRPr="00053A4A" w:rsidRDefault="004B1ADF">
            <w:pPr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Spiritual</w:t>
            </w:r>
          </w:p>
        </w:tc>
        <w:tc>
          <w:tcPr>
            <w:tcW w:w="2207" w:type="dxa"/>
            <w:vAlign w:val="center"/>
          </w:tcPr>
          <w:p w14:paraId="12802EA6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0.20</w:t>
            </w:r>
          </w:p>
        </w:tc>
        <w:tc>
          <w:tcPr>
            <w:tcW w:w="2679" w:type="dxa"/>
            <w:vAlign w:val="center"/>
          </w:tcPr>
          <w:p w14:paraId="5A8A3F10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  <w:lang w:val="es-CO"/>
              </w:rPr>
            </w:pPr>
            <w:r w:rsidRPr="00053A4A">
              <w:rPr>
                <w:rFonts w:cs="Times New Roman"/>
                <w:sz w:val="20"/>
                <w:szCs w:val="18"/>
                <w:lang w:val="es-CO"/>
              </w:rPr>
              <w:t>FACIT-</w:t>
            </w:r>
            <w:proofErr w:type="spellStart"/>
            <w:r w:rsidRPr="00053A4A">
              <w:rPr>
                <w:rFonts w:cs="Times New Roman"/>
                <w:sz w:val="20"/>
                <w:szCs w:val="18"/>
                <w:lang w:val="es-CO"/>
              </w:rPr>
              <w:t>Sp</w:t>
            </w:r>
            <w:proofErr w:type="spellEnd"/>
            <w:r w:rsidRPr="00053A4A">
              <w:rPr>
                <w:rFonts w:cs="Times New Roman"/>
                <w:sz w:val="20"/>
                <w:szCs w:val="18"/>
                <w:lang w:val="es-CO"/>
              </w:rPr>
              <w:t xml:space="preserve"> E1, E5 (</w:t>
            </w:r>
            <w:proofErr w:type="spellStart"/>
            <w:r w:rsidRPr="00053A4A">
              <w:rPr>
                <w:rFonts w:cs="Times New Roman"/>
                <w:sz w:val="20"/>
                <w:szCs w:val="18"/>
                <w:lang w:val="es-CO"/>
              </w:rPr>
              <w:t>codes</w:t>
            </w:r>
            <w:proofErr w:type="spellEnd"/>
            <w:r w:rsidRPr="00053A4A">
              <w:rPr>
                <w:rFonts w:cs="Times New Roman"/>
                <w:sz w:val="20"/>
                <w:szCs w:val="18"/>
                <w:lang w:val="es-CO"/>
              </w:rPr>
              <w:t>)</w:t>
            </w:r>
          </w:p>
        </w:tc>
        <w:tc>
          <w:tcPr>
            <w:tcW w:w="2236" w:type="dxa"/>
            <w:vAlign w:val="center"/>
          </w:tcPr>
          <w:p w14:paraId="04A241D3" w14:textId="77777777" w:rsidR="00065487" w:rsidRPr="00053A4A" w:rsidRDefault="004B1ADF" w:rsidP="00A706F3">
            <w:pPr>
              <w:jc w:val="center"/>
              <w:rPr>
                <w:rFonts w:cs="Times New Roman"/>
                <w:sz w:val="20"/>
                <w:szCs w:val="18"/>
              </w:rPr>
            </w:pPr>
            <w:r w:rsidRPr="00053A4A">
              <w:rPr>
                <w:rFonts w:cs="Times New Roman"/>
                <w:sz w:val="20"/>
                <w:szCs w:val="18"/>
              </w:rPr>
              <w:t>Meaning/peace/faith constructs (see S3)</w:t>
            </w:r>
          </w:p>
        </w:tc>
      </w:tr>
    </w:tbl>
    <w:p w14:paraId="7C117EBB" w14:textId="638DF176" w:rsidR="00A706F3" w:rsidRPr="006911F7" w:rsidRDefault="00A706F3" w:rsidP="006911F7">
      <w:pPr>
        <w:spacing w:line="480" w:lineRule="auto"/>
        <w:rPr>
          <w:rFonts w:cs="Times New Roman"/>
          <w:b/>
          <w:bCs/>
          <w:sz w:val="20"/>
          <w:szCs w:val="20"/>
        </w:rPr>
      </w:pPr>
      <w:r w:rsidRPr="006911F7">
        <w:rPr>
          <w:rFonts w:cs="Times New Roman"/>
          <w:sz w:val="20"/>
          <w:szCs w:val="20"/>
        </w:rPr>
        <w:t xml:space="preserve">Note. Initial dimension-level weights (Physical, Psychological, Social, Spiritual) and example aggregation into the Total Distress Index (TDI). Weights may be adjusted within bounded limits (±50%) during simulation, and SHAP-based </w:t>
      </w:r>
      <w:proofErr w:type="spellStart"/>
      <w:r w:rsidRPr="006911F7">
        <w:rPr>
          <w:rFonts w:cs="Times New Roman"/>
          <w:sz w:val="20"/>
          <w:szCs w:val="20"/>
        </w:rPr>
        <w:t>explainability</w:t>
      </w:r>
      <w:proofErr w:type="spellEnd"/>
      <w:r w:rsidRPr="006911F7">
        <w:rPr>
          <w:rFonts w:cs="Times New Roman"/>
          <w:sz w:val="20"/>
          <w:szCs w:val="20"/>
        </w:rPr>
        <w:t xml:space="preserve"> documents domain contributions across runs.</w:t>
      </w:r>
    </w:p>
    <w:p w14:paraId="5811B536" w14:textId="6D4E9E08" w:rsidR="00065487" w:rsidRPr="006911F7" w:rsidRDefault="004B1ADF">
      <w:pPr>
        <w:pStyle w:val="Ttulo1"/>
        <w:rPr>
          <w:rFonts w:ascii="Times New Roman" w:hAnsi="Times New Roman" w:cs="Times New Roman"/>
          <w:color w:val="auto"/>
        </w:rPr>
      </w:pPr>
      <w:bookmarkStart w:id="2" w:name="_Toc212625496"/>
      <w:r w:rsidRPr="006911F7">
        <w:rPr>
          <w:rFonts w:ascii="Times New Roman" w:hAnsi="Times New Roman" w:cs="Times New Roman"/>
          <w:color w:val="auto"/>
        </w:rPr>
        <w:t>Supplementary Table S3. Cultural/Semantic Adaptations for Latin-American Settings (Glossary).</w:t>
      </w:r>
      <w:bookmarkEnd w:id="2"/>
    </w:p>
    <w:p w14:paraId="3A61C38A" w14:textId="77777777" w:rsidR="00065487" w:rsidRPr="006911F7" w:rsidRDefault="004B1ADF">
      <w:pPr>
        <w:jc w:val="both"/>
        <w:rPr>
          <w:rFonts w:cs="Times New Roman"/>
        </w:rPr>
      </w:pPr>
      <w:r w:rsidRPr="006911F7">
        <w:rPr>
          <w:rFonts w:cs="Times New Roman"/>
        </w:rPr>
        <w:t>Note. This glossary informs semantic alignment of spiritual and social constructs for TEASUR. Adaptations are used for interpretation and proportional decision routes, not for altering validated item content.</w:t>
      </w:r>
    </w:p>
    <w:tbl>
      <w:tblPr>
        <w:tblStyle w:val="Tablaconcuadrcula"/>
        <w:tblW w:w="10183" w:type="dxa"/>
        <w:tblLook w:val="04A0" w:firstRow="1" w:lastRow="0" w:firstColumn="1" w:lastColumn="0" w:noHBand="0" w:noVBand="1"/>
      </w:tblPr>
      <w:tblGrid>
        <w:gridCol w:w="1561"/>
        <w:gridCol w:w="1720"/>
        <w:gridCol w:w="3104"/>
        <w:gridCol w:w="2022"/>
        <w:gridCol w:w="1776"/>
      </w:tblGrid>
      <w:tr w:rsidR="006911F7" w:rsidRPr="00053A4A" w14:paraId="51A0A8E3" w14:textId="77777777" w:rsidTr="00053A4A">
        <w:tc>
          <w:tcPr>
            <w:tcW w:w="1561" w:type="dxa"/>
            <w:shd w:val="clear" w:color="auto" w:fill="D9D9D9" w:themeFill="background1" w:themeFillShade="D9"/>
            <w:vAlign w:val="center"/>
          </w:tcPr>
          <w:p w14:paraId="539766B0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Domain</w:t>
            </w:r>
          </w:p>
        </w:tc>
        <w:tc>
          <w:tcPr>
            <w:tcW w:w="1720" w:type="dxa"/>
            <w:shd w:val="clear" w:color="auto" w:fill="D9D9D9" w:themeFill="background1" w:themeFillShade="D9"/>
            <w:vAlign w:val="center"/>
          </w:tcPr>
          <w:p w14:paraId="724B5AC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Term/Construct</w:t>
            </w:r>
          </w:p>
        </w:tc>
        <w:tc>
          <w:tcPr>
            <w:tcW w:w="3104" w:type="dxa"/>
            <w:shd w:val="clear" w:color="auto" w:fill="D9D9D9" w:themeFill="background1" w:themeFillShade="D9"/>
            <w:vAlign w:val="center"/>
          </w:tcPr>
          <w:p w14:paraId="4FE78E1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Latin-American Adaptation (Gloss)</w:t>
            </w:r>
          </w:p>
        </w:tc>
        <w:tc>
          <w:tcPr>
            <w:tcW w:w="2022" w:type="dxa"/>
            <w:shd w:val="clear" w:color="auto" w:fill="D9D9D9" w:themeFill="background1" w:themeFillShade="D9"/>
            <w:vAlign w:val="center"/>
          </w:tcPr>
          <w:p w14:paraId="0143E35A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Source/Justification</w:t>
            </w:r>
          </w:p>
        </w:tc>
        <w:tc>
          <w:tcPr>
            <w:tcW w:w="1776" w:type="dxa"/>
            <w:shd w:val="clear" w:color="auto" w:fill="D9D9D9" w:themeFill="background1" w:themeFillShade="D9"/>
            <w:vAlign w:val="center"/>
          </w:tcPr>
          <w:p w14:paraId="2475ADF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Impact on Interpretation</w:t>
            </w:r>
          </w:p>
        </w:tc>
      </w:tr>
      <w:tr w:rsidR="006911F7" w:rsidRPr="00053A4A" w14:paraId="4B070C5D" w14:textId="77777777" w:rsidTr="00053A4A">
        <w:tc>
          <w:tcPr>
            <w:tcW w:w="1561" w:type="dxa"/>
            <w:vAlign w:val="center"/>
          </w:tcPr>
          <w:p w14:paraId="1B7BF9FA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Spiritual</w:t>
            </w:r>
          </w:p>
        </w:tc>
        <w:tc>
          <w:tcPr>
            <w:tcW w:w="1720" w:type="dxa"/>
            <w:vAlign w:val="center"/>
          </w:tcPr>
          <w:p w14:paraId="7E319E05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Meaning/Peace</w:t>
            </w:r>
          </w:p>
        </w:tc>
        <w:tc>
          <w:tcPr>
            <w:tcW w:w="3104" w:type="dxa"/>
            <w:vAlign w:val="center"/>
          </w:tcPr>
          <w:p w14:paraId="50881A7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Include ‘sense’, ‘reconciliation’, community spiritual accompaniment</w:t>
            </w:r>
          </w:p>
        </w:tc>
        <w:tc>
          <w:tcPr>
            <w:tcW w:w="2022" w:type="dxa"/>
            <w:vAlign w:val="center"/>
          </w:tcPr>
          <w:p w14:paraId="106CB37C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Regional qualitative studies; expert panel</w:t>
            </w:r>
          </w:p>
        </w:tc>
        <w:tc>
          <w:tcPr>
            <w:tcW w:w="1776" w:type="dxa"/>
            <w:vAlign w:val="center"/>
          </w:tcPr>
          <w:p w14:paraId="352E4482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Improves content validity and sensitivity</w:t>
            </w:r>
          </w:p>
        </w:tc>
      </w:tr>
      <w:tr w:rsidR="006911F7" w:rsidRPr="00053A4A" w14:paraId="2046C1B4" w14:textId="77777777" w:rsidTr="00053A4A">
        <w:tc>
          <w:tcPr>
            <w:tcW w:w="1561" w:type="dxa"/>
            <w:vAlign w:val="center"/>
          </w:tcPr>
          <w:p w14:paraId="68721D2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Social</w:t>
            </w:r>
          </w:p>
        </w:tc>
        <w:tc>
          <w:tcPr>
            <w:tcW w:w="1720" w:type="dxa"/>
            <w:vAlign w:val="center"/>
          </w:tcPr>
          <w:p w14:paraId="7CD56B6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Support</w:t>
            </w:r>
          </w:p>
        </w:tc>
        <w:tc>
          <w:tcPr>
            <w:tcW w:w="3104" w:type="dxa"/>
            <w:vAlign w:val="center"/>
          </w:tcPr>
          <w:p w14:paraId="228679D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Differentiate family vs. community leadership/faith groups</w:t>
            </w:r>
          </w:p>
        </w:tc>
        <w:tc>
          <w:tcPr>
            <w:tcW w:w="2022" w:type="dxa"/>
            <w:vAlign w:val="center"/>
          </w:tcPr>
          <w:p w14:paraId="1BFD90D1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Regional evidence</w:t>
            </w:r>
          </w:p>
        </w:tc>
        <w:tc>
          <w:tcPr>
            <w:tcW w:w="1776" w:type="dxa"/>
            <w:vAlign w:val="center"/>
          </w:tcPr>
          <w:p w14:paraId="69A955A0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Higher sensitivity in rural contexts</w:t>
            </w:r>
          </w:p>
        </w:tc>
      </w:tr>
      <w:tr w:rsidR="006911F7" w:rsidRPr="00053A4A" w14:paraId="366AD268" w14:textId="77777777" w:rsidTr="00053A4A">
        <w:tc>
          <w:tcPr>
            <w:tcW w:w="1561" w:type="dxa"/>
            <w:vAlign w:val="center"/>
          </w:tcPr>
          <w:p w14:paraId="5581E36A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Psychological</w:t>
            </w:r>
          </w:p>
        </w:tc>
        <w:tc>
          <w:tcPr>
            <w:tcW w:w="1720" w:type="dxa"/>
            <w:vAlign w:val="center"/>
          </w:tcPr>
          <w:p w14:paraId="72FE4F38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Hopelessness</w:t>
            </w:r>
          </w:p>
        </w:tc>
        <w:tc>
          <w:tcPr>
            <w:tcW w:w="3104" w:type="dxa"/>
            <w:vAlign w:val="center"/>
          </w:tcPr>
          <w:p w14:paraId="2131FEE6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Include anticipatory grief nuances</w:t>
            </w:r>
          </w:p>
        </w:tc>
        <w:tc>
          <w:tcPr>
            <w:tcW w:w="2022" w:type="dxa"/>
            <w:vAlign w:val="center"/>
          </w:tcPr>
          <w:p w14:paraId="160C723B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Palliative care guides</w:t>
            </w:r>
          </w:p>
        </w:tc>
        <w:tc>
          <w:tcPr>
            <w:tcW w:w="1776" w:type="dxa"/>
            <w:vAlign w:val="center"/>
          </w:tcPr>
          <w:p w14:paraId="76870F82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Avoids underestimation</w:t>
            </w:r>
          </w:p>
        </w:tc>
      </w:tr>
      <w:tr w:rsidR="006911F7" w:rsidRPr="00053A4A" w14:paraId="4B7FA404" w14:textId="77777777" w:rsidTr="00053A4A">
        <w:tc>
          <w:tcPr>
            <w:tcW w:w="1561" w:type="dxa"/>
            <w:vAlign w:val="center"/>
          </w:tcPr>
          <w:p w14:paraId="3B16B414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Rituality</w:t>
            </w:r>
          </w:p>
        </w:tc>
        <w:tc>
          <w:tcPr>
            <w:tcW w:w="1720" w:type="dxa"/>
            <w:vAlign w:val="center"/>
          </w:tcPr>
          <w:p w14:paraId="71072400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Practices</w:t>
            </w:r>
          </w:p>
        </w:tc>
        <w:tc>
          <w:tcPr>
            <w:tcW w:w="3104" w:type="dxa"/>
            <w:vAlign w:val="center"/>
          </w:tcPr>
          <w:p w14:paraId="39FD11CE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Community closure rituals and end-of-life customs</w:t>
            </w:r>
          </w:p>
        </w:tc>
        <w:tc>
          <w:tcPr>
            <w:tcW w:w="2022" w:type="dxa"/>
            <w:vAlign w:val="center"/>
          </w:tcPr>
          <w:p w14:paraId="3CA0E4C7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Ethnographic literature</w:t>
            </w:r>
          </w:p>
        </w:tc>
        <w:tc>
          <w:tcPr>
            <w:tcW w:w="1776" w:type="dxa"/>
            <w:vAlign w:val="center"/>
          </w:tcPr>
          <w:p w14:paraId="03757113" w14:textId="77777777" w:rsidR="00065487" w:rsidRPr="00053A4A" w:rsidRDefault="004B1ADF" w:rsidP="00A706F3">
            <w:pPr>
              <w:jc w:val="center"/>
              <w:rPr>
                <w:rFonts w:cs="Times New Roman"/>
                <w:sz w:val="18"/>
                <w:szCs w:val="16"/>
              </w:rPr>
            </w:pPr>
            <w:r w:rsidRPr="00053A4A">
              <w:rPr>
                <w:rFonts w:cs="Times New Roman"/>
                <w:sz w:val="18"/>
                <w:szCs w:val="16"/>
              </w:rPr>
              <w:t>Adjusts proportional routes</w:t>
            </w:r>
          </w:p>
        </w:tc>
      </w:tr>
    </w:tbl>
    <w:p w14:paraId="7AC41D8B" w14:textId="1C94489D" w:rsidR="004B1ADF" w:rsidRPr="006911F7" w:rsidRDefault="00A706F3" w:rsidP="00A706F3">
      <w:pPr>
        <w:spacing w:line="480" w:lineRule="auto"/>
        <w:rPr>
          <w:rFonts w:cs="Times New Roman"/>
          <w:sz w:val="20"/>
          <w:szCs w:val="18"/>
        </w:rPr>
      </w:pPr>
      <w:r w:rsidRPr="006911F7">
        <w:rPr>
          <w:rStyle w:val="Textoennegrita"/>
          <w:rFonts w:cs="Times New Roman"/>
          <w:sz w:val="20"/>
          <w:szCs w:val="18"/>
        </w:rPr>
        <w:t>Note.</w:t>
      </w:r>
      <w:r w:rsidRPr="006911F7">
        <w:rPr>
          <w:rFonts w:cs="Times New Roman"/>
          <w:sz w:val="20"/>
          <w:szCs w:val="18"/>
        </w:rPr>
        <w:t xml:space="preserve"> Cultural/semantic adaptations (glossary) used to interpret social and spiritual constructs in Latin-American settings. These adaptations guide clinical interpretation and proportional decision routes; they do </w:t>
      </w:r>
      <w:r w:rsidRPr="006911F7">
        <w:rPr>
          <w:rStyle w:val="Textoennegrita"/>
          <w:rFonts w:cs="Times New Roman"/>
          <w:sz w:val="20"/>
          <w:szCs w:val="18"/>
        </w:rPr>
        <w:t>not</w:t>
      </w:r>
      <w:r w:rsidRPr="006911F7">
        <w:rPr>
          <w:rFonts w:cs="Times New Roman"/>
          <w:sz w:val="20"/>
          <w:szCs w:val="18"/>
        </w:rPr>
        <w:t xml:space="preserve"> alter validated item content or scoring.</w:t>
      </w:r>
    </w:p>
    <w:sectPr w:rsidR="004B1ADF" w:rsidRPr="006911F7" w:rsidSect="00A706F3">
      <w:headerReference w:type="default" r:id="rId8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79171" w14:textId="77777777" w:rsidR="006D0F7D" w:rsidRDefault="006D0F7D" w:rsidP="00BE1771">
      <w:pPr>
        <w:spacing w:after="0" w:line="240" w:lineRule="auto"/>
      </w:pPr>
      <w:r>
        <w:separator/>
      </w:r>
    </w:p>
  </w:endnote>
  <w:endnote w:type="continuationSeparator" w:id="0">
    <w:p w14:paraId="06093A24" w14:textId="77777777" w:rsidR="006D0F7D" w:rsidRDefault="006D0F7D" w:rsidP="00BE1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543EE" w14:textId="77777777" w:rsidR="006D0F7D" w:rsidRDefault="006D0F7D" w:rsidP="00BE1771">
      <w:pPr>
        <w:spacing w:after="0" w:line="240" w:lineRule="auto"/>
      </w:pPr>
      <w:r>
        <w:separator/>
      </w:r>
    </w:p>
  </w:footnote>
  <w:footnote w:type="continuationSeparator" w:id="0">
    <w:p w14:paraId="337FD922" w14:textId="77777777" w:rsidR="006D0F7D" w:rsidRDefault="006D0F7D" w:rsidP="00BE1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642920" w14:textId="2E6A2499" w:rsidR="00BE1771" w:rsidRPr="00BE1771" w:rsidRDefault="00BE1771" w:rsidP="00BE1771">
    <w:pPr>
      <w:pStyle w:val="Encabezado"/>
      <w:jc w:val="center"/>
      <w:rPr>
        <w:b/>
        <w:bCs/>
        <w:sz w:val="40"/>
        <w:szCs w:val="36"/>
      </w:rPr>
    </w:pPr>
    <w:r w:rsidRPr="00BE1771">
      <w:rPr>
        <w:b/>
        <w:bCs/>
        <w:sz w:val="40"/>
        <w:szCs w:val="36"/>
      </w:rPr>
      <w:t>Supplementary Tables S1–S3 (TEASUR)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A4A"/>
    <w:rsid w:val="0006063C"/>
    <w:rsid w:val="00065487"/>
    <w:rsid w:val="0015074B"/>
    <w:rsid w:val="0029639D"/>
    <w:rsid w:val="00326F90"/>
    <w:rsid w:val="004B1ADF"/>
    <w:rsid w:val="006911F7"/>
    <w:rsid w:val="006D0F7D"/>
    <w:rsid w:val="00A706F3"/>
    <w:rsid w:val="00AA1D8D"/>
    <w:rsid w:val="00B47730"/>
    <w:rsid w:val="00BE1771"/>
    <w:rsid w:val="00C01EDC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C67F5D"/>
  <w14:defaultImageDpi w14:val="300"/>
  <w15:docId w15:val="{3E929B1F-E347-4860-9491-BCDC2E188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atex-mathml">
    <w:name w:val="katex-mathml"/>
    <w:basedOn w:val="Fuentedeprrafopredeter"/>
    <w:rsid w:val="00A706F3"/>
  </w:style>
  <w:style w:type="character" w:customStyle="1" w:styleId="mord">
    <w:name w:val="mord"/>
    <w:basedOn w:val="Fuentedeprrafopredeter"/>
    <w:rsid w:val="00A706F3"/>
  </w:style>
  <w:style w:type="character" w:customStyle="1" w:styleId="katex-error">
    <w:name w:val="katex-error"/>
    <w:basedOn w:val="Fuentedeprrafopredeter"/>
    <w:rsid w:val="00A706F3"/>
  </w:style>
  <w:style w:type="character" w:customStyle="1" w:styleId="vlist-s">
    <w:name w:val="vlist-s"/>
    <w:basedOn w:val="Fuentedeprrafopredeter"/>
    <w:rsid w:val="00A706F3"/>
  </w:style>
  <w:style w:type="paragraph" w:styleId="TDC1">
    <w:name w:val="toc 1"/>
    <w:basedOn w:val="Normal"/>
    <w:next w:val="Normal"/>
    <w:autoRedefine/>
    <w:uiPriority w:val="39"/>
    <w:unhideWhenUsed/>
    <w:rsid w:val="006911F7"/>
    <w:pPr>
      <w:spacing w:after="100"/>
    </w:pPr>
  </w:style>
  <w:style w:type="character" w:styleId="Hipervnculo">
    <w:name w:val="Hyperlink"/>
    <w:basedOn w:val="Fuentedeprrafopredeter"/>
    <w:uiPriority w:val="99"/>
    <w:unhideWhenUsed/>
    <w:rsid w:val="006911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627</Words>
  <Characters>3453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4072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Anderson Diaz Perez</cp:lastModifiedBy>
  <cp:revision>3</cp:revision>
  <cp:lastPrinted>2025-10-31T12:47:00Z</cp:lastPrinted>
  <dcterms:created xsi:type="dcterms:W3CDTF">2025-10-31T12:47:00Z</dcterms:created>
  <dcterms:modified xsi:type="dcterms:W3CDTF">2025-10-31T12:55:00Z</dcterms:modified>
  <cp:category/>
</cp:coreProperties>
</file>