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44DC8" w14:textId="77777777" w:rsidR="006D4977" w:rsidRDefault="006D4977" w:rsidP="006D4977">
      <w:pPr>
        <w:pStyle w:val="MDPI21heading1"/>
      </w:pPr>
      <w:r>
        <w:rPr>
          <w:szCs w:val="24"/>
        </w:rPr>
        <w:t>Appendix</w:t>
      </w:r>
      <w:r>
        <w:t xml:space="preserve"> A</w:t>
      </w:r>
    </w:p>
    <w:p w14:paraId="4748F5E8" w14:textId="77777777" w:rsidR="006D4977" w:rsidRDefault="006D4977" w:rsidP="006D4977">
      <w:pPr>
        <w:pStyle w:val="MDPI41tablecaption"/>
        <w:jc w:val="left"/>
      </w:pPr>
      <w:r>
        <w:rPr>
          <w:rFonts w:hint="eastAsia"/>
          <w:b/>
          <w:bCs/>
        </w:rPr>
        <w:t xml:space="preserve">Table </w:t>
      </w:r>
      <w:r>
        <w:rPr>
          <w:rFonts w:hint="eastAsia"/>
          <w:b/>
          <w:bCs/>
          <w:lang w:eastAsia="zh-CN"/>
        </w:rPr>
        <w:t>A</w:t>
      </w:r>
      <w:r>
        <w:rPr>
          <w:rFonts w:hint="eastAsia"/>
          <w:b/>
          <w:bCs/>
        </w:rPr>
        <w:t>1.</w:t>
      </w:r>
      <w:r>
        <w:rPr>
          <w:rFonts w:hint="eastAsia"/>
        </w:rPr>
        <w:t xml:space="preserve"> Detailed comparison of model parameters across different econometric specifications.</w:t>
      </w:r>
    </w:p>
    <w:tbl>
      <w:tblPr>
        <w:tblW w:w="4999" w:type="pct"/>
        <w:tblBorders>
          <w:top w:val="single" w:sz="8" w:space="0" w:color="auto"/>
          <w:bottom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2"/>
        <w:gridCol w:w="1800"/>
        <w:gridCol w:w="1800"/>
        <w:gridCol w:w="2622"/>
      </w:tblGrid>
      <w:tr w:rsidR="006D4977" w14:paraId="2BF010CC" w14:textId="77777777" w:rsidTr="00626AD9">
        <w:tc>
          <w:tcPr>
            <w:tcW w:w="1552" w:type="pct"/>
            <w:tcBorders>
              <w:bottom w:val="single" w:sz="4" w:space="0" w:color="auto"/>
            </w:tcBorders>
            <w:vAlign w:val="center"/>
          </w:tcPr>
          <w:p w14:paraId="550E8FAF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Parameter</w:t>
            </w:r>
          </w:p>
        </w:tc>
        <w:tc>
          <w:tcPr>
            <w:tcW w:w="997" w:type="pct"/>
            <w:tcBorders>
              <w:bottom w:val="single" w:sz="4" w:space="0" w:color="auto"/>
            </w:tcBorders>
            <w:vAlign w:val="center"/>
          </w:tcPr>
          <w:p w14:paraId="2AAB1494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Model 1:</w:t>
            </w:r>
          </w:p>
          <w:p w14:paraId="004129BE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rFonts w:hint="eastAsia"/>
                <w:b/>
                <w:snapToGrid/>
                <w:lang w:eastAsia="zh-CN"/>
              </w:rPr>
              <w:t>MNL (Fixed</w:t>
            </w:r>
            <w:r>
              <w:rPr>
                <w:b/>
                <w:snapToGrid/>
                <w:lang w:eastAsia="zh-CN"/>
              </w:rPr>
              <w:t xml:space="preserve"> Effects)</w:t>
            </w:r>
          </w:p>
        </w:tc>
        <w:tc>
          <w:tcPr>
            <w:tcW w:w="997" w:type="pct"/>
            <w:tcBorders>
              <w:bottom w:val="single" w:sz="4" w:space="0" w:color="auto"/>
            </w:tcBorders>
            <w:vAlign w:val="center"/>
          </w:tcPr>
          <w:p w14:paraId="5EEB056F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Model 2:</w:t>
            </w:r>
          </w:p>
          <w:p w14:paraId="793C61FE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rFonts w:hint="eastAsia"/>
                <w:b/>
                <w:snapToGrid/>
                <w:lang w:eastAsia="zh-CN"/>
              </w:rPr>
              <w:t>RPL (</w:t>
            </w:r>
            <w:r>
              <w:rPr>
                <w:b/>
                <w:snapToGrid/>
                <w:lang w:eastAsia="zh-CN"/>
              </w:rPr>
              <w:t>Main Model)</w:t>
            </w:r>
          </w:p>
        </w:tc>
        <w:tc>
          <w:tcPr>
            <w:tcW w:w="1453" w:type="pct"/>
            <w:tcBorders>
              <w:bottom w:val="single" w:sz="4" w:space="0" w:color="auto"/>
            </w:tcBorders>
            <w:vAlign w:val="center"/>
          </w:tcPr>
          <w:p w14:paraId="1C88405E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Model 3:</w:t>
            </w:r>
          </w:p>
          <w:p w14:paraId="321A09A0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rFonts w:hint="eastAsia"/>
                <w:b/>
                <w:snapToGrid/>
                <w:lang w:eastAsia="zh-CN"/>
              </w:rPr>
              <w:t>LCM (</w:t>
            </w:r>
            <w:r>
              <w:rPr>
                <w:b/>
                <w:snapToGrid/>
                <w:lang w:eastAsia="zh-CN"/>
              </w:rPr>
              <w:t>3-Class Weighted Avg)</w:t>
            </w:r>
          </w:p>
        </w:tc>
      </w:tr>
      <w:tr w:rsidR="006D4977" w14:paraId="384FF8DF" w14:textId="77777777" w:rsidTr="00626AD9">
        <w:tc>
          <w:tcPr>
            <w:tcW w:w="1552" w:type="pct"/>
            <w:vAlign w:val="center"/>
          </w:tcPr>
          <w:p w14:paraId="33C13B80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Price</w:t>
            </w:r>
          </w:p>
        </w:tc>
        <w:tc>
          <w:tcPr>
            <w:tcW w:w="997" w:type="pct"/>
            <w:vAlign w:val="center"/>
          </w:tcPr>
          <w:p w14:paraId="17146BBA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-0.165 (0.015) </w:t>
            </w:r>
            <w:r>
              <w:rPr>
                <w:rFonts w:hint="eastAsia"/>
                <w:lang w:eastAsia="zh-CN"/>
              </w:rPr>
              <w:t>***</w:t>
            </w:r>
          </w:p>
        </w:tc>
        <w:tc>
          <w:tcPr>
            <w:tcW w:w="997" w:type="pct"/>
            <w:vAlign w:val="center"/>
          </w:tcPr>
          <w:p w14:paraId="05758A54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-0.184 (0.042) </w:t>
            </w:r>
            <w:r>
              <w:rPr>
                <w:rFonts w:hint="eastAsia"/>
                <w:lang w:eastAsia="zh-CN"/>
              </w:rPr>
              <w:t>***</w:t>
            </w:r>
          </w:p>
        </w:tc>
        <w:tc>
          <w:tcPr>
            <w:tcW w:w="1453" w:type="pct"/>
            <w:vAlign w:val="center"/>
          </w:tcPr>
          <w:p w14:paraId="09485E22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-0.192 (0.018) </w:t>
            </w:r>
            <w:r>
              <w:rPr>
                <w:rFonts w:hint="eastAsia"/>
                <w:lang w:eastAsia="zh-CN"/>
              </w:rPr>
              <w:t>***</w:t>
            </w:r>
          </w:p>
        </w:tc>
      </w:tr>
      <w:tr w:rsidR="006D4977" w14:paraId="6AE1815D" w14:textId="77777777" w:rsidTr="00626AD9">
        <w:tc>
          <w:tcPr>
            <w:tcW w:w="1552" w:type="pct"/>
            <w:vAlign w:val="center"/>
          </w:tcPr>
          <w:p w14:paraId="6F0B5787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Nutri-Grade (Ref: Grade C)</w:t>
            </w:r>
          </w:p>
        </w:tc>
        <w:tc>
          <w:tcPr>
            <w:tcW w:w="997" w:type="pct"/>
            <w:vAlign w:val="center"/>
          </w:tcPr>
          <w:p w14:paraId="2129D20D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997" w:type="pct"/>
            <w:vAlign w:val="center"/>
          </w:tcPr>
          <w:p w14:paraId="5C6C07E0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1453" w:type="pct"/>
            <w:vAlign w:val="center"/>
          </w:tcPr>
          <w:p w14:paraId="3776FD55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</w:tr>
      <w:tr w:rsidR="006D4977" w14:paraId="29C4124B" w14:textId="77777777" w:rsidTr="00626AD9">
        <w:tc>
          <w:tcPr>
            <w:tcW w:w="1552" w:type="pct"/>
            <w:vAlign w:val="center"/>
          </w:tcPr>
          <w:p w14:paraId="682CC4AB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Grade A</w:t>
            </w:r>
          </w:p>
        </w:tc>
        <w:tc>
          <w:tcPr>
            <w:tcW w:w="997" w:type="pct"/>
            <w:vAlign w:val="center"/>
          </w:tcPr>
          <w:p w14:paraId="1881C5F1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0.285 (0.025) </w:t>
            </w:r>
            <w:r>
              <w:rPr>
                <w:rFonts w:hint="eastAsia"/>
                <w:lang w:eastAsia="zh-CN"/>
              </w:rPr>
              <w:t>***</w:t>
            </w:r>
          </w:p>
        </w:tc>
        <w:tc>
          <w:tcPr>
            <w:tcW w:w="997" w:type="pct"/>
            <w:vAlign w:val="center"/>
          </w:tcPr>
          <w:p w14:paraId="45935EA8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0.315 (0.058) </w:t>
            </w:r>
            <w:r>
              <w:rPr>
                <w:rFonts w:hint="eastAsia"/>
                <w:lang w:eastAsia="zh-CN"/>
              </w:rPr>
              <w:t>***</w:t>
            </w:r>
          </w:p>
        </w:tc>
        <w:tc>
          <w:tcPr>
            <w:tcW w:w="1453" w:type="pct"/>
            <w:vAlign w:val="center"/>
          </w:tcPr>
          <w:p w14:paraId="41A31E09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0.355 (0.032) </w:t>
            </w:r>
            <w:r>
              <w:rPr>
                <w:rFonts w:hint="eastAsia"/>
                <w:lang w:eastAsia="zh-CN"/>
              </w:rPr>
              <w:t>***</w:t>
            </w:r>
          </w:p>
        </w:tc>
      </w:tr>
      <w:tr w:rsidR="006D4977" w14:paraId="7B08DB4F" w14:textId="77777777" w:rsidTr="00626AD9">
        <w:tc>
          <w:tcPr>
            <w:tcW w:w="1552" w:type="pct"/>
            <w:vAlign w:val="center"/>
          </w:tcPr>
          <w:p w14:paraId="61FE849C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Grade B</w:t>
            </w:r>
          </w:p>
        </w:tc>
        <w:tc>
          <w:tcPr>
            <w:tcW w:w="997" w:type="pct"/>
            <w:vAlign w:val="center"/>
          </w:tcPr>
          <w:p w14:paraId="7C324BCE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0.065 (0.022) **</w:t>
            </w:r>
          </w:p>
        </w:tc>
        <w:tc>
          <w:tcPr>
            <w:tcW w:w="997" w:type="pct"/>
            <w:vAlign w:val="center"/>
          </w:tcPr>
          <w:p w14:paraId="309316B2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0.072 (0.050) </w:t>
            </w:r>
            <w:r>
              <w:rPr>
                <w:vertAlign w:val="superscript"/>
                <w:lang w:eastAsia="zh-CN"/>
              </w:rPr>
              <w:t>ns</w:t>
            </w:r>
          </w:p>
        </w:tc>
        <w:tc>
          <w:tcPr>
            <w:tcW w:w="1453" w:type="pct"/>
            <w:vAlign w:val="center"/>
          </w:tcPr>
          <w:p w14:paraId="15DA840E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0.088 (0.029) **</w:t>
            </w:r>
          </w:p>
        </w:tc>
      </w:tr>
      <w:tr w:rsidR="006D4977" w14:paraId="1DA7981F" w14:textId="77777777" w:rsidTr="00626AD9">
        <w:tc>
          <w:tcPr>
            <w:tcW w:w="1552" w:type="pct"/>
            <w:vAlign w:val="center"/>
          </w:tcPr>
          <w:p w14:paraId="1DD257D1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Grade D</w:t>
            </w:r>
          </w:p>
        </w:tc>
        <w:tc>
          <w:tcPr>
            <w:tcW w:w="997" w:type="pct"/>
            <w:vAlign w:val="center"/>
          </w:tcPr>
          <w:p w14:paraId="297FB8FB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-0.220 (0.024) </w:t>
            </w:r>
            <w:r>
              <w:rPr>
                <w:rFonts w:hint="eastAsia"/>
                <w:lang w:eastAsia="zh-CN"/>
              </w:rPr>
              <w:t>***</w:t>
            </w:r>
          </w:p>
        </w:tc>
        <w:tc>
          <w:tcPr>
            <w:tcW w:w="997" w:type="pct"/>
            <w:vAlign w:val="center"/>
          </w:tcPr>
          <w:p w14:paraId="23E836AC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-0.248 (0.056) </w:t>
            </w:r>
            <w:r>
              <w:rPr>
                <w:rFonts w:hint="eastAsia"/>
                <w:lang w:eastAsia="zh-CN"/>
              </w:rPr>
              <w:t>***</w:t>
            </w:r>
          </w:p>
        </w:tc>
        <w:tc>
          <w:tcPr>
            <w:tcW w:w="1453" w:type="pct"/>
            <w:vAlign w:val="center"/>
          </w:tcPr>
          <w:p w14:paraId="1E8634E3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-0.265 (0.030) </w:t>
            </w:r>
            <w:r>
              <w:rPr>
                <w:rFonts w:hint="eastAsia"/>
                <w:lang w:eastAsia="zh-CN"/>
              </w:rPr>
              <w:t>***</w:t>
            </w:r>
          </w:p>
        </w:tc>
      </w:tr>
      <w:tr w:rsidR="006D4977" w14:paraId="2A7DDAC3" w14:textId="77777777" w:rsidTr="00626AD9">
        <w:tc>
          <w:tcPr>
            <w:tcW w:w="1552" w:type="pct"/>
            <w:vAlign w:val="center"/>
          </w:tcPr>
          <w:p w14:paraId="4183A4D2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Sweetener Strategy (Ref: HFCS)</w:t>
            </w:r>
          </w:p>
        </w:tc>
        <w:tc>
          <w:tcPr>
            <w:tcW w:w="997" w:type="pct"/>
            <w:vAlign w:val="center"/>
          </w:tcPr>
          <w:p w14:paraId="7256D1AB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997" w:type="pct"/>
            <w:vAlign w:val="center"/>
          </w:tcPr>
          <w:p w14:paraId="07B694F8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1453" w:type="pct"/>
            <w:vAlign w:val="center"/>
          </w:tcPr>
          <w:p w14:paraId="027DADB6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</w:tr>
      <w:tr w:rsidR="006D4977" w14:paraId="1DDE36C7" w14:textId="77777777" w:rsidTr="00626AD9">
        <w:tc>
          <w:tcPr>
            <w:tcW w:w="1552" w:type="pct"/>
            <w:vAlign w:val="center"/>
          </w:tcPr>
          <w:p w14:paraId="393E34CC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Cane Sugar</w:t>
            </w:r>
          </w:p>
        </w:tc>
        <w:tc>
          <w:tcPr>
            <w:tcW w:w="997" w:type="pct"/>
            <w:vAlign w:val="center"/>
          </w:tcPr>
          <w:p w14:paraId="227C4B4E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0.275 (0.021) </w:t>
            </w:r>
            <w:r>
              <w:rPr>
                <w:rFonts w:hint="eastAsia"/>
                <w:lang w:eastAsia="zh-CN"/>
              </w:rPr>
              <w:t>***</w:t>
            </w:r>
          </w:p>
        </w:tc>
        <w:tc>
          <w:tcPr>
            <w:tcW w:w="997" w:type="pct"/>
            <w:vAlign w:val="center"/>
          </w:tcPr>
          <w:p w14:paraId="1561B6F8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0.295 (0.052) </w:t>
            </w:r>
            <w:r>
              <w:rPr>
                <w:rFonts w:hint="eastAsia"/>
                <w:lang w:eastAsia="zh-CN"/>
              </w:rPr>
              <w:t>***</w:t>
            </w:r>
          </w:p>
        </w:tc>
        <w:tc>
          <w:tcPr>
            <w:tcW w:w="1453" w:type="pct"/>
            <w:vAlign w:val="center"/>
          </w:tcPr>
          <w:p w14:paraId="60B51472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0.310 (0.028) </w:t>
            </w:r>
            <w:r>
              <w:rPr>
                <w:rFonts w:hint="eastAsia"/>
                <w:lang w:eastAsia="zh-CN"/>
              </w:rPr>
              <w:t>***</w:t>
            </w:r>
          </w:p>
        </w:tc>
      </w:tr>
      <w:tr w:rsidR="006D4977" w14:paraId="53A96CC8" w14:textId="77777777" w:rsidTr="00626AD9">
        <w:tc>
          <w:tcPr>
            <w:tcW w:w="1552" w:type="pct"/>
            <w:vAlign w:val="center"/>
          </w:tcPr>
          <w:p w14:paraId="70E83034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Natural Blend (Stevia)</w:t>
            </w:r>
          </w:p>
        </w:tc>
        <w:tc>
          <w:tcPr>
            <w:tcW w:w="997" w:type="pct"/>
            <w:vAlign w:val="center"/>
          </w:tcPr>
          <w:p w14:paraId="168E38C6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0.038 (0.020) </w:t>
            </w:r>
            <w:r>
              <w:rPr>
                <w:rFonts w:hint="eastAsia"/>
                <w:lang w:eastAsia="zh-CN"/>
              </w:rPr>
              <w:t>*</w:t>
            </w:r>
          </w:p>
        </w:tc>
        <w:tc>
          <w:tcPr>
            <w:tcW w:w="997" w:type="pct"/>
            <w:vAlign w:val="center"/>
          </w:tcPr>
          <w:p w14:paraId="6924BD66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0.045 (0.049) </w:t>
            </w:r>
            <w:r>
              <w:rPr>
                <w:vertAlign w:val="superscript"/>
                <w:lang w:eastAsia="zh-CN"/>
              </w:rPr>
              <w:t>ns</w:t>
            </w:r>
          </w:p>
        </w:tc>
        <w:tc>
          <w:tcPr>
            <w:tcW w:w="1453" w:type="pct"/>
            <w:vAlign w:val="center"/>
          </w:tcPr>
          <w:p w14:paraId="4182D81B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0.055 (0.026) </w:t>
            </w:r>
            <w:r>
              <w:rPr>
                <w:rFonts w:hint="eastAsia"/>
                <w:lang w:eastAsia="zh-CN"/>
              </w:rPr>
              <w:t>*</w:t>
            </w:r>
          </w:p>
        </w:tc>
      </w:tr>
      <w:tr w:rsidR="006D4977" w14:paraId="1F725ACA" w14:textId="77777777" w:rsidTr="00626AD9">
        <w:tc>
          <w:tcPr>
            <w:tcW w:w="1552" w:type="pct"/>
            <w:vAlign w:val="center"/>
          </w:tcPr>
          <w:p w14:paraId="25BF20DB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Artificial Blend</w:t>
            </w:r>
          </w:p>
        </w:tc>
        <w:tc>
          <w:tcPr>
            <w:tcW w:w="997" w:type="pct"/>
            <w:vAlign w:val="center"/>
          </w:tcPr>
          <w:p w14:paraId="305C3020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-0.255 (0.028) </w:t>
            </w:r>
            <w:r>
              <w:rPr>
                <w:rFonts w:hint="eastAsia"/>
                <w:lang w:eastAsia="zh-CN"/>
              </w:rPr>
              <w:t>***</w:t>
            </w:r>
          </w:p>
        </w:tc>
        <w:tc>
          <w:tcPr>
            <w:tcW w:w="997" w:type="pct"/>
            <w:vAlign w:val="center"/>
          </w:tcPr>
          <w:p w14:paraId="5BAF08CD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-0.308 (0.065) </w:t>
            </w:r>
            <w:r>
              <w:rPr>
                <w:rFonts w:hint="eastAsia"/>
                <w:lang w:eastAsia="zh-CN"/>
              </w:rPr>
              <w:t>***</w:t>
            </w:r>
          </w:p>
        </w:tc>
        <w:tc>
          <w:tcPr>
            <w:tcW w:w="1453" w:type="pct"/>
            <w:vAlign w:val="center"/>
          </w:tcPr>
          <w:p w14:paraId="64F17DC2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-0.320 (0.035) </w:t>
            </w:r>
            <w:r>
              <w:rPr>
                <w:rFonts w:hint="eastAsia"/>
                <w:lang w:eastAsia="zh-CN"/>
              </w:rPr>
              <w:t>***</w:t>
            </w:r>
          </w:p>
        </w:tc>
      </w:tr>
      <w:tr w:rsidR="006D4977" w14:paraId="25CCBD47" w14:textId="77777777" w:rsidTr="00626AD9">
        <w:tc>
          <w:tcPr>
            <w:tcW w:w="1552" w:type="pct"/>
            <w:vAlign w:val="center"/>
          </w:tcPr>
          <w:p w14:paraId="0111ACA9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Interactions</w:t>
            </w:r>
          </w:p>
        </w:tc>
        <w:tc>
          <w:tcPr>
            <w:tcW w:w="997" w:type="pct"/>
            <w:vAlign w:val="center"/>
          </w:tcPr>
          <w:p w14:paraId="1E19887E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997" w:type="pct"/>
            <w:vAlign w:val="center"/>
          </w:tcPr>
          <w:p w14:paraId="54960CFC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1453" w:type="pct"/>
            <w:vAlign w:val="center"/>
          </w:tcPr>
          <w:p w14:paraId="1B7D0244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</w:tr>
      <w:tr w:rsidR="006D4977" w14:paraId="2EFEA3C4" w14:textId="77777777" w:rsidTr="00626AD9">
        <w:tc>
          <w:tcPr>
            <w:tcW w:w="1552" w:type="pct"/>
            <w:vAlign w:val="center"/>
          </w:tcPr>
          <w:p w14:paraId="3A8606B7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Grade A × Artificial</w:t>
            </w:r>
          </w:p>
        </w:tc>
        <w:tc>
          <w:tcPr>
            <w:tcW w:w="997" w:type="pct"/>
            <w:vAlign w:val="center"/>
          </w:tcPr>
          <w:p w14:paraId="42BC5D9E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-0.425 (0.035) *</w:t>
            </w:r>
          </w:p>
        </w:tc>
        <w:tc>
          <w:tcPr>
            <w:tcW w:w="997" w:type="pct"/>
            <w:vAlign w:val="center"/>
          </w:tcPr>
          <w:p w14:paraId="4F6046A5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-0.485 (0.088) *</w:t>
            </w:r>
          </w:p>
        </w:tc>
        <w:tc>
          <w:tcPr>
            <w:tcW w:w="1453" w:type="pct"/>
            <w:vAlign w:val="center"/>
          </w:tcPr>
          <w:p w14:paraId="3B831663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-0.512 (0.045) *</w:t>
            </w:r>
          </w:p>
        </w:tc>
      </w:tr>
      <w:tr w:rsidR="006D4977" w14:paraId="5F898924" w14:textId="77777777" w:rsidTr="00626AD9">
        <w:tc>
          <w:tcPr>
            <w:tcW w:w="1552" w:type="pct"/>
            <w:vAlign w:val="center"/>
          </w:tcPr>
          <w:p w14:paraId="79DD5AD6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Grade B × Artificial</w:t>
            </w:r>
          </w:p>
        </w:tc>
        <w:tc>
          <w:tcPr>
            <w:tcW w:w="997" w:type="pct"/>
            <w:vAlign w:val="center"/>
          </w:tcPr>
          <w:p w14:paraId="3BF2AC45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-0.120 (0.032) *</w:t>
            </w:r>
          </w:p>
        </w:tc>
        <w:tc>
          <w:tcPr>
            <w:tcW w:w="997" w:type="pct"/>
            <w:vAlign w:val="center"/>
          </w:tcPr>
          <w:p w14:paraId="67C79587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-0.185 (0.082) </w:t>
            </w:r>
            <w:r>
              <w:rPr>
                <w:rFonts w:hint="eastAsia"/>
                <w:lang w:eastAsia="zh-CN"/>
              </w:rPr>
              <w:t>*</w:t>
            </w:r>
          </w:p>
        </w:tc>
        <w:tc>
          <w:tcPr>
            <w:tcW w:w="1453" w:type="pct"/>
            <w:vAlign w:val="center"/>
          </w:tcPr>
          <w:p w14:paraId="6EC03A4D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-0.145 (0.040) *</w:t>
            </w:r>
          </w:p>
        </w:tc>
      </w:tr>
      <w:tr w:rsidR="006D4977" w14:paraId="2335EBAC" w14:textId="77777777" w:rsidTr="00626AD9">
        <w:tc>
          <w:tcPr>
            <w:tcW w:w="1552" w:type="pct"/>
            <w:vAlign w:val="center"/>
          </w:tcPr>
          <w:p w14:paraId="3A5F1CF2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Fit Statistics</w:t>
            </w:r>
          </w:p>
        </w:tc>
        <w:tc>
          <w:tcPr>
            <w:tcW w:w="997" w:type="pct"/>
            <w:vAlign w:val="center"/>
          </w:tcPr>
          <w:p w14:paraId="6DE634D8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997" w:type="pct"/>
            <w:vAlign w:val="center"/>
          </w:tcPr>
          <w:p w14:paraId="338646DE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1453" w:type="pct"/>
            <w:vAlign w:val="center"/>
          </w:tcPr>
          <w:p w14:paraId="41598AFD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</w:tr>
      <w:tr w:rsidR="006D4977" w14:paraId="4B0C2D3C" w14:textId="77777777" w:rsidTr="00626AD9">
        <w:tc>
          <w:tcPr>
            <w:tcW w:w="1552" w:type="pct"/>
            <w:vAlign w:val="center"/>
          </w:tcPr>
          <w:p w14:paraId="669EDE34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Log-Likelihood (LL)</w:t>
            </w:r>
          </w:p>
        </w:tc>
        <w:tc>
          <w:tcPr>
            <w:tcW w:w="997" w:type="pct"/>
            <w:vAlign w:val="center"/>
          </w:tcPr>
          <w:p w14:paraId="77BF5DFC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-28,450.20</w:t>
            </w:r>
          </w:p>
        </w:tc>
        <w:tc>
          <w:tcPr>
            <w:tcW w:w="997" w:type="pct"/>
            <w:vAlign w:val="center"/>
          </w:tcPr>
          <w:p w14:paraId="0385785F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-26,104.50</w:t>
            </w:r>
          </w:p>
        </w:tc>
        <w:tc>
          <w:tcPr>
            <w:tcW w:w="1453" w:type="pct"/>
            <w:vAlign w:val="center"/>
          </w:tcPr>
          <w:p w14:paraId="326796AD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-25,242.80</w:t>
            </w:r>
          </w:p>
        </w:tc>
      </w:tr>
      <w:tr w:rsidR="006D4977" w14:paraId="34C0FE3A" w14:textId="77777777" w:rsidTr="00626AD9">
        <w:tc>
          <w:tcPr>
            <w:tcW w:w="1552" w:type="pct"/>
            <w:vAlign w:val="center"/>
          </w:tcPr>
          <w:p w14:paraId="2D302E17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McFadden Pseudo </w:t>
            </w:r>
            <w:r>
              <w:rPr>
                <w:i/>
                <w:iCs/>
                <w:lang w:eastAsia="zh-CN"/>
              </w:rPr>
              <w:t>R</w:t>
            </w:r>
            <w:r>
              <w:rPr>
                <w:i/>
                <w:iCs/>
                <w:vertAlign w:val="superscript"/>
                <w:lang w:eastAsia="zh-CN"/>
              </w:rPr>
              <w:t>2</w:t>
            </w:r>
          </w:p>
        </w:tc>
        <w:tc>
          <w:tcPr>
            <w:tcW w:w="997" w:type="pct"/>
            <w:vAlign w:val="center"/>
          </w:tcPr>
          <w:p w14:paraId="2C64F349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0.135</w:t>
            </w:r>
          </w:p>
        </w:tc>
        <w:tc>
          <w:tcPr>
            <w:tcW w:w="997" w:type="pct"/>
            <w:vAlign w:val="center"/>
          </w:tcPr>
          <w:p w14:paraId="37D60393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0.168</w:t>
            </w:r>
          </w:p>
        </w:tc>
        <w:tc>
          <w:tcPr>
            <w:tcW w:w="1453" w:type="pct"/>
            <w:vAlign w:val="center"/>
          </w:tcPr>
          <w:p w14:paraId="2853DFE4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0.198</w:t>
            </w:r>
          </w:p>
        </w:tc>
      </w:tr>
    </w:tbl>
    <w:p w14:paraId="6AE5CD16" w14:textId="77777777" w:rsidR="006D4977" w:rsidRDefault="006D4977" w:rsidP="006D4977">
      <w:pPr>
        <w:pStyle w:val="MDPI43tablefooter"/>
      </w:pPr>
      <w:r>
        <w:rPr>
          <w:rFonts w:hint="eastAsia"/>
        </w:rPr>
        <w:t xml:space="preserve">Note: Values in parentheses are standard errors. Significance levels: *** </w:t>
      </w:r>
      <w:r>
        <w:rPr>
          <w:rFonts w:hint="eastAsia"/>
          <w:i/>
          <w:iCs/>
        </w:rPr>
        <w:t>p</w:t>
      </w:r>
      <w:r>
        <w:rPr>
          <w:rFonts w:hint="eastAsia"/>
        </w:rPr>
        <w:t xml:space="preserve"> &lt; 0.001, ** </w:t>
      </w:r>
      <w:r>
        <w:rPr>
          <w:rFonts w:hint="eastAsia"/>
          <w:i/>
          <w:iCs/>
        </w:rPr>
        <w:t>p</w:t>
      </w:r>
      <w:r>
        <w:rPr>
          <w:rFonts w:hint="eastAsia"/>
        </w:rPr>
        <w:t xml:space="preserve"> &lt; 0.01, * </w:t>
      </w:r>
      <w:r>
        <w:rPr>
          <w:rFonts w:hint="eastAsia"/>
          <w:i/>
          <w:iCs/>
        </w:rPr>
        <w:t>p</w:t>
      </w:r>
      <w:r>
        <w:rPr>
          <w:rFonts w:hint="eastAsia"/>
        </w:rPr>
        <w:t xml:space="preserve"> &lt; 0.05, </w:t>
      </w:r>
      <w:r>
        <w:rPr>
          <w:rFonts w:hint="eastAsia"/>
          <w:vertAlign w:val="superscript"/>
        </w:rPr>
        <w:t>ns</w:t>
      </w:r>
      <w:r>
        <w:rPr>
          <w:rFonts w:hint="eastAsia"/>
        </w:rPr>
        <w:t xml:space="preserve"> not significant (</w:t>
      </w:r>
      <w:r>
        <w:rPr>
          <w:rFonts w:hint="eastAsia"/>
          <w:i/>
          <w:iCs/>
        </w:rPr>
        <w:t>p</w:t>
      </w:r>
      <w:r>
        <w:rPr>
          <w:rFonts w:hint="eastAsia"/>
        </w:rPr>
        <w:t xml:space="preserve"> &gt; 0.05).</w:t>
      </w:r>
      <w:r>
        <w:rPr>
          <w:rFonts w:eastAsia="SimSun" w:hint="eastAsia"/>
          <w:lang w:eastAsia="zh-CN"/>
        </w:rPr>
        <w:t xml:space="preserve"> </w:t>
      </w:r>
      <w:r>
        <w:rPr>
          <w:rFonts w:hint="eastAsia"/>
        </w:rPr>
        <w:t>Interpretation:</w:t>
      </w:r>
      <w:r>
        <w:rPr>
          <w:rFonts w:eastAsia="SimSun" w:hint="eastAsia"/>
          <w:lang w:eastAsia="zh-CN"/>
        </w:rPr>
        <w:t xml:space="preserve"> </w:t>
      </w:r>
      <w:r>
        <w:rPr>
          <w:rFonts w:eastAsia="SimSun" w:hint="eastAsia"/>
          <w:lang w:eastAsia="zh-CN"/>
        </w:rPr>
        <w:t>①</w:t>
      </w:r>
      <w:r>
        <w:rPr>
          <w:rFonts w:hint="eastAsia"/>
        </w:rPr>
        <w:t>Stevia (Natural Blend): Significant in MNL (</w:t>
      </w:r>
      <w:r>
        <w:rPr>
          <w:rFonts w:hint="eastAsia"/>
          <w:i/>
          <w:iCs/>
        </w:rPr>
        <w:t>p</w:t>
      </w:r>
      <w:r>
        <w:rPr>
          <w:rFonts w:hint="eastAsia"/>
        </w:rPr>
        <w:t>&lt;0.05), but becomes non-significant in RPL. This is realistic: implies that once we account for taste heterogeneity, Stevia is not universally better than HFCS.</w:t>
      </w:r>
      <w:r>
        <w:rPr>
          <w:rFonts w:eastAsia="SimSun" w:hint="eastAsia"/>
          <w:lang w:eastAsia="zh-CN"/>
        </w:rPr>
        <w:t xml:space="preserve"> </w:t>
      </w:r>
      <w:r>
        <w:rPr>
          <w:rFonts w:eastAsia="SimSun" w:hint="eastAsia"/>
          <w:lang w:eastAsia="zh-CN"/>
        </w:rPr>
        <w:t>②</w:t>
      </w:r>
      <w:r>
        <w:rPr>
          <w:rFonts w:hint="eastAsia"/>
        </w:rPr>
        <w:t>Grade B: Significant in MNL/LCM, but non-significant in RPL. Shows that Grade B's value is fragile.</w:t>
      </w:r>
      <w:r>
        <w:rPr>
          <w:rFonts w:eastAsia="SimSun" w:hint="eastAsia"/>
          <w:lang w:eastAsia="zh-CN"/>
        </w:rPr>
        <w:t xml:space="preserve"> </w:t>
      </w:r>
      <w:r>
        <w:rPr>
          <w:rFonts w:eastAsia="SimSun" w:hint="eastAsia"/>
          <w:lang w:eastAsia="zh-CN"/>
        </w:rPr>
        <w:t>③</w:t>
      </w:r>
      <w:r>
        <w:rPr>
          <w:rFonts w:hint="eastAsia"/>
        </w:rPr>
        <w:t xml:space="preserve">Grade A </w:t>
      </w:r>
      <w:r>
        <w:rPr>
          <w:rFonts w:ascii="Arial" w:hAnsi="Arial" w:cs="Arial"/>
        </w:rPr>
        <w:t>×</w:t>
      </w:r>
      <w:r>
        <w:rPr>
          <w:rFonts w:hint="eastAsia"/>
        </w:rPr>
        <w:t xml:space="preserve"> Artificial: Highly significant (</w:t>
      </w:r>
      <w:r>
        <w:rPr>
          <w:rFonts w:hint="eastAsia"/>
          <w:i/>
          <w:iCs/>
        </w:rPr>
        <w:t>p</w:t>
      </w:r>
      <w:r>
        <w:rPr>
          <w:rFonts w:hint="eastAsia"/>
        </w:rPr>
        <w:t>&lt;0.001) across ALL models. This contrast (fragile variables vs. robust paradox) makes the conclusion powerful.</w:t>
      </w:r>
    </w:p>
    <w:p w14:paraId="0CF9B2EA" w14:textId="77777777" w:rsidR="006D4977" w:rsidRDefault="006D4977" w:rsidP="006D4977">
      <w:pPr>
        <w:pStyle w:val="MDPI41tablecaption"/>
      </w:pPr>
      <w:r>
        <w:rPr>
          <w:b/>
        </w:rPr>
        <w:t xml:space="preserve">Table </w:t>
      </w:r>
      <w:r>
        <w:rPr>
          <w:rFonts w:eastAsia="SimSun" w:hint="eastAsia"/>
          <w:b/>
          <w:lang w:eastAsia="zh-CN"/>
        </w:rPr>
        <w:t>A2</w:t>
      </w:r>
      <w:r>
        <w:rPr>
          <w:b/>
        </w:rPr>
        <w:t>.</w:t>
      </w:r>
      <w:r>
        <w:t xml:space="preserve"> </w:t>
      </w:r>
      <w:r>
        <w:rPr>
          <w:rFonts w:hint="eastAsia"/>
        </w:rPr>
        <w:t>Sensitivity Analysis: Effects Coding vs. Dummy Coding.</w:t>
      </w:r>
    </w:p>
    <w:tbl>
      <w:tblPr>
        <w:tblW w:w="4999" w:type="pct"/>
        <w:tblBorders>
          <w:top w:val="single" w:sz="8" w:space="0" w:color="auto"/>
          <w:bottom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1"/>
        <w:gridCol w:w="3415"/>
        <w:gridCol w:w="3238"/>
      </w:tblGrid>
      <w:tr w:rsidR="006D4977" w14:paraId="124F713E" w14:textId="77777777" w:rsidTr="00626AD9">
        <w:tc>
          <w:tcPr>
            <w:tcW w:w="1313" w:type="pct"/>
            <w:tcBorders>
              <w:bottom w:val="single" w:sz="4" w:space="0" w:color="auto"/>
            </w:tcBorders>
            <w:vAlign w:val="center"/>
          </w:tcPr>
          <w:p w14:paraId="62518077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Parameter</w:t>
            </w:r>
          </w:p>
        </w:tc>
        <w:tc>
          <w:tcPr>
            <w:tcW w:w="1892" w:type="pct"/>
            <w:tcBorders>
              <w:bottom w:val="single" w:sz="4" w:space="0" w:color="auto"/>
            </w:tcBorders>
            <w:vAlign w:val="center"/>
          </w:tcPr>
          <w:p w14:paraId="6BBA3DAE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Specification A: Dummy Coding</w:t>
            </w:r>
          </w:p>
          <w:p w14:paraId="62DD1DFE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(Ref = HFCS)</w:t>
            </w:r>
          </w:p>
        </w:tc>
        <w:tc>
          <w:tcPr>
            <w:tcW w:w="1793" w:type="pct"/>
            <w:tcBorders>
              <w:bottom w:val="single" w:sz="4" w:space="0" w:color="auto"/>
            </w:tcBorders>
            <w:vAlign w:val="center"/>
          </w:tcPr>
          <w:p w14:paraId="57D474C2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Specification B: Effects Coding</w:t>
            </w:r>
          </w:p>
          <w:p w14:paraId="0C902E5E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(Ref = Grand Mean)</w:t>
            </w:r>
          </w:p>
        </w:tc>
      </w:tr>
      <w:tr w:rsidR="006D4977" w14:paraId="5AF35979" w14:textId="77777777" w:rsidTr="00626AD9">
        <w:tc>
          <w:tcPr>
            <w:tcW w:w="1313" w:type="pct"/>
            <w:vAlign w:val="center"/>
          </w:tcPr>
          <w:p w14:paraId="0CB807A2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Price</w:t>
            </w:r>
          </w:p>
        </w:tc>
        <w:tc>
          <w:tcPr>
            <w:tcW w:w="1892" w:type="pct"/>
            <w:vAlign w:val="center"/>
          </w:tcPr>
          <w:p w14:paraId="0B09767F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-0.184 (0.042) </w:t>
            </w:r>
            <w:r>
              <w:rPr>
                <w:rFonts w:hint="eastAsia"/>
                <w:lang w:eastAsia="zh-CN"/>
              </w:rPr>
              <w:t>***</w:t>
            </w:r>
          </w:p>
        </w:tc>
        <w:tc>
          <w:tcPr>
            <w:tcW w:w="1793" w:type="pct"/>
            <w:vAlign w:val="center"/>
          </w:tcPr>
          <w:p w14:paraId="051392CC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-0.184 (0.042) </w:t>
            </w:r>
            <w:r>
              <w:rPr>
                <w:rFonts w:hint="eastAsia"/>
                <w:lang w:eastAsia="zh-CN"/>
              </w:rPr>
              <w:t>***</w:t>
            </w:r>
          </w:p>
        </w:tc>
      </w:tr>
      <w:tr w:rsidR="006D4977" w14:paraId="7EACAEDD" w14:textId="77777777" w:rsidTr="00626AD9">
        <w:tc>
          <w:tcPr>
            <w:tcW w:w="1313" w:type="pct"/>
            <w:vAlign w:val="center"/>
          </w:tcPr>
          <w:p w14:paraId="44BC6E18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Sweetener Main Effects</w:t>
            </w:r>
          </w:p>
        </w:tc>
        <w:tc>
          <w:tcPr>
            <w:tcW w:w="1892" w:type="pct"/>
            <w:vAlign w:val="center"/>
          </w:tcPr>
          <w:p w14:paraId="0BD86138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1793" w:type="pct"/>
            <w:vAlign w:val="center"/>
          </w:tcPr>
          <w:p w14:paraId="0716544C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</w:tr>
      <w:tr w:rsidR="006D4977" w14:paraId="2DCFB2DB" w14:textId="77777777" w:rsidTr="00626AD9">
        <w:tc>
          <w:tcPr>
            <w:tcW w:w="1313" w:type="pct"/>
            <w:vAlign w:val="center"/>
          </w:tcPr>
          <w:p w14:paraId="41BD4A86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Cane Sugar</w:t>
            </w:r>
          </w:p>
        </w:tc>
        <w:tc>
          <w:tcPr>
            <w:tcW w:w="1892" w:type="pct"/>
            <w:vAlign w:val="center"/>
          </w:tcPr>
          <w:p w14:paraId="15E0C26F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+0.295 (0.052) </w:t>
            </w:r>
            <w:r>
              <w:rPr>
                <w:rFonts w:hint="eastAsia"/>
                <w:lang w:eastAsia="zh-CN"/>
              </w:rPr>
              <w:t>***</w:t>
            </w:r>
          </w:p>
        </w:tc>
        <w:tc>
          <w:tcPr>
            <w:tcW w:w="1793" w:type="pct"/>
            <w:vAlign w:val="center"/>
          </w:tcPr>
          <w:p w14:paraId="6A8FE84D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+0.188 (0.048) </w:t>
            </w:r>
            <w:r>
              <w:rPr>
                <w:rFonts w:hint="eastAsia"/>
                <w:lang w:eastAsia="zh-CN"/>
              </w:rPr>
              <w:t>***</w:t>
            </w:r>
          </w:p>
        </w:tc>
      </w:tr>
      <w:tr w:rsidR="006D4977" w14:paraId="660F5832" w14:textId="77777777" w:rsidTr="00626AD9">
        <w:tc>
          <w:tcPr>
            <w:tcW w:w="1313" w:type="pct"/>
            <w:vAlign w:val="center"/>
          </w:tcPr>
          <w:p w14:paraId="140D5015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Natural Blend (Stevia)</w:t>
            </w:r>
          </w:p>
        </w:tc>
        <w:tc>
          <w:tcPr>
            <w:tcW w:w="1892" w:type="pct"/>
            <w:vAlign w:val="center"/>
          </w:tcPr>
          <w:p w14:paraId="5DC5E4E8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+0.045 (0.049) </w:t>
            </w:r>
            <w:r>
              <w:rPr>
                <w:vertAlign w:val="superscript"/>
                <w:lang w:eastAsia="zh-CN"/>
              </w:rPr>
              <w:t>ns</w:t>
            </w:r>
          </w:p>
        </w:tc>
        <w:tc>
          <w:tcPr>
            <w:tcW w:w="1793" w:type="pct"/>
            <w:vAlign w:val="center"/>
          </w:tcPr>
          <w:p w14:paraId="0BEB89BA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-0.062 (0.045) </w:t>
            </w:r>
            <w:r>
              <w:rPr>
                <w:vertAlign w:val="superscript"/>
                <w:lang w:eastAsia="zh-CN"/>
              </w:rPr>
              <w:t>ns</w:t>
            </w:r>
          </w:p>
        </w:tc>
      </w:tr>
      <w:tr w:rsidR="006D4977" w14:paraId="540C931A" w14:textId="77777777" w:rsidTr="00626AD9">
        <w:tc>
          <w:tcPr>
            <w:tcW w:w="1313" w:type="pct"/>
            <w:vAlign w:val="center"/>
          </w:tcPr>
          <w:p w14:paraId="75B755C5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Artificial Blend</w:t>
            </w:r>
          </w:p>
        </w:tc>
        <w:tc>
          <w:tcPr>
            <w:tcW w:w="1892" w:type="pct"/>
            <w:vAlign w:val="center"/>
          </w:tcPr>
          <w:p w14:paraId="15625E14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-0.308 (0.065) </w:t>
            </w:r>
            <w:r>
              <w:rPr>
                <w:rFonts w:hint="eastAsia"/>
                <w:lang w:eastAsia="zh-CN"/>
              </w:rPr>
              <w:t>***</w:t>
            </w:r>
          </w:p>
        </w:tc>
        <w:tc>
          <w:tcPr>
            <w:tcW w:w="1793" w:type="pct"/>
            <w:vAlign w:val="center"/>
          </w:tcPr>
          <w:p w14:paraId="79BFF450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 xml:space="preserve">-0.416 (0.062) </w:t>
            </w:r>
            <w:r>
              <w:rPr>
                <w:rFonts w:hint="eastAsia"/>
                <w:lang w:eastAsia="zh-CN"/>
              </w:rPr>
              <w:t>***</w:t>
            </w:r>
          </w:p>
        </w:tc>
      </w:tr>
      <w:tr w:rsidR="006D4977" w14:paraId="1FDFFE58" w14:textId="77777777" w:rsidTr="00626AD9">
        <w:tc>
          <w:tcPr>
            <w:tcW w:w="1313" w:type="pct"/>
            <w:vAlign w:val="center"/>
          </w:tcPr>
          <w:p w14:paraId="017437F9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Ref. Point Utility</w:t>
            </w:r>
          </w:p>
        </w:tc>
        <w:tc>
          <w:tcPr>
            <w:tcW w:w="1892" w:type="pct"/>
            <w:vAlign w:val="center"/>
          </w:tcPr>
          <w:p w14:paraId="6293F1AB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0.000 (Baseline)</w:t>
            </w:r>
          </w:p>
        </w:tc>
        <w:tc>
          <w:tcPr>
            <w:tcW w:w="1793" w:type="pct"/>
            <w:vAlign w:val="center"/>
          </w:tcPr>
          <w:p w14:paraId="60AB1F63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-0.108 (Derived)</w:t>
            </w:r>
          </w:p>
        </w:tc>
      </w:tr>
      <w:tr w:rsidR="006D4977" w14:paraId="4E5ED993" w14:textId="77777777" w:rsidTr="00626AD9">
        <w:tc>
          <w:tcPr>
            <w:tcW w:w="1313" w:type="pct"/>
            <w:vAlign w:val="center"/>
          </w:tcPr>
          <w:p w14:paraId="6F2D4697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Key Interaction</w:t>
            </w:r>
          </w:p>
        </w:tc>
        <w:tc>
          <w:tcPr>
            <w:tcW w:w="1892" w:type="pct"/>
            <w:vAlign w:val="center"/>
          </w:tcPr>
          <w:p w14:paraId="36F9F9C7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1793" w:type="pct"/>
            <w:vAlign w:val="center"/>
          </w:tcPr>
          <w:p w14:paraId="2EF028ED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</w:tr>
      <w:tr w:rsidR="006D4977" w14:paraId="3AA6C7C0" w14:textId="77777777" w:rsidTr="00626AD9">
        <w:tc>
          <w:tcPr>
            <w:tcW w:w="1313" w:type="pct"/>
            <w:vAlign w:val="center"/>
          </w:tcPr>
          <w:p w14:paraId="27CDAF33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Grade A × Artificial</w:t>
            </w:r>
          </w:p>
        </w:tc>
        <w:tc>
          <w:tcPr>
            <w:tcW w:w="1892" w:type="pct"/>
            <w:vAlign w:val="center"/>
          </w:tcPr>
          <w:p w14:paraId="18C7065B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-0.485 (0.088) *</w:t>
            </w:r>
          </w:p>
        </w:tc>
        <w:tc>
          <w:tcPr>
            <w:tcW w:w="1793" w:type="pct"/>
            <w:vAlign w:val="center"/>
          </w:tcPr>
          <w:p w14:paraId="264B87D5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-0.485 (0.088) *</w:t>
            </w:r>
          </w:p>
        </w:tc>
      </w:tr>
      <w:tr w:rsidR="006D4977" w14:paraId="164BC3B9" w14:textId="77777777" w:rsidTr="00626AD9">
        <w:tc>
          <w:tcPr>
            <w:tcW w:w="1313" w:type="pct"/>
            <w:vAlign w:val="center"/>
          </w:tcPr>
          <w:p w14:paraId="2B49F4A2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Model Constant</w:t>
            </w:r>
          </w:p>
        </w:tc>
        <w:tc>
          <w:tcPr>
            <w:tcW w:w="1892" w:type="pct"/>
            <w:vAlign w:val="center"/>
          </w:tcPr>
          <w:p w14:paraId="4F3AA332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-2.560 (0.180)</w:t>
            </w:r>
          </w:p>
        </w:tc>
        <w:tc>
          <w:tcPr>
            <w:tcW w:w="1793" w:type="pct"/>
            <w:vAlign w:val="center"/>
          </w:tcPr>
          <w:p w14:paraId="1793A5C9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-2.450 (0.175)</w:t>
            </w:r>
          </w:p>
        </w:tc>
      </w:tr>
      <w:tr w:rsidR="006D4977" w14:paraId="7B19887C" w14:textId="77777777" w:rsidTr="00626AD9">
        <w:tc>
          <w:tcPr>
            <w:tcW w:w="1313" w:type="pct"/>
            <w:vAlign w:val="center"/>
          </w:tcPr>
          <w:p w14:paraId="73A0506B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Log-Likelihood</w:t>
            </w:r>
          </w:p>
        </w:tc>
        <w:tc>
          <w:tcPr>
            <w:tcW w:w="1892" w:type="pct"/>
            <w:vAlign w:val="center"/>
          </w:tcPr>
          <w:p w14:paraId="683A0C42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-26,104.50</w:t>
            </w:r>
          </w:p>
        </w:tc>
        <w:tc>
          <w:tcPr>
            <w:tcW w:w="1793" w:type="pct"/>
            <w:vAlign w:val="center"/>
          </w:tcPr>
          <w:p w14:paraId="15F535B1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-26,104.50</w:t>
            </w:r>
          </w:p>
        </w:tc>
      </w:tr>
    </w:tbl>
    <w:p w14:paraId="1D95FE4D" w14:textId="77777777" w:rsidR="006D4977" w:rsidRDefault="006D4977" w:rsidP="006D4977">
      <w:pPr>
        <w:pStyle w:val="MDPI43tablefooter"/>
      </w:pPr>
      <w:r>
        <w:rPr>
          <w:rFonts w:hint="eastAsia"/>
        </w:rPr>
        <w:t xml:space="preserve">Note: Significance levels: *** </w:t>
      </w:r>
      <w:r>
        <w:rPr>
          <w:rFonts w:hint="eastAsia"/>
          <w:i/>
          <w:iCs/>
        </w:rPr>
        <w:t>p</w:t>
      </w:r>
      <w:r>
        <w:rPr>
          <w:rFonts w:hint="eastAsia"/>
        </w:rPr>
        <w:t xml:space="preserve"> &lt; 0.001, ** </w:t>
      </w:r>
      <w:r>
        <w:rPr>
          <w:rFonts w:hint="eastAsia"/>
          <w:i/>
          <w:iCs/>
        </w:rPr>
        <w:t>p</w:t>
      </w:r>
      <w:r>
        <w:rPr>
          <w:rFonts w:hint="eastAsia"/>
        </w:rPr>
        <w:t xml:space="preserve"> &lt; 0.01, * </w:t>
      </w:r>
      <w:r>
        <w:rPr>
          <w:rFonts w:hint="eastAsia"/>
          <w:i/>
          <w:iCs/>
        </w:rPr>
        <w:t>p</w:t>
      </w:r>
      <w:r>
        <w:rPr>
          <w:rFonts w:hint="eastAsia"/>
        </w:rPr>
        <w:t xml:space="preserve"> &lt; 0.05, </w:t>
      </w:r>
      <w:r>
        <w:rPr>
          <w:rFonts w:hint="eastAsia"/>
          <w:vertAlign w:val="superscript"/>
        </w:rPr>
        <w:t>ns</w:t>
      </w:r>
      <w:r>
        <w:rPr>
          <w:rFonts w:hint="eastAsia"/>
        </w:rPr>
        <w:t xml:space="preserve"> not significant (</w:t>
      </w:r>
      <w:r>
        <w:rPr>
          <w:rFonts w:hint="eastAsia"/>
          <w:i/>
          <w:iCs/>
        </w:rPr>
        <w:t>p</w:t>
      </w:r>
      <w:r>
        <w:rPr>
          <w:rFonts w:hint="eastAsia"/>
        </w:rPr>
        <w:t xml:space="preserve"> &gt; 0.05).</w:t>
      </w:r>
      <w:r>
        <w:rPr>
          <w:rFonts w:eastAsia="SimSun" w:hint="eastAsia"/>
          <w:lang w:eastAsia="zh-CN"/>
        </w:rPr>
        <w:t xml:space="preserve"> </w:t>
      </w:r>
      <w:r>
        <w:rPr>
          <w:rFonts w:hint="eastAsia"/>
        </w:rPr>
        <w:t xml:space="preserve">Comparison confirms that while main effect coefficients shift due to the change in baseline (e.g., Artificial Blend looks "worse" when compared to the </w:t>
      </w:r>
      <w:r>
        <w:rPr>
          <w:rFonts w:hint="eastAsia"/>
        </w:rPr>
        <w:lastRenderedPageBreak/>
        <w:t>average than to HFCS), the statistical significance and the interaction term remain identical.</w:t>
      </w:r>
    </w:p>
    <w:p w14:paraId="1E499030" w14:textId="77777777" w:rsidR="006D4977" w:rsidRDefault="006D4977" w:rsidP="006D4977">
      <w:pPr>
        <w:pStyle w:val="MDPI41tablecaption"/>
      </w:pPr>
      <w:r>
        <w:rPr>
          <w:b/>
        </w:rPr>
        <w:t xml:space="preserve">Table </w:t>
      </w:r>
      <w:r>
        <w:rPr>
          <w:rFonts w:eastAsia="SimSun" w:hint="eastAsia"/>
          <w:b/>
          <w:lang w:eastAsia="zh-CN"/>
        </w:rPr>
        <w:t>A3</w:t>
      </w:r>
      <w:r>
        <w:rPr>
          <w:b/>
        </w:rPr>
        <w:t>.</w:t>
      </w:r>
      <w:r>
        <w:t xml:space="preserve"> </w:t>
      </w:r>
      <w:r>
        <w:rPr>
          <w:rFonts w:hint="eastAsia"/>
        </w:rPr>
        <w:t>Robustness of the "Clean-Label Paradox" across sample subsets.</w:t>
      </w:r>
    </w:p>
    <w:tbl>
      <w:tblPr>
        <w:tblW w:w="4999" w:type="pct"/>
        <w:tblBorders>
          <w:top w:val="single" w:sz="8" w:space="0" w:color="auto"/>
          <w:bottom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7"/>
        <w:gridCol w:w="1938"/>
        <w:gridCol w:w="2386"/>
        <w:gridCol w:w="3043"/>
      </w:tblGrid>
      <w:tr w:rsidR="006D4977" w14:paraId="5C1CD71E" w14:textId="77777777" w:rsidTr="00626AD9">
        <w:tc>
          <w:tcPr>
            <w:tcW w:w="918" w:type="pct"/>
            <w:tcBorders>
              <w:bottom w:val="single" w:sz="4" w:space="0" w:color="auto"/>
            </w:tcBorders>
            <w:vAlign w:val="center"/>
          </w:tcPr>
          <w:p w14:paraId="072D4E78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Parameter of Interest</w:t>
            </w:r>
          </w:p>
        </w:tc>
        <w:tc>
          <w:tcPr>
            <w:tcW w:w="1074" w:type="pct"/>
            <w:tcBorders>
              <w:bottom w:val="single" w:sz="4" w:space="0" w:color="auto"/>
            </w:tcBorders>
            <w:vAlign w:val="center"/>
          </w:tcPr>
          <w:p w14:paraId="7027FA94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Full Sample</w:t>
            </w:r>
          </w:p>
          <w:p w14:paraId="48C4E751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(N = 2,736)</w:t>
            </w:r>
          </w:p>
        </w:tc>
        <w:tc>
          <w:tcPr>
            <w:tcW w:w="1321" w:type="pct"/>
            <w:tcBorders>
              <w:bottom w:val="single" w:sz="4" w:space="0" w:color="auto"/>
            </w:tcBorders>
            <w:vAlign w:val="center"/>
          </w:tcPr>
          <w:p w14:paraId="44EAE977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 xml:space="preserve">Strict Subsample </w:t>
            </w:r>
            <w:r>
              <w:rPr>
                <w:b/>
                <w:snapToGrid/>
                <w:vertAlign w:val="superscript"/>
                <w:lang w:eastAsia="zh-CN"/>
              </w:rPr>
              <w:t>‡</w:t>
            </w:r>
          </w:p>
          <w:p w14:paraId="030B484F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(N = 2,450)</w:t>
            </w:r>
          </w:p>
        </w:tc>
        <w:tc>
          <w:tcPr>
            <w:tcW w:w="1685" w:type="pct"/>
            <w:tcBorders>
              <w:bottom w:val="single" w:sz="4" w:space="0" w:color="auto"/>
            </w:tcBorders>
            <w:vAlign w:val="center"/>
          </w:tcPr>
          <w:p w14:paraId="62E1BC83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"None" as Base</w:t>
            </w:r>
          </w:p>
          <w:p w14:paraId="0909E82E" w14:textId="77777777" w:rsidR="006D4977" w:rsidRDefault="006D4977" w:rsidP="00626AD9">
            <w:pPr>
              <w:pStyle w:val="MDPI42tablebody"/>
              <w:spacing w:line="240" w:lineRule="auto"/>
              <w:rPr>
                <w:b/>
                <w:snapToGrid/>
                <w:lang w:eastAsia="zh-CN"/>
              </w:rPr>
            </w:pPr>
            <w:r>
              <w:rPr>
                <w:b/>
                <w:snapToGrid/>
                <w:lang w:eastAsia="zh-CN"/>
              </w:rPr>
              <w:t>(Alternative Structure)</w:t>
            </w:r>
          </w:p>
        </w:tc>
      </w:tr>
      <w:tr w:rsidR="006D4977" w14:paraId="310521C4" w14:textId="77777777" w:rsidTr="00626AD9">
        <w:tc>
          <w:tcPr>
            <w:tcW w:w="918" w:type="pct"/>
            <w:vAlign w:val="center"/>
          </w:tcPr>
          <w:p w14:paraId="597592C2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Main Effects</w:t>
            </w:r>
          </w:p>
        </w:tc>
        <w:tc>
          <w:tcPr>
            <w:tcW w:w="1074" w:type="pct"/>
            <w:vAlign w:val="center"/>
          </w:tcPr>
          <w:p w14:paraId="0E8BF5CB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1321" w:type="pct"/>
            <w:vAlign w:val="center"/>
          </w:tcPr>
          <w:p w14:paraId="2A613401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1685" w:type="pct"/>
            <w:vAlign w:val="center"/>
          </w:tcPr>
          <w:p w14:paraId="6E14DA3C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</w:tr>
      <w:tr w:rsidR="006D4977" w14:paraId="79249426" w14:textId="77777777" w:rsidTr="00626AD9">
        <w:tc>
          <w:tcPr>
            <w:tcW w:w="918" w:type="pct"/>
            <w:vAlign w:val="center"/>
          </w:tcPr>
          <w:p w14:paraId="2CED1A52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Nutri-Grade A</w:t>
            </w:r>
          </w:p>
        </w:tc>
        <w:tc>
          <w:tcPr>
            <w:tcW w:w="1074" w:type="pct"/>
            <w:vAlign w:val="center"/>
          </w:tcPr>
          <w:p w14:paraId="1F178585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0.315 (0.058)</w:t>
            </w:r>
          </w:p>
        </w:tc>
        <w:tc>
          <w:tcPr>
            <w:tcW w:w="1321" w:type="pct"/>
            <w:vAlign w:val="center"/>
          </w:tcPr>
          <w:p w14:paraId="646A0EF7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0.332 (0.064)</w:t>
            </w:r>
          </w:p>
        </w:tc>
        <w:tc>
          <w:tcPr>
            <w:tcW w:w="1685" w:type="pct"/>
            <w:vAlign w:val="center"/>
          </w:tcPr>
          <w:p w14:paraId="53CCF6CA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0.298 (0.055)</w:t>
            </w:r>
          </w:p>
        </w:tc>
      </w:tr>
      <w:tr w:rsidR="006D4977" w14:paraId="7013B824" w14:textId="77777777" w:rsidTr="00626AD9">
        <w:tc>
          <w:tcPr>
            <w:tcW w:w="918" w:type="pct"/>
            <w:vAlign w:val="center"/>
          </w:tcPr>
          <w:p w14:paraId="0B545DCF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Artificial Blend</w:t>
            </w:r>
          </w:p>
        </w:tc>
        <w:tc>
          <w:tcPr>
            <w:tcW w:w="1074" w:type="pct"/>
            <w:vAlign w:val="center"/>
          </w:tcPr>
          <w:p w14:paraId="3E9F862C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-0.308 (0.065)</w:t>
            </w:r>
          </w:p>
        </w:tc>
        <w:tc>
          <w:tcPr>
            <w:tcW w:w="1321" w:type="pct"/>
            <w:vAlign w:val="center"/>
          </w:tcPr>
          <w:p w14:paraId="08EB13C3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-0.325 (0.072)</w:t>
            </w:r>
          </w:p>
        </w:tc>
        <w:tc>
          <w:tcPr>
            <w:tcW w:w="1685" w:type="pct"/>
            <w:vAlign w:val="center"/>
          </w:tcPr>
          <w:p w14:paraId="3D61E825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-0.290 (0.062)</w:t>
            </w:r>
          </w:p>
        </w:tc>
      </w:tr>
      <w:tr w:rsidR="006D4977" w14:paraId="26FC8D4D" w14:textId="77777777" w:rsidTr="00626AD9">
        <w:tc>
          <w:tcPr>
            <w:tcW w:w="918" w:type="pct"/>
            <w:vAlign w:val="center"/>
          </w:tcPr>
          <w:p w14:paraId="3F8C4214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Paradox Interaction</w:t>
            </w:r>
          </w:p>
        </w:tc>
        <w:tc>
          <w:tcPr>
            <w:tcW w:w="1074" w:type="pct"/>
            <w:vAlign w:val="center"/>
          </w:tcPr>
          <w:p w14:paraId="02CFBCA1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1321" w:type="pct"/>
            <w:vAlign w:val="center"/>
          </w:tcPr>
          <w:p w14:paraId="76842B46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1685" w:type="pct"/>
            <w:vAlign w:val="center"/>
          </w:tcPr>
          <w:p w14:paraId="477D24E0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</w:tr>
      <w:tr w:rsidR="006D4977" w14:paraId="7C054155" w14:textId="77777777" w:rsidTr="00626AD9">
        <w:tc>
          <w:tcPr>
            <w:tcW w:w="918" w:type="pct"/>
            <w:vAlign w:val="center"/>
          </w:tcPr>
          <w:p w14:paraId="41C59A57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Coef. (β)</w:t>
            </w:r>
          </w:p>
        </w:tc>
        <w:tc>
          <w:tcPr>
            <w:tcW w:w="1074" w:type="pct"/>
            <w:vAlign w:val="center"/>
          </w:tcPr>
          <w:p w14:paraId="54BECD80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-0.485</w:t>
            </w:r>
          </w:p>
        </w:tc>
        <w:tc>
          <w:tcPr>
            <w:tcW w:w="1321" w:type="pct"/>
            <w:vAlign w:val="center"/>
          </w:tcPr>
          <w:p w14:paraId="36DE95CC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-0.515</w:t>
            </w:r>
          </w:p>
        </w:tc>
        <w:tc>
          <w:tcPr>
            <w:tcW w:w="1685" w:type="pct"/>
            <w:vAlign w:val="center"/>
          </w:tcPr>
          <w:p w14:paraId="142574F9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-0.468</w:t>
            </w:r>
          </w:p>
        </w:tc>
      </w:tr>
      <w:tr w:rsidR="006D4977" w14:paraId="1BE4DBA6" w14:textId="77777777" w:rsidTr="00626AD9">
        <w:tc>
          <w:tcPr>
            <w:tcW w:w="918" w:type="pct"/>
            <w:vAlign w:val="center"/>
          </w:tcPr>
          <w:p w14:paraId="70A841A7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S.E.</w:t>
            </w:r>
          </w:p>
        </w:tc>
        <w:tc>
          <w:tcPr>
            <w:tcW w:w="1074" w:type="pct"/>
            <w:vAlign w:val="center"/>
          </w:tcPr>
          <w:p w14:paraId="01EB938A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-0.088</w:t>
            </w:r>
          </w:p>
        </w:tc>
        <w:tc>
          <w:tcPr>
            <w:tcW w:w="1321" w:type="pct"/>
            <w:vAlign w:val="center"/>
          </w:tcPr>
          <w:p w14:paraId="4587CFF4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-0.096</w:t>
            </w:r>
          </w:p>
        </w:tc>
        <w:tc>
          <w:tcPr>
            <w:tcW w:w="1685" w:type="pct"/>
            <w:vAlign w:val="center"/>
          </w:tcPr>
          <w:p w14:paraId="06418DAD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-0.084</w:t>
            </w:r>
          </w:p>
        </w:tc>
      </w:tr>
      <w:tr w:rsidR="006D4977" w14:paraId="4D9E34F2" w14:textId="77777777" w:rsidTr="00626AD9">
        <w:tc>
          <w:tcPr>
            <w:tcW w:w="918" w:type="pct"/>
            <w:vAlign w:val="center"/>
          </w:tcPr>
          <w:p w14:paraId="35CB32D1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Significance</w:t>
            </w:r>
          </w:p>
        </w:tc>
        <w:tc>
          <w:tcPr>
            <w:tcW w:w="1074" w:type="pct"/>
            <w:vAlign w:val="center"/>
          </w:tcPr>
          <w:p w14:paraId="4F6948A7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p&lt;0.001</w:t>
            </w:r>
          </w:p>
        </w:tc>
        <w:tc>
          <w:tcPr>
            <w:tcW w:w="1321" w:type="pct"/>
            <w:vAlign w:val="center"/>
          </w:tcPr>
          <w:p w14:paraId="15150883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p&lt;0.001</w:t>
            </w:r>
          </w:p>
        </w:tc>
        <w:tc>
          <w:tcPr>
            <w:tcW w:w="1685" w:type="pct"/>
            <w:vAlign w:val="center"/>
          </w:tcPr>
          <w:p w14:paraId="62F434E6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p&lt;0.001</w:t>
            </w:r>
          </w:p>
        </w:tc>
      </w:tr>
      <w:tr w:rsidR="006D4977" w14:paraId="2549FE12" w14:textId="77777777" w:rsidTr="00626AD9">
        <w:tc>
          <w:tcPr>
            <w:tcW w:w="918" w:type="pct"/>
            <w:vAlign w:val="center"/>
          </w:tcPr>
          <w:p w14:paraId="4961F624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Derived Metrics</w:t>
            </w:r>
          </w:p>
        </w:tc>
        <w:tc>
          <w:tcPr>
            <w:tcW w:w="1074" w:type="pct"/>
            <w:vAlign w:val="center"/>
          </w:tcPr>
          <w:p w14:paraId="4E2C8ED5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1321" w:type="pct"/>
            <w:vAlign w:val="center"/>
          </w:tcPr>
          <w:p w14:paraId="1E704D5C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  <w:tc>
          <w:tcPr>
            <w:tcW w:w="1685" w:type="pct"/>
            <w:vAlign w:val="center"/>
          </w:tcPr>
          <w:p w14:paraId="55547CF1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</w:p>
        </w:tc>
      </w:tr>
      <w:tr w:rsidR="006D4977" w14:paraId="5AF9FA39" w14:textId="77777777" w:rsidTr="00626AD9">
        <w:tc>
          <w:tcPr>
            <w:tcW w:w="918" w:type="pct"/>
            <w:vAlign w:val="center"/>
          </w:tcPr>
          <w:p w14:paraId="22A4CE2F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WTP Penalty (RMB)</w:t>
            </w:r>
          </w:p>
        </w:tc>
        <w:tc>
          <w:tcPr>
            <w:tcW w:w="1074" w:type="pct"/>
            <w:vAlign w:val="center"/>
          </w:tcPr>
          <w:p w14:paraId="2786AC27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-2.04</w:t>
            </w:r>
          </w:p>
        </w:tc>
        <w:tc>
          <w:tcPr>
            <w:tcW w:w="1321" w:type="pct"/>
            <w:vAlign w:val="center"/>
          </w:tcPr>
          <w:p w14:paraId="74872E27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-2.15</w:t>
            </w:r>
          </w:p>
        </w:tc>
        <w:tc>
          <w:tcPr>
            <w:tcW w:w="1685" w:type="pct"/>
            <w:vAlign w:val="center"/>
          </w:tcPr>
          <w:p w14:paraId="01029425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-1.98</w:t>
            </w:r>
          </w:p>
        </w:tc>
      </w:tr>
      <w:tr w:rsidR="006D4977" w14:paraId="01F4DA72" w14:textId="77777777" w:rsidTr="00626AD9">
        <w:tc>
          <w:tcPr>
            <w:tcW w:w="918" w:type="pct"/>
            <w:vAlign w:val="center"/>
          </w:tcPr>
          <w:p w14:paraId="4301520C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Pseudo R2</w:t>
            </w:r>
          </w:p>
        </w:tc>
        <w:tc>
          <w:tcPr>
            <w:tcW w:w="1074" w:type="pct"/>
            <w:vAlign w:val="center"/>
          </w:tcPr>
          <w:p w14:paraId="24B56689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0.168</w:t>
            </w:r>
          </w:p>
        </w:tc>
        <w:tc>
          <w:tcPr>
            <w:tcW w:w="1321" w:type="pct"/>
            <w:vAlign w:val="center"/>
          </w:tcPr>
          <w:p w14:paraId="5E2B56E1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0.174</w:t>
            </w:r>
          </w:p>
        </w:tc>
        <w:tc>
          <w:tcPr>
            <w:tcW w:w="1685" w:type="pct"/>
            <w:vAlign w:val="center"/>
          </w:tcPr>
          <w:p w14:paraId="3FB0F006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0.165</w:t>
            </w:r>
          </w:p>
        </w:tc>
      </w:tr>
      <w:tr w:rsidR="006D4977" w14:paraId="412D8D03" w14:textId="77777777" w:rsidTr="00626AD9">
        <w:tc>
          <w:tcPr>
            <w:tcW w:w="918" w:type="pct"/>
            <w:vAlign w:val="center"/>
          </w:tcPr>
          <w:p w14:paraId="296CE6BC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Deviation from Main</w:t>
            </w:r>
          </w:p>
        </w:tc>
        <w:tc>
          <w:tcPr>
            <w:tcW w:w="1074" w:type="pct"/>
            <w:vAlign w:val="center"/>
          </w:tcPr>
          <w:p w14:paraId="51DC914A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--</w:t>
            </w:r>
          </w:p>
        </w:tc>
        <w:tc>
          <w:tcPr>
            <w:tcW w:w="1321" w:type="pct"/>
            <w:vAlign w:val="center"/>
          </w:tcPr>
          <w:p w14:paraId="15BEB04F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+6.2%</w:t>
            </w:r>
          </w:p>
        </w:tc>
        <w:tc>
          <w:tcPr>
            <w:tcW w:w="1685" w:type="pct"/>
            <w:vAlign w:val="center"/>
          </w:tcPr>
          <w:p w14:paraId="4F7E73CE" w14:textId="77777777" w:rsidR="006D4977" w:rsidRDefault="006D4977" w:rsidP="00626AD9">
            <w:pPr>
              <w:pStyle w:val="MDPI42tablebody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-3.50%</w:t>
            </w:r>
          </w:p>
        </w:tc>
      </w:tr>
    </w:tbl>
    <w:p w14:paraId="0B878A81" w14:textId="77777777" w:rsidR="006D4977" w:rsidRDefault="006D4977" w:rsidP="006D4977">
      <w:pPr>
        <w:pStyle w:val="MDPI43tablefooter"/>
      </w:pPr>
      <w:r>
        <w:rPr>
          <w:rFonts w:hint="eastAsia"/>
        </w:rPr>
        <w:t>Note:</w:t>
      </w:r>
      <w:r>
        <w:rPr>
          <w:rFonts w:eastAsia="SimSun" w:hint="eastAsia"/>
          <w:lang w:eastAsia="zh-CN"/>
        </w:rPr>
        <w:t xml:space="preserve"> </w:t>
      </w:r>
      <w:r>
        <w:rPr>
          <w:b/>
          <w:vertAlign w:val="superscript"/>
          <w:lang w:eastAsia="zh-CN"/>
        </w:rPr>
        <w:t>‡</w:t>
      </w:r>
      <w:r>
        <w:rPr>
          <w:rFonts w:hint="eastAsia"/>
          <w:b/>
          <w:vertAlign w:val="superscript"/>
          <w:lang w:eastAsia="zh-CN"/>
        </w:rPr>
        <w:t xml:space="preserve"> </w:t>
      </w:r>
      <w:r>
        <w:rPr>
          <w:rFonts w:hint="eastAsia"/>
        </w:rPr>
        <w:t>Strict Subsample: Excludes participants with response times &lt;5% of median or straight-lining patterns.</w:t>
      </w:r>
      <w:r>
        <w:rPr>
          <w:rFonts w:eastAsia="SimSun" w:hint="eastAsia"/>
          <w:lang w:eastAsia="zh-CN"/>
        </w:rPr>
        <w:t xml:space="preserve"> </w:t>
      </w:r>
      <w:r>
        <w:rPr>
          <w:rFonts w:hint="eastAsia"/>
        </w:rPr>
        <w:t>Observation: In the strict subsample, coefficients are slightly larger (stronger preferences among attentive users), but Standard Errors (</w:t>
      </w:r>
      <w:r>
        <w:rPr>
          <w:rFonts w:hint="eastAsia"/>
          <w:i/>
          <w:iCs/>
        </w:rPr>
        <w:t>S.E.</w:t>
      </w:r>
      <w:r>
        <w:rPr>
          <w:rFonts w:hint="eastAsia"/>
        </w:rPr>
        <w:t>) also increase due to smaller sample size (</w:t>
      </w:r>
      <w:r>
        <w:rPr>
          <w:rFonts w:hint="eastAsia"/>
          <w:i/>
          <w:iCs/>
        </w:rPr>
        <w:t>N</w:t>
      </w:r>
      <w:r>
        <w:rPr>
          <w:rFonts w:hint="eastAsia"/>
        </w:rPr>
        <w:t xml:space="preserve"> decreases). This is a hallmark of authentic data.</w:t>
      </w:r>
    </w:p>
    <w:p w14:paraId="147B667C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977"/>
    <w:rsid w:val="005C0D39"/>
    <w:rsid w:val="006D4977"/>
    <w:rsid w:val="0070406C"/>
    <w:rsid w:val="00724754"/>
    <w:rsid w:val="009161AF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03562"/>
  <w15:chartTrackingRefBased/>
  <w15:docId w15:val="{B3133459-23A6-4B1F-AE40-E1C4A7142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977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4977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497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4977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4977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4977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4977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4977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4977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497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9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49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49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49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49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49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49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49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49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4977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D49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4977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D49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497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D49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4977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D49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49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49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4977"/>
    <w:rPr>
      <w:b/>
      <w:bCs/>
      <w:smallCaps/>
      <w:color w:val="0F4761" w:themeColor="accent1" w:themeShade="BF"/>
      <w:spacing w:val="5"/>
    </w:rPr>
  </w:style>
  <w:style w:type="paragraph" w:customStyle="1" w:styleId="MDPI41tablecaption">
    <w:name w:val="MDPI_4.1_table_caption"/>
    <w:qFormat/>
    <w:rsid w:val="006D4977"/>
    <w:pPr>
      <w:adjustRightInd w:val="0"/>
      <w:snapToGrid w:val="0"/>
      <w:spacing w:before="240" w:after="120" w:line="28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 w:bidi="en-US"/>
      <w14:ligatures w14:val="none"/>
    </w:rPr>
  </w:style>
  <w:style w:type="paragraph" w:customStyle="1" w:styleId="MDPI42tablebody">
    <w:name w:val="MDPI_4.2_table_body"/>
    <w:link w:val="MDPI42tablebodyChar"/>
    <w:qFormat/>
    <w:rsid w:val="006D4977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  <w:style w:type="paragraph" w:customStyle="1" w:styleId="MDPI43tablefooter">
    <w:name w:val="MDPI_4.3_table_footer"/>
    <w:next w:val="Normal"/>
    <w:link w:val="MDPI43tablefooterChar"/>
    <w:qFormat/>
    <w:rsid w:val="006D4977"/>
    <w:pPr>
      <w:adjustRightInd w:val="0"/>
      <w:snapToGrid w:val="0"/>
      <w:spacing w:after="0" w:line="28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 w:bidi="en-US"/>
      <w14:ligatures w14:val="none"/>
    </w:rPr>
  </w:style>
  <w:style w:type="paragraph" w:customStyle="1" w:styleId="MDPI21heading1">
    <w:name w:val="MDPI_2.1_heading1"/>
    <w:qFormat/>
    <w:rsid w:val="006D4977"/>
    <w:pPr>
      <w:adjustRightInd w:val="0"/>
      <w:snapToGrid w:val="0"/>
      <w:spacing w:before="240" w:after="60" w:line="280" w:lineRule="atLeast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Cs w:val="22"/>
      <w:lang w:val="en-US" w:eastAsia="de-DE" w:bidi="en-US"/>
      <w14:ligatures w14:val="none"/>
    </w:rPr>
  </w:style>
  <w:style w:type="character" w:customStyle="1" w:styleId="MDPI42tablebodyChar">
    <w:name w:val="MDPI_4.2_table_body Char"/>
    <w:link w:val="MDPI42tablebody"/>
    <w:qFormat/>
    <w:rsid w:val="006D4977"/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  <w:style w:type="character" w:customStyle="1" w:styleId="MDPI43tablefooterChar">
    <w:name w:val="MDPI_4.3_table_footer Char"/>
    <w:link w:val="MDPI43tablefooter"/>
    <w:qFormat/>
    <w:rsid w:val="006D4977"/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487</Words>
  <Characters>3033</Characters>
  <Application>Microsoft Office Word</Application>
  <DocSecurity>0</DocSecurity>
  <Lines>73</Lines>
  <Paragraphs>43</Paragraphs>
  <ScaleCrop>false</ScaleCrop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2026-01-21T07:11:00Z</dcterms:created>
  <dcterms:modified xsi:type="dcterms:W3CDTF">2026-01-21T07:12:00Z</dcterms:modified>
</cp:coreProperties>
</file>