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AA225" w14:textId="710529F3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45B1F">
        <w:rPr>
          <w:rFonts w:ascii="Times New Roman" w:hAnsi="Times New Roman" w:cs="Times New Roman"/>
          <w:b/>
          <w:bCs/>
          <w:sz w:val="24"/>
          <w:szCs w:val="24"/>
        </w:rPr>
        <w:t>Supplementary MethodsList of candidate predictor variables</w:t>
      </w:r>
    </w:p>
    <w:p w14:paraId="176B52C4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52DD35" w14:textId="3F202772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 xml:space="preserve">All candidate predictor variables were derived from standard preventive health examinations and questionnaire data. Variables were grouped </w:t>
      </w:r>
      <w:r>
        <w:rPr>
          <w:rFonts w:ascii="Times New Roman" w:hAnsi="Times New Roman" w:cs="Times New Roman"/>
          <w:sz w:val="24"/>
          <w:szCs w:val="24"/>
        </w:rPr>
        <w:t>into the following clinical domains</w:t>
      </w:r>
      <w:r w:rsidRPr="00545B1F">
        <w:rPr>
          <w:rFonts w:ascii="Times New Roman" w:hAnsi="Times New Roman" w:cs="Times New Roman"/>
          <w:sz w:val="24"/>
          <w:szCs w:val="24"/>
        </w:rPr>
        <w:t>.</w:t>
      </w:r>
      <w:r w:rsidR="00FF283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F2834" w:rsidRPr="00FF2834">
        <w:rPr>
          <w:rFonts w:ascii="Times New Roman" w:hAnsi="Times New Roman" w:cs="Times New Roman"/>
          <w:sz w:val="24"/>
          <w:szCs w:val="24"/>
        </w:rPr>
        <w:t>Although medication use variables were available as candidate predictors, they were excluded from the final feature set used for model development because treatment status was incorporated into the outcome definition.</w:t>
      </w:r>
    </w:p>
    <w:p w14:paraId="04FCEFFB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8F2CB9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Demographic variables</w:t>
      </w:r>
    </w:p>
    <w:p w14:paraId="6DB3AC6A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Age, sex.</w:t>
      </w:r>
    </w:p>
    <w:p w14:paraId="20EA5E6A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34BE61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Anthropometric and body composition–related variables</w:t>
      </w:r>
    </w:p>
    <w:p w14:paraId="34788015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Body height, body weight, body mass index, waist circumference, body fat percentage.</w:t>
      </w:r>
    </w:p>
    <w:p w14:paraId="0DD66E3D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4FCE02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Hemodynamic variables</w:t>
      </w:r>
    </w:p>
    <w:p w14:paraId="6E9F173D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Systolic blood pressure, diastolic blood pressure, pulse rate.</w:t>
      </w:r>
    </w:p>
    <w:p w14:paraId="684B6A61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3D08BF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Glycemic and insulin-related variables</w:t>
      </w:r>
    </w:p>
    <w:p w14:paraId="30854461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Fasting plasma glucose, hemoglobin A1c, fasting immunoreactive insulin, homeostasis model assessment of insulin resistance (HOMA-IR), fasting insulin resistance index.</w:t>
      </w:r>
    </w:p>
    <w:p w14:paraId="039D1189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B67582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Lipid-related variables</w:t>
      </w:r>
    </w:p>
    <w:p w14:paraId="61C6D3AB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Triglycerides, total cholesterol, low-density lipoprotein cholesterol, high-density lipoprotein cholesterol, non–high-density lipoprotein cholesterol.</w:t>
      </w:r>
    </w:p>
    <w:p w14:paraId="23B31FFD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DEF0B9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Hematological variables</w:t>
      </w:r>
    </w:p>
    <w:p w14:paraId="68C5AB71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White blood cell count, red blood cell count, hemoglobin, hematocrit, platelet count, and other complete blood count parameters.</w:t>
      </w:r>
    </w:p>
    <w:p w14:paraId="024EFDC6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B6A41BD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Liver-related variables</w:t>
      </w:r>
    </w:p>
    <w:p w14:paraId="2668BAF8" w14:textId="153F311C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 xml:space="preserve">Aspartate aminotransferase, alanine aminotransferase, gamma-glutamyl transferase, alkaline phosphatase, total bilirubin, and </w:t>
      </w:r>
      <w:r>
        <w:rPr>
          <w:rFonts w:ascii="Times New Roman" w:hAnsi="Times New Roman" w:cs="Times New Roman"/>
          <w:sz w:val="24"/>
          <w:szCs w:val="24"/>
        </w:rPr>
        <w:t xml:space="preserve">the presence of fatty liver were </w:t>
      </w:r>
      <w:r w:rsidRPr="00545B1F">
        <w:rPr>
          <w:rFonts w:ascii="Times New Roman" w:hAnsi="Times New Roman" w:cs="Times New Roman"/>
          <w:sz w:val="24"/>
          <w:szCs w:val="24"/>
        </w:rPr>
        <w:t>assessed by abdominal ultrasonography.</w:t>
      </w:r>
    </w:p>
    <w:p w14:paraId="1AD97544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747BE2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Renal function markers</w:t>
      </w:r>
    </w:p>
    <w:p w14:paraId="46C16032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5B1F">
        <w:rPr>
          <w:rFonts w:ascii="Times New Roman" w:hAnsi="Times New Roman" w:cs="Times New Roman"/>
          <w:sz w:val="24"/>
          <w:szCs w:val="24"/>
        </w:rPr>
        <w:t>Serum creatinine,</w:t>
      </w:r>
      <w:proofErr w:type="gramEnd"/>
      <w:r w:rsidRPr="00545B1F">
        <w:rPr>
          <w:rFonts w:ascii="Times New Roman" w:hAnsi="Times New Roman" w:cs="Times New Roman"/>
          <w:sz w:val="24"/>
          <w:szCs w:val="24"/>
        </w:rPr>
        <w:t xml:space="preserve"> estimated glomerular filtration rate, uric acid.</w:t>
      </w:r>
    </w:p>
    <w:p w14:paraId="039448DE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BC12EF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Electrolytes</w:t>
      </w:r>
    </w:p>
    <w:p w14:paraId="4C2F540F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Sodium, potassium, chloride.</w:t>
      </w:r>
    </w:p>
    <w:p w14:paraId="4EB8993E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DBB88A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Lifestyle-related variables</w:t>
      </w:r>
    </w:p>
    <w:p w14:paraId="7A4357E0" w14:textId="271BBEEF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 xml:space="preserve">Current smoking status, alcohol consumption,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545B1F">
        <w:rPr>
          <w:rFonts w:ascii="Times New Roman" w:hAnsi="Times New Roman" w:cs="Times New Roman"/>
          <w:sz w:val="24"/>
          <w:szCs w:val="24"/>
        </w:rPr>
        <w:t>physical activity–related questionnaire variables.</w:t>
      </w:r>
    </w:p>
    <w:p w14:paraId="048F331A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A81057" w14:textId="77777777" w:rsidR="00545B1F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Medication use</w:t>
      </w:r>
    </w:p>
    <w:p w14:paraId="06BCA778" w14:textId="3E878D4E" w:rsidR="00256169" w:rsidRPr="00545B1F" w:rsidRDefault="00545B1F" w:rsidP="00545B1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45B1F">
        <w:rPr>
          <w:rFonts w:ascii="Times New Roman" w:hAnsi="Times New Roman" w:cs="Times New Roman"/>
          <w:sz w:val="24"/>
          <w:szCs w:val="24"/>
        </w:rPr>
        <w:t>Use of antihypertensive agents, antidiabetic medications, and lipid-lowering agents.</w:t>
      </w:r>
    </w:p>
    <w:sectPr w:rsidR="00256169" w:rsidRPr="00545B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04197" w14:textId="77777777" w:rsidR="00FF2834" w:rsidRDefault="00FF2834" w:rsidP="00FF2834">
      <w:r>
        <w:separator/>
      </w:r>
    </w:p>
  </w:endnote>
  <w:endnote w:type="continuationSeparator" w:id="0">
    <w:p w14:paraId="5B7621BE" w14:textId="77777777" w:rsidR="00FF2834" w:rsidRDefault="00FF2834" w:rsidP="00FF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23F20" w14:textId="77777777" w:rsidR="00FF2834" w:rsidRDefault="00FF2834" w:rsidP="00FF2834">
      <w:r>
        <w:separator/>
      </w:r>
    </w:p>
  </w:footnote>
  <w:footnote w:type="continuationSeparator" w:id="0">
    <w:p w14:paraId="3798CFCF" w14:textId="77777777" w:rsidR="00FF2834" w:rsidRDefault="00FF2834" w:rsidP="00FF2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1F"/>
    <w:rsid w:val="00256169"/>
    <w:rsid w:val="003E5890"/>
    <w:rsid w:val="00545B1F"/>
    <w:rsid w:val="009261ED"/>
    <w:rsid w:val="009E2B18"/>
    <w:rsid w:val="00D62A34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459C295"/>
  <w15:chartTrackingRefBased/>
  <w15:docId w15:val="{86DD3C6D-5EF2-4C88-871A-887F0E0CA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B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B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B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B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B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B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B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B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5B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5B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5B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5B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5B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5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B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5B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5B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5B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B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5B1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5B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5B1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5B1F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F283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F2834"/>
  </w:style>
  <w:style w:type="paragraph" w:styleId="ac">
    <w:name w:val="footer"/>
    <w:basedOn w:val="a"/>
    <w:link w:val="ad"/>
    <w:uiPriority w:val="99"/>
    <w:unhideWhenUsed/>
    <w:rsid w:val="00FF283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F2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健悟 護山</dc:creator>
  <cp:keywords/>
  <dc:description/>
  <cp:lastModifiedBy>護山 健悟</cp:lastModifiedBy>
  <cp:revision>3</cp:revision>
  <dcterms:created xsi:type="dcterms:W3CDTF">2025-12-13T08:39:00Z</dcterms:created>
  <dcterms:modified xsi:type="dcterms:W3CDTF">2026-01-02T03:54:00Z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f85b6839-c4c5-401f-b7c4-364037cf145f</vt:lpwstr>
  </property>
</Properties>
</file>