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7A55" w14:textId="559C8C01" w:rsidR="002D7A99" w:rsidRPr="00E84CB4" w:rsidRDefault="002D7A99" w:rsidP="002D7A99">
      <w:pPr>
        <w:rPr>
          <w:rFonts w:hint="eastAsia"/>
          <w:b/>
          <w:bCs/>
          <w:color w:val="000000" w:themeColor="text1"/>
        </w:rPr>
      </w:pPr>
      <w:r w:rsidRPr="00E84CB4">
        <w:rPr>
          <w:rFonts w:hint="eastAsia"/>
          <w:b/>
          <w:bCs/>
          <w:color w:val="000000" w:themeColor="text1"/>
        </w:rPr>
        <w:t>Tab</w:t>
      </w:r>
      <w:r w:rsidRPr="00E84CB4">
        <w:rPr>
          <w:b/>
          <w:bCs/>
          <w:color w:val="000000" w:themeColor="text1"/>
        </w:rPr>
        <w:t>le</w:t>
      </w:r>
      <w:r>
        <w:rPr>
          <w:b/>
          <w:bCs/>
          <w:color w:val="000000" w:themeColor="text1"/>
        </w:rPr>
        <w:t xml:space="preserve"> </w:t>
      </w:r>
      <w:r w:rsidR="00946718">
        <w:rPr>
          <w:b/>
          <w:bCs/>
          <w:color w:val="000000" w:themeColor="text1"/>
        </w:rPr>
        <w:t>5</w:t>
      </w:r>
      <w:r w:rsidR="000A207C" w:rsidRPr="000A207C">
        <w:rPr>
          <w:rFonts w:hint="eastAsia"/>
        </w:rPr>
        <w:t xml:space="preserve"> </w:t>
      </w:r>
      <w:r w:rsidR="000A207C" w:rsidRPr="000A207C">
        <w:rPr>
          <w:b/>
          <w:bCs/>
          <w:color w:val="000000" w:themeColor="text1"/>
        </w:rPr>
        <w:t>Risk of bias profiling for randomized controlled trials</w:t>
      </w:r>
    </w:p>
    <w:p w14:paraId="222FD4A4" w14:textId="77777777" w:rsidR="002D7A99" w:rsidRPr="00E84CB4" w:rsidRDefault="002D7A99" w:rsidP="002D7A99">
      <w:pPr>
        <w:rPr>
          <w:rFonts w:hint="eastAsia"/>
          <w:color w:val="000000" w:themeColor="text1"/>
        </w:rPr>
      </w:pPr>
    </w:p>
    <w:tbl>
      <w:tblPr>
        <w:tblStyle w:val="a3"/>
        <w:tblW w:w="9919" w:type="dxa"/>
        <w:tblLook w:val="04A0" w:firstRow="1" w:lastRow="0" w:firstColumn="1" w:lastColumn="0" w:noHBand="0" w:noVBand="1"/>
      </w:tblPr>
      <w:tblGrid>
        <w:gridCol w:w="1271"/>
        <w:gridCol w:w="1276"/>
        <w:gridCol w:w="1406"/>
        <w:gridCol w:w="1287"/>
        <w:gridCol w:w="1274"/>
        <w:gridCol w:w="1278"/>
        <w:gridCol w:w="1134"/>
        <w:gridCol w:w="993"/>
      </w:tblGrid>
      <w:tr w:rsidR="002D7A99" w:rsidRPr="00E84CB4" w14:paraId="53D342A5" w14:textId="77777777" w:rsidTr="00112FCE">
        <w:trPr>
          <w:trHeight w:val="472"/>
        </w:trPr>
        <w:tc>
          <w:tcPr>
            <w:tcW w:w="9919" w:type="dxa"/>
            <w:gridSpan w:val="8"/>
            <w:noWrap/>
          </w:tcPr>
          <w:p w14:paraId="1FFD4F2D" w14:textId="77777777" w:rsidR="002D7A99" w:rsidRPr="00E84CB4" w:rsidRDefault="002D7A99" w:rsidP="002A64F2">
            <w:pPr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b/>
                <w:bCs/>
                <w:color w:val="000000" w:themeColor="text1"/>
                <w:sz w:val="20"/>
                <w:szCs w:val="22"/>
              </w:rPr>
              <w:t>Methodological Assessment According to Six Domains of Potential Biases (Cochrane Risk of Bias Tool)</w:t>
            </w:r>
          </w:p>
        </w:tc>
      </w:tr>
      <w:tr w:rsidR="002D7A99" w:rsidRPr="00E84CB4" w14:paraId="681D7CEA" w14:textId="77777777" w:rsidTr="00112FCE">
        <w:trPr>
          <w:trHeight w:val="1360"/>
        </w:trPr>
        <w:tc>
          <w:tcPr>
            <w:tcW w:w="1271" w:type="dxa"/>
            <w:noWrap/>
            <w:hideMark/>
          </w:tcPr>
          <w:p w14:paraId="6AB090DA" w14:textId="35F4E5A1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RCT Study = </w:t>
            </w:r>
            <w:r w:rsidR="0064269F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1276" w:type="dxa"/>
            <w:hideMark/>
          </w:tcPr>
          <w:p w14:paraId="12B1DE07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Random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Sequence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Generation</w:t>
            </w:r>
          </w:p>
        </w:tc>
        <w:tc>
          <w:tcPr>
            <w:tcW w:w="1406" w:type="dxa"/>
            <w:hideMark/>
          </w:tcPr>
          <w:p w14:paraId="4C9F7C6C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Allocation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Concealment</w:t>
            </w:r>
          </w:p>
        </w:tc>
        <w:tc>
          <w:tcPr>
            <w:tcW w:w="1287" w:type="dxa"/>
            <w:hideMark/>
          </w:tcPr>
          <w:p w14:paraId="1D7518D2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Blinding of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Participants and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Personnel</w:t>
            </w:r>
          </w:p>
        </w:tc>
        <w:tc>
          <w:tcPr>
            <w:tcW w:w="1274" w:type="dxa"/>
            <w:hideMark/>
          </w:tcPr>
          <w:p w14:paraId="3046051C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Blinding of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Outcome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Assessment</w:t>
            </w:r>
          </w:p>
        </w:tc>
        <w:tc>
          <w:tcPr>
            <w:tcW w:w="1278" w:type="dxa"/>
            <w:hideMark/>
          </w:tcPr>
          <w:p w14:paraId="093ECE54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Incomplete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Outcome</w:t>
            </w: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br/>
              <w:t>Data</w:t>
            </w:r>
          </w:p>
        </w:tc>
        <w:tc>
          <w:tcPr>
            <w:tcW w:w="1134" w:type="dxa"/>
            <w:hideMark/>
          </w:tcPr>
          <w:p w14:paraId="497E271C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Selective Reporting</w:t>
            </w:r>
          </w:p>
        </w:tc>
        <w:tc>
          <w:tcPr>
            <w:tcW w:w="993" w:type="dxa"/>
            <w:hideMark/>
          </w:tcPr>
          <w:p w14:paraId="07AF38AA" w14:textId="77777777" w:rsidR="002D7A99" w:rsidRPr="00E84CB4" w:rsidRDefault="002D7A99" w:rsidP="002A64F2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Other Bias</w:t>
            </w:r>
          </w:p>
        </w:tc>
      </w:tr>
      <w:tr w:rsidR="00475F0F" w:rsidRPr="00E84CB4" w14:paraId="01ED3A14" w14:textId="77777777" w:rsidTr="00112FCE">
        <w:trPr>
          <w:trHeight w:val="320"/>
        </w:trPr>
        <w:tc>
          <w:tcPr>
            <w:tcW w:w="1271" w:type="dxa"/>
            <w:noWrap/>
            <w:hideMark/>
          </w:tcPr>
          <w:p w14:paraId="4E4E0ED3" w14:textId="1CC22E26" w:rsidR="00475F0F" w:rsidRPr="00E84CB4" w:rsidRDefault="00475F0F" w:rsidP="00475F0F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Banger 2021 </w:t>
            </w: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39B8B1F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  <w:hideMark/>
          </w:tcPr>
          <w:p w14:paraId="2134EF44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  <w:hideMark/>
          </w:tcPr>
          <w:p w14:paraId="06CBD6BA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  <w:hideMark/>
          </w:tcPr>
          <w:p w14:paraId="54F95AF0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  <w:hideMark/>
          </w:tcPr>
          <w:p w14:paraId="7D2279F5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  <w:hideMark/>
          </w:tcPr>
          <w:p w14:paraId="2EADA4DD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  <w:hideMark/>
          </w:tcPr>
          <w:p w14:paraId="569A8BAC" w14:textId="77777777" w:rsidR="00475F0F" w:rsidRPr="00E84CB4" w:rsidRDefault="00475F0F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475F0F" w:rsidRPr="00E84CB4" w14:paraId="33B2195F" w14:textId="77777777" w:rsidTr="00112FCE">
        <w:trPr>
          <w:trHeight w:val="320"/>
        </w:trPr>
        <w:tc>
          <w:tcPr>
            <w:tcW w:w="1271" w:type="dxa"/>
            <w:noWrap/>
            <w:hideMark/>
          </w:tcPr>
          <w:p w14:paraId="04D9B6A9" w14:textId="71B1427A" w:rsidR="00475F0F" w:rsidRPr="00E84CB4" w:rsidRDefault="00475F0F" w:rsidP="00475F0F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Bell 2016</w:t>
            </w:r>
          </w:p>
        </w:tc>
        <w:tc>
          <w:tcPr>
            <w:tcW w:w="1276" w:type="dxa"/>
            <w:noWrap/>
            <w:hideMark/>
          </w:tcPr>
          <w:p w14:paraId="2F411703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  <w:hideMark/>
          </w:tcPr>
          <w:p w14:paraId="6F1C9F9A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  <w:hideMark/>
          </w:tcPr>
          <w:p w14:paraId="3823B984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  <w:hideMark/>
          </w:tcPr>
          <w:p w14:paraId="4D90C1A9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  <w:hideMark/>
          </w:tcPr>
          <w:p w14:paraId="45625FE3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  <w:hideMark/>
          </w:tcPr>
          <w:p w14:paraId="6A056C17" w14:textId="77777777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  <w:hideMark/>
          </w:tcPr>
          <w:p w14:paraId="6D10AC62" w14:textId="77777777" w:rsidR="00475F0F" w:rsidRPr="00E84CB4" w:rsidRDefault="00475F0F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475F0F" w:rsidRPr="00E84CB4" w14:paraId="3824CEA4" w14:textId="77777777" w:rsidTr="00112FCE">
        <w:trPr>
          <w:trHeight w:val="320"/>
        </w:trPr>
        <w:tc>
          <w:tcPr>
            <w:tcW w:w="1271" w:type="dxa"/>
            <w:noWrap/>
          </w:tcPr>
          <w:p w14:paraId="5F200D99" w14:textId="770CC357" w:rsidR="00475F0F" w:rsidRPr="00D664B2" w:rsidRDefault="00475F0F" w:rsidP="00475F0F">
            <w:pPr>
              <w:jc w:val="center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b/>
                <w:bCs/>
                <w:color w:val="000000" w:themeColor="text1"/>
                <w:sz w:val="16"/>
                <w:szCs w:val="20"/>
              </w:rPr>
              <w:t>B</w:t>
            </w: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lyth 2017</w:t>
            </w:r>
          </w:p>
        </w:tc>
        <w:tc>
          <w:tcPr>
            <w:tcW w:w="1276" w:type="dxa"/>
            <w:noWrap/>
          </w:tcPr>
          <w:p w14:paraId="6BB686CA" w14:textId="05B106B8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</w:tcPr>
          <w:p w14:paraId="545DD5EA" w14:textId="735B80C1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</w:tcPr>
          <w:p w14:paraId="2EE44674" w14:textId="186769FF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</w:tcPr>
          <w:p w14:paraId="066F9ED2" w14:textId="525A151B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</w:tcPr>
          <w:p w14:paraId="032C8721" w14:textId="64E892DC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</w:tcPr>
          <w:p w14:paraId="5E48B03D" w14:textId="4956EAE5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</w:tcPr>
          <w:p w14:paraId="259DF74B" w14:textId="267E3F64" w:rsidR="00475F0F" w:rsidRPr="00E84CB4" w:rsidRDefault="00475F0F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475F0F" w:rsidRPr="00E84CB4" w14:paraId="481E65EB" w14:textId="77777777" w:rsidTr="00112FCE">
        <w:trPr>
          <w:trHeight w:val="320"/>
        </w:trPr>
        <w:tc>
          <w:tcPr>
            <w:tcW w:w="1271" w:type="dxa"/>
            <w:noWrap/>
          </w:tcPr>
          <w:p w14:paraId="26FF2647" w14:textId="123BE20C" w:rsidR="00475F0F" w:rsidRPr="000618E8" w:rsidRDefault="00475F0F" w:rsidP="00475F0F">
            <w:pPr>
              <w:jc w:val="center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Clement 202</w:t>
            </w:r>
            <w:r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1276" w:type="dxa"/>
            <w:noWrap/>
          </w:tcPr>
          <w:p w14:paraId="256C3801" w14:textId="54529DE4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</w:tcPr>
          <w:p w14:paraId="43AD3968" w14:textId="0080275F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</w:tcPr>
          <w:p w14:paraId="678029B7" w14:textId="4F731E6F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</w:tcPr>
          <w:p w14:paraId="3ACD30A4" w14:textId="0E6367A3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</w:tcPr>
          <w:p w14:paraId="6CCFD147" w14:textId="168B98F5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</w:tcPr>
          <w:p w14:paraId="7B9C787E" w14:textId="0477A016" w:rsidR="00475F0F" w:rsidRPr="00E84CB4" w:rsidRDefault="00475F0F" w:rsidP="00475F0F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</w:tcPr>
          <w:p w14:paraId="3CC76299" w14:textId="7C451E7E" w:rsidR="00475F0F" w:rsidRPr="00E84CB4" w:rsidRDefault="00475F0F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112FCE" w:rsidRPr="00E84CB4" w14:paraId="5C6DC14A" w14:textId="77777777" w:rsidTr="00112FCE">
        <w:trPr>
          <w:trHeight w:val="320"/>
        </w:trPr>
        <w:tc>
          <w:tcPr>
            <w:tcW w:w="1271" w:type="dxa"/>
            <w:noWrap/>
          </w:tcPr>
          <w:p w14:paraId="1D3B2387" w14:textId="0BD09193" w:rsidR="00112FCE" w:rsidRDefault="00112FCE" w:rsidP="00112FCE">
            <w:pPr>
              <w:jc w:val="center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Gilmour 2018</w:t>
            </w:r>
          </w:p>
        </w:tc>
        <w:tc>
          <w:tcPr>
            <w:tcW w:w="1276" w:type="dxa"/>
            <w:noWrap/>
          </w:tcPr>
          <w:p w14:paraId="00CEC4EB" w14:textId="0488F403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</w:tcPr>
          <w:p w14:paraId="17651ACE" w14:textId="1505D3A3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</w:tcPr>
          <w:p w14:paraId="1CC2037E" w14:textId="1B94BEB4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</w:tcPr>
          <w:p w14:paraId="5A0CAFA8" w14:textId="3464B27E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</w:tcPr>
          <w:p w14:paraId="33BBAF0A" w14:textId="162060F8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</w:tcPr>
          <w:p w14:paraId="4236DD1D" w14:textId="7334D1B9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</w:tcPr>
          <w:p w14:paraId="4DCD6A24" w14:textId="7D39E930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112FCE" w:rsidRPr="00E84CB4" w14:paraId="62D47BA6" w14:textId="77777777" w:rsidTr="00112FCE">
        <w:trPr>
          <w:trHeight w:val="320"/>
        </w:trPr>
        <w:tc>
          <w:tcPr>
            <w:tcW w:w="1271" w:type="dxa"/>
            <w:noWrap/>
          </w:tcPr>
          <w:p w14:paraId="019C8D0E" w14:textId="7277C776" w:rsidR="00112FCE" w:rsidRDefault="00112FCE" w:rsidP="00112FCE">
            <w:pPr>
              <w:jc w:val="center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proofErr w:type="spellStart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Motesharei</w:t>
            </w:r>
            <w:proofErr w:type="spellEnd"/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 xml:space="preserve"> 2018</w:t>
            </w:r>
          </w:p>
        </w:tc>
        <w:tc>
          <w:tcPr>
            <w:tcW w:w="1276" w:type="dxa"/>
            <w:noWrap/>
          </w:tcPr>
          <w:p w14:paraId="6DDBF048" w14:textId="4C5E98EC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</w:tcPr>
          <w:p w14:paraId="299DDBB7" w14:textId="641D732B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</w:tcPr>
          <w:p w14:paraId="2802CD87" w14:textId="58D825DE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</w:tcPr>
          <w:p w14:paraId="0E9389EA" w14:textId="7731890A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</w:tcPr>
          <w:p w14:paraId="4D1E8FA1" w14:textId="42634B34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</w:tcPr>
          <w:p w14:paraId="2878E11E" w14:textId="7648EC6B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</w:tcPr>
          <w:p w14:paraId="4060F645" w14:textId="31B3D3CB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  <w:tr w:rsidR="00112FCE" w:rsidRPr="00E84CB4" w14:paraId="3227A3A6" w14:textId="77777777" w:rsidTr="00112FCE">
        <w:trPr>
          <w:trHeight w:val="320"/>
        </w:trPr>
        <w:tc>
          <w:tcPr>
            <w:tcW w:w="1271" w:type="dxa"/>
            <w:noWrap/>
          </w:tcPr>
          <w:p w14:paraId="1F1195C7" w14:textId="0E542F85" w:rsidR="00112FCE" w:rsidRDefault="00112FCE" w:rsidP="00112FCE">
            <w:pPr>
              <w:jc w:val="center"/>
              <w:rPr>
                <w:rFonts w:hint="eastAsia"/>
                <w:b/>
                <w:bCs/>
                <w:color w:val="000000" w:themeColor="text1"/>
                <w:sz w:val="18"/>
                <w:szCs w:val="21"/>
              </w:rPr>
            </w:pPr>
            <w:r w:rsidRPr="0081551E">
              <w:rPr>
                <w:rFonts w:hint="eastAsia"/>
                <w:b/>
                <w:bCs/>
                <w:color w:val="000000" w:themeColor="text1"/>
                <w:sz w:val="16"/>
                <w:szCs w:val="20"/>
              </w:rPr>
              <w:t>Yin 2021</w:t>
            </w:r>
          </w:p>
        </w:tc>
        <w:tc>
          <w:tcPr>
            <w:tcW w:w="1276" w:type="dxa"/>
            <w:noWrap/>
          </w:tcPr>
          <w:p w14:paraId="00ABC56B" w14:textId="66A2BF9A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406" w:type="dxa"/>
            <w:noWrap/>
          </w:tcPr>
          <w:p w14:paraId="58C15058" w14:textId="0C9D652B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87" w:type="dxa"/>
            <w:noWrap/>
          </w:tcPr>
          <w:p w14:paraId="0B341BD6" w14:textId="0D3EDD85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color w:val="000000" w:themeColor="text1"/>
                <w:sz w:val="20"/>
                <w:szCs w:val="22"/>
              </w:rPr>
              <w:t>High</w:t>
            </w:r>
          </w:p>
        </w:tc>
        <w:tc>
          <w:tcPr>
            <w:tcW w:w="1274" w:type="dxa"/>
            <w:noWrap/>
          </w:tcPr>
          <w:p w14:paraId="691C93D7" w14:textId="3FC4E1F3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278" w:type="dxa"/>
            <w:noWrap/>
          </w:tcPr>
          <w:p w14:paraId="08609AAA" w14:textId="7F1D0EAD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1134" w:type="dxa"/>
            <w:noWrap/>
          </w:tcPr>
          <w:p w14:paraId="7D1A3363" w14:textId="18C8F62A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Low</w:t>
            </w:r>
          </w:p>
        </w:tc>
        <w:tc>
          <w:tcPr>
            <w:tcW w:w="993" w:type="dxa"/>
            <w:noWrap/>
          </w:tcPr>
          <w:p w14:paraId="71324FAD" w14:textId="5AD0E83D" w:rsidR="00112FCE" w:rsidRPr="00E84CB4" w:rsidRDefault="00112FCE" w:rsidP="00112FCE">
            <w:pPr>
              <w:jc w:val="center"/>
              <w:rPr>
                <w:rFonts w:hint="eastAsia"/>
                <w:color w:val="000000" w:themeColor="text1"/>
                <w:sz w:val="20"/>
                <w:szCs w:val="22"/>
              </w:rPr>
            </w:pPr>
            <w:r w:rsidRPr="00E84CB4">
              <w:rPr>
                <w:rFonts w:hint="eastAsia"/>
                <w:color w:val="000000" w:themeColor="text1"/>
                <w:sz w:val="20"/>
                <w:szCs w:val="22"/>
              </w:rPr>
              <w:t>Unclear</w:t>
            </w:r>
          </w:p>
        </w:tc>
      </w:tr>
    </w:tbl>
    <w:p w14:paraId="52842F65" w14:textId="77777777" w:rsidR="002D7A99" w:rsidRPr="00E84CB4" w:rsidRDefault="002D7A99" w:rsidP="002D7A99">
      <w:pPr>
        <w:jc w:val="center"/>
        <w:rPr>
          <w:rFonts w:hint="eastAsia"/>
          <w:color w:val="000000" w:themeColor="text1"/>
        </w:rPr>
      </w:pPr>
    </w:p>
    <w:p w14:paraId="6838A5A1" w14:textId="37647660" w:rsidR="000A207C" w:rsidRPr="00F66780" w:rsidRDefault="002D7A99" w:rsidP="000A207C">
      <w:pPr>
        <w:spacing w:line="360" w:lineRule="auto"/>
        <w:rPr>
          <w:rFonts w:asciiTheme="minorEastAsia" w:hAnsiTheme="minorEastAsia" w:hint="eastAsia"/>
          <w:sz w:val="20"/>
          <w:szCs w:val="20"/>
        </w:rPr>
      </w:pPr>
      <w:r w:rsidRPr="00E84CB4">
        <w:rPr>
          <w:rFonts w:ascii="等线" w:eastAsia="等线" w:hAnsi="等线"/>
          <w:b/>
          <w:bCs/>
          <w:color w:val="000000" w:themeColor="text1"/>
          <w:szCs w:val="21"/>
        </w:rPr>
        <w:t xml:space="preserve">Table </w:t>
      </w:r>
      <w:r w:rsidR="00946718">
        <w:rPr>
          <w:rFonts w:ascii="等线" w:eastAsia="等线" w:hAnsi="等线"/>
          <w:b/>
          <w:bCs/>
          <w:color w:val="000000" w:themeColor="text1"/>
          <w:szCs w:val="21"/>
        </w:rPr>
        <w:t>5</w:t>
      </w:r>
      <w:r w:rsidRPr="00E84CB4">
        <w:rPr>
          <w:rFonts w:ascii="等线" w:eastAsia="等线" w:hAnsi="等线"/>
          <w:b/>
          <w:bCs/>
          <w:color w:val="000000" w:themeColor="text1"/>
          <w:szCs w:val="21"/>
        </w:rPr>
        <w:t xml:space="preserve"> legend:</w:t>
      </w:r>
      <w:r w:rsidR="000A207C" w:rsidRPr="000A207C">
        <w:rPr>
          <w:rFonts w:asciiTheme="minorEastAsia" w:hAnsiTheme="minorEastAsia"/>
          <w:sz w:val="20"/>
          <w:szCs w:val="20"/>
        </w:rPr>
        <w:t xml:space="preserve"> </w:t>
      </w:r>
      <w:r w:rsidR="000A207C" w:rsidRPr="004D1527">
        <w:rPr>
          <w:rFonts w:asciiTheme="minorEastAsia" w:hAnsiTheme="minorEastAsia"/>
          <w:sz w:val="20"/>
          <w:szCs w:val="20"/>
        </w:rPr>
        <w:t>Risk of bias profiling for randomized controlled trials utilizing the Cochrane standardized framework.</w:t>
      </w:r>
    </w:p>
    <w:p w14:paraId="109C5EA3" w14:textId="6036F511" w:rsidR="002D7A99" w:rsidRPr="002D7A99" w:rsidRDefault="002D7A99" w:rsidP="002D7A99">
      <w:pPr>
        <w:spacing w:line="360" w:lineRule="auto"/>
        <w:rPr>
          <w:rFonts w:ascii="等线" w:eastAsia="等线" w:hAnsi="等线" w:cs="Times New Roman" w:hint="eastAsia"/>
          <w:color w:val="000000" w:themeColor="text1"/>
          <w:szCs w:val="21"/>
        </w:rPr>
      </w:pPr>
      <w:r w:rsidRPr="00E84CB4">
        <w:rPr>
          <w:rFonts w:ascii="等线" w:eastAsia="等线" w:hAnsi="等线"/>
          <w:b/>
          <w:bCs/>
          <w:color w:val="000000" w:themeColor="text1"/>
          <w:szCs w:val="21"/>
        </w:rPr>
        <w:t xml:space="preserve"> </w:t>
      </w:r>
      <w:r w:rsidRPr="00E84CB4">
        <w:rPr>
          <w:rFonts w:ascii="等线" w:eastAsia="等线" w:hAnsi="等线"/>
          <w:color w:val="000000" w:themeColor="text1"/>
          <w:szCs w:val="21"/>
        </w:rPr>
        <w:t xml:space="preserve">Abbreviations: RCT, </w:t>
      </w:r>
      <w:r w:rsidRPr="00E84CB4">
        <w:rPr>
          <w:rFonts w:ascii="等线" w:eastAsia="等线" w:hAnsi="等线" w:cs="Times New Roman"/>
          <w:color w:val="000000" w:themeColor="text1"/>
          <w:szCs w:val="21"/>
        </w:rPr>
        <w:t>Randomized controlled trials.</w:t>
      </w:r>
      <w:r>
        <w:rPr>
          <w:rFonts w:ascii="等线" w:eastAsia="等线" w:hAnsi="等线" w:cs="Times New Roman" w:hint="eastAsia"/>
          <w:color w:val="000000" w:themeColor="text1"/>
          <w:szCs w:val="21"/>
        </w:rPr>
        <w:t xml:space="preserve"> </w:t>
      </w:r>
      <w:r w:rsidRPr="00E84CB4">
        <w:rPr>
          <w:rFonts w:ascii="等线" w:eastAsia="等线" w:hAnsi="等线" w:cs="Times New Roman"/>
          <w:color w:val="000000" w:themeColor="text1"/>
          <w:szCs w:val="21"/>
        </w:rPr>
        <w:t>The RCTs' methodological quality and basi</w:t>
      </w:r>
      <w:r w:rsidRPr="00E84CB4">
        <w:rPr>
          <w:rFonts w:ascii="等线" w:eastAsia="等线" w:hAnsi="等线" w:cs="Times New Roman" w:hint="eastAsia"/>
          <w:color w:val="000000" w:themeColor="text1"/>
          <w:szCs w:val="21"/>
        </w:rPr>
        <w:t>s</w:t>
      </w:r>
      <w:r w:rsidRPr="00E84CB4">
        <w:rPr>
          <w:rFonts w:ascii="等线" w:eastAsia="等线" w:hAnsi="等线" w:cs="Times New Roman"/>
          <w:color w:val="000000" w:themeColor="text1"/>
          <w:szCs w:val="21"/>
        </w:rPr>
        <w:t xml:space="preserve"> were assessed as follows: randomization, allocation concealment, blind method, selective reporting, group similarity at baseline, incomplete outcome data, compliance, the timing of outcome assessments, and intention-to-treat analysis.</w:t>
      </w:r>
    </w:p>
    <w:p w14:paraId="59E74F4E" w14:textId="77777777" w:rsidR="000C5745" w:rsidRPr="002D7A99" w:rsidRDefault="000C5745">
      <w:pPr>
        <w:rPr>
          <w:rFonts w:hint="eastAsia"/>
        </w:rPr>
      </w:pPr>
    </w:p>
    <w:sectPr w:rsidR="000C5745" w:rsidRPr="002D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AD41" w14:textId="77777777" w:rsidR="004A2FF1" w:rsidRDefault="004A2FF1" w:rsidP="00475F0F">
      <w:pPr>
        <w:rPr>
          <w:rFonts w:hint="eastAsia"/>
        </w:rPr>
      </w:pPr>
      <w:r>
        <w:separator/>
      </w:r>
    </w:p>
  </w:endnote>
  <w:endnote w:type="continuationSeparator" w:id="0">
    <w:p w14:paraId="54858ECE" w14:textId="77777777" w:rsidR="004A2FF1" w:rsidRDefault="004A2FF1" w:rsidP="00475F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B491" w14:textId="77777777" w:rsidR="004A2FF1" w:rsidRDefault="004A2FF1" w:rsidP="00475F0F">
      <w:pPr>
        <w:rPr>
          <w:rFonts w:hint="eastAsia"/>
        </w:rPr>
      </w:pPr>
      <w:r>
        <w:separator/>
      </w:r>
    </w:p>
  </w:footnote>
  <w:footnote w:type="continuationSeparator" w:id="0">
    <w:p w14:paraId="3183682E" w14:textId="77777777" w:rsidR="004A2FF1" w:rsidRDefault="004A2FF1" w:rsidP="00475F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99"/>
    <w:rsid w:val="00002137"/>
    <w:rsid w:val="0002349F"/>
    <w:rsid w:val="000250DB"/>
    <w:rsid w:val="00054A9F"/>
    <w:rsid w:val="000A207C"/>
    <w:rsid w:val="000A62CB"/>
    <w:rsid w:val="000B4516"/>
    <w:rsid w:val="000B72C0"/>
    <w:rsid w:val="000C4DD4"/>
    <w:rsid w:val="000C5745"/>
    <w:rsid w:val="000E3A97"/>
    <w:rsid w:val="000E6DB5"/>
    <w:rsid w:val="000F6804"/>
    <w:rsid w:val="00112FCE"/>
    <w:rsid w:val="001210B9"/>
    <w:rsid w:val="0013773F"/>
    <w:rsid w:val="00137846"/>
    <w:rsid w:val="0014127F"/>
    <w:rsid w:val="00145F62"/>
    <w:rsid w:val="001467BF"/>
    <w:rsid w:val="00150708"/>
    <w:rsid w:val="00155280"/>
    <w:rsid w:val="0016075D"/>
    <w:rsid w:val="00171826"/>
    <w:rsid w:val="00173399"/>
    <w:rsid w:val="001B66E8"/>
    <w:rsid w:val="001F7627"/>
    <w:rsid w:val="00200B88"/>
    <w:rsid w:val="0021268A"/>
    <w:rsid w:val="0021440C"/>
    <w:rsid w:val="002258E0"/>
    <w:rsid w:val="00226FBB"/>
    <w:rsid w:val="00250D49"/>
    <w:rsid w:val="002516E7"/>
    <w:rsid w:val="00271A90"/>
    <w:rsid w:val="00295FE5"/>
    <w:rsid w:val="002A2135"/>
    <w:rsid w:val="002B6285"/>
    <w:rsid w:val="002C72D6"/>
    <w:rsid w:val="002D18E1"/>
    <w:rsid w:val="002D3469"/>
    <w:rsid w:val="002D3727"/>
    <w:rsid w:val="002D7A99"/>
    <w:rsid w:val="002E6691"/>
    <w:rsid w:val="002F09C6"/>
    <w:rsid w:val="002F188B"/>
    <w:rsid w:val="002F6EA3"/>
    <w:rsid w:val="00312E2D"/>
    <w:rsid w:val="00316B7D"/>
    <w:rsid w:val="00340593"/>
    <w:rsid w:val="00346B90"/>
    <w:rsid w:val="00371A83"/>
    <w:rsid w:val="0037520F"/>
    <w:rsid w:val="00393C79"/>
    <w:rsid w:val="0039587D"/>
    <w:rsid w:val="003A3DCD"/>
    <w:rsid w:val="003B211E"/>
    <w:rsid w:val="003B4668"/>
    <w:rsid w:val="003B689A"/>
    <w:rsid w:val="003B742D"/>
    <w:rsid w:val="00403691"/>
    <w:rsid w:val="00404D80"/>
    <w:rsid w:val="0041295F"/>
    <w:rsid w:val="004246E0"/>
    <w:rsid w:val="00427FE7"/>
    <w:rsid w:val="00450530"/>
    <w:rsid w:val="00452851"/>
    <w:rsid w:val="00456CFC"/>
    <w:rsid w:val="00462464"/>
    <w:rsid w:val="00475F0F"/>
    <w:rsid w:val="00491E73"/>
    <w:rsid w:val="004A2FF1"/>
    <w:rsid w:val="004A4DB9"/>
    <w:rsid w:val="004C36D5"/>
    <w:rsid w:val="004C460B"/>
    <w:rsid w:val="004F4FAD"/>
    <w:rsid w:val="00504A79"/>
    <w:rsid w:val="00535E29"/>
    <w:rsid w:val="00584DF3"/>
    <w:rsid w:val="00593D47"/>
    <w:rsid w:val="00596614"/>
    <w:rsid w:val="005A4574"/>
    <w:rsid w:val="005A66F2"/>
    <w:rsid w:val="005B052C"/>
    <w:rsid w:val="005C5894"/>
    <w:rsid w:val="005F660A"/>
    <w:rsid w:val="006172C0"/>
    <w:rsid w:val="006179E7"/>
    <w:rsid w:val="006404BE"/>
    <w:rsid w:val="00640F70"/>
    <w:rsid w:val="0064126E"/>
    <w:rsid w:val="0064269F"/>
    <w:rsid w:val="00644E7D"/>
    <w:rsid w:val="00683487"/>
    <w:rsid w:val="006B22E0"/>
    <w:rsid w:val="006B3566"/>
    <w:rsid w:val="006C3334"/>
    <w:rsid w:val="006D1044"/>
    <w:rsid w:val="006E3DB8"/>
    <w:rsid w:val="0071343F"/>
    <w:rsid w:val="00735877"/>
    <w:rsid w:val="00740DE2"/>
    <w:rsid w:val="007543EE"/>
    <w:rsid w:val="007A155F"/>
    <w:rsid w:val="007E5685"/>
    <w:rsid w:val="008049E6"/>
    <w:rsid w:val="00814EB8"/>
    <w:rsid w:val="0082319C"/>
    <w:rsid w:val="00845BBA"/>
    <w:rsid w:val="0087720E"/>
    <w:rsid w:val="008A1BB8"/>
    <w:rsid w:val="008B6044"/>
    <w:rsid w:val="009304C4"/>
    <w:rsid w:val="00935FFE"/>
    <w:rsid w:val="00945722"/>
    <w:rsid w:val="00946643"/>
    <w:rsid w:val="00946718"/>
    <w:rsid w:val="009605A4"/>
    <w:rsid w:val="009664CB"/>
    <w:rsid w:val="00973702"/>
    <w:rsid w:val="00983590"/>
    <w:rsid w:val="00985ED9"/>
    <w:rsid w:val="009F5B25"/>
    <w:rsid w:val="00A13CF7"/>
    <w:rsid w:val="00A506D5"/>
    <w:rsid w:val="00A5770E"/>
    <w:rsid w:val="00A75569"/>
    <w:rsid w:val="00A77430"/>
    <w:rsid w:val="00A822BA"/>
    <w:rsid w:val="00AC2DB4"/>
    <w:rsid w:val="00AE3C26"/>
    <w:rsid w:val="00B1647E"/>
    <w:rsid w:val="00B22529"/>
    <w:rsid w:val="00B24C33"/>
    <w:rsid w:val="00B30821"/>
    <w:rsid w:val="00B36302"/>
    <w:rsid w:val="00B56596"/>
    <w:rsid w:val="00B65E79"/>
    <w:rsid w:val="00B9398C"/>
    <w:rsid w:val="00BA34FC"/>
    <w:rsid w:val="00BB02F6"/>
    <w:rsid w:val="00C24BB2"/>
    <w:rsid w:val="00C3367C"/>
    <w:rsid w:val="00C5047E"/>
    <w:rsid w:val="00C55527"/>
    <w:rsid w:val="00C6138B"/>
    <w:rsid w:val="00C76507"/>
    <w:rsid w:val="00D22DCE"/>
    <w:rsid w:val="00D304B8"/>
    <w:rsid w:val="00D55FBC"/>
    <w:rsid w:val="00D6085F"/>
    <w:rsid w:val="00D73B05"/>
    <w:rsid w:val="00D80BF8"/>
    <w:rsid w:val="00D85339"/>
    <w:rsid w:val="00DB077B"/>
    <w:rsid w:val="00DB3634"/>
    <w:rsid w:val="00E02A1B"/>
    <w:rsid w:val="00E23960"/>
    <w:rsid w:val="00E6412C"/>
    <w:rsid w:val="00E73625"/>
    <w:rsid w:val="00E9738A"/>
    <w:rsid w:val="00EA100F"/>
    <w:rsid w:val="00EA1242"/>
    <w:rsid w:val="00EA1658"/>
    <w:rsid w:val="00EA3E2A"/>
    <w:rsid w:val="00EB297F"/>
    <w:rsid w:val="00EC4666"/>
    <w:rsid w:val="00ED1655"/>
    <w:rsid w:val="00F03E25"/>
    <w:rsid w:val="00F61AA7"/>
    <w:rsid w:val="00F76541"/>
    <w:rsid w:val="00F76EB8"/>
    <w:rsid w:val="00F86533"/>
    <w:rsid w:val="00FA2DCE"/>
    <w:rsid w:val="00FA7CE9"/>
    <w:rsid w:val="00FD52D7"/>
    <w:rsid w:val="00FE12AB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7B349"/>
  <w15:chartTrackingRefBased/>
  <w15:docId w15:val="{1F1D93D9-7102-274C-897C-10ADA5FC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F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5F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5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960</Characters>
  <Application>Microsoft Office Word</Application>
  <DocSecurity>0</DocSecurity>
  <Lines>96</Lines>
  <Paragraphs>80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Changjiao</dc:creator>
  <cp:keywords/>
  <dc:description/>
  <cp:lastModifiedBy>Changjiao Sun</cp:lastModifiedBy>
  <cp:revision>7</cp:revision>
  <dcterms:created xsi:type="dcterms:W3CDTF">2022-11-25T03:14:00Z</dcterms:created>
  <dcterms:modified xsi:type="dcterms:W3CDTF">2026-01-11T05:05:00Z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97c23429-7a1f-4869-b28a-c0f883becd19</vt:lpwstr>
  </property>
</Properties>
</file>