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BA3DA2" w14:textId="77777777" w:rsidR="001B5CF8" w:rsidRDefault="001B5CF8" w:rsidP="001B5CF8">
      <w:pPr>
        <w:pStyle w:val="Heading1"/>
      </w:pPr>
      <w:r>
        <w:t xml:space="preserve">Supplementary information </w:t>
      </w:r>
    </w:p>
    <w:p w14:paraId="33DB5980" w14:textId="77777777" w:rsidR="001B5CF8" w:rsidRDefault="001B5CF8" w:rsidP="001B5CF8">
      <w:pPr>
        <w:pStyle w:val="Heading2"/>
      </w:pPr>
      <w:bookmarkStart w:id="0" w:name="_qqgwm0e6s9ve" w:colFirst="0" w:colLast="0"/>
      <w:bookmarkEnd w:id="0"/>
      <w:r>
        <w:t>Supplemental Table 1</w:t>
      </w:r>
    </w:p>
    <w:p w14:paraId="010561D7" w14:textId="77777777" w:rsidR="001B5CF8" w:rsidRDefault="001B5CF8" w:rsidP="001B5CF8"/>
    <w:tbl>
      <w:tblPr>
        <w:tblW w:w="808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20" w:firstRow="1" w:lastRow="0" w:firstColumn="0" w:lastColumn="0" w:noHBand="0" w:noVBand="0"/>
      </w:tblPr>
      <w:tblGrid>
        <w:gridCol w:w="4395"/>
        <w:gridCol w:w="1485"/>
        <w:gridCol w:w="2205"/>
      </w:tblGrid>
      <w:tr w:rsidR="001B5CF8" w14:paraId="2C0DCA14" w14:textId="77777777" w:rsidTr="003D57B3">
        <w:tc>
          <w:tcPr>
            <w:tcW w:w="4395" w:type="dxa"/>
          </w:tcPr>
          <w:p w14:paraId="46871C85"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b/>
                <w:bCs/>
              </w:rPr>
              <w:t>Monogenic Neurological Disorder</w:t>
            </w:r>
          </w:p>
        </w:tc>
        <w:tc>
          <w:tcPr>
            <w:tcW w:w="1485" w:type="dxa"/>
          </w:tcPr>
          <w:p w14:paraId="485DE2A0" w14:textId="77777777" w:rsidR="001B5CF8" w:rsidRDefault="001B5CF8" w:rsidP="003D57B3">
            <w:pPr>
              <w:spacing w:before="36" w:after="36" w:line="240" w:lineRule="auto"/>
              <w:rPr>
                <w:rFonts w:ascii="Times New Roman" w:eastAsia="Times New Roman" w:hAnsi="Times New Roman" w:cs="Times New Roman"/>
                <w:b/>
                <w:bCs/>
              </w:rPr>
            </w:pPr>
            <w:r>
              <w:rPr>
                <w:rFonts w:ascii="Times New Roman" w:eastAsia="Times New Roman" w:hAnsi="Times New Roman" w:cs="Times New Roman"/>
                <w:b/>
                <w:bCs/>
              </w:rPr>
              <w:t>Gene</w:t>
            </w:r>
          </w:p>
        </w:tc>
        <w:tc>
          <w:tcPr>
            <w:tcW w:w="2205" w:type="dxa"/>
          </w:tcPr>
          <w:p w14:paraId="54CBDDEE" w14:textId="77777777" w:rsidR="001B5CF8" w:rsidRDefault="001B5CF8" w:rsidP="003D57B3">
            <w:pPr>
              <w:spacing w:before="36" w:after="36" w:line="240" w:lineRule="auto"/>
              <w:jc w:val="center"/>
              <w:rPr>
                <w:rFonts w:ascii="Times New Roman" w:eastAsia="Times New Roman" w:hAnsi="Times New Roman" w:cs="Times New Roman"/>
                <w:b/>
                <w:bCs/>
              </w:rPr>
            </w:pPr>
            <w:r>
              <w:rPr>
                <w:rFonts w:ascii="Times New Roman" w:eastAsia="Times New Roman" w:hAnsi="Times New Roman" w:cs="Times New Roman"/>
                <w:b/>
                <w:bCs/>
              </w:rPr>
              <w:t>N = 248 (%)</w:t>
            </w:r>
          </w:p>
        </w:tc>
      </w:tr>
      <w:tr w:rsidR="001B5CF8" w14:paraId="104EB8B3" w14:textId="77777777" w:rsidTr="003D57B3">
        <w:tc>
          <w:tcPr>
            <w:tcW w:w="4395" w:type="dxa"/>
          </w:tcPr>
          <w:p w14:paraId="280E3A35"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Huntington´s disease (HD)</w:t>
            </w:r>
          </w:p>
        </w:tc>
        <w:tc>
          <w:tcPr>
            <w:tcW w:w="1485" w:type="dxa"/>
          </w:tcPr>
          <w:p w14:paraId="44DBCE08"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HTT</w:t>
            </w:r>
          </w:p>
        </w:tc>
        <w:tc>
          <w:tcPr>
            <w:tcW w:w="2205" w:type="dxa"/>
          </w:tcPr>
          <w:p w14:paraId="3F7BED63"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131 (52.8%)</w:t>
            </w:r>
          </w:p>
        </w:tc>
      </w:tr>
      <w:tr w:rsidR="001B5CF8" w14:paraId="631C408B" w14:textId="77777777" w:rsidTr="003D57B3">
        <w:trPr>
          <w:trHeight w:val="339"/>
        </w:trPr>
        <w:tc>
          <w:tcPr>
            <w:tcW w:w="4395" w:type="dxa"/>
          </w:tcPr>
          <w:p w14:paraId="37105450"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Myotonic dystrophy type 1 (DM1)</w:t>
            </w:r>
          </w:p>
        </w:tc>
        <w:tc>
          <w:tcPr>
            <w:tcW w:w="1485" w:type="dxa"/>
          </w:tcPr>
          <w:p w14:paraId="087F5E21"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DMPK</w:t>
            </w:r>
          </w:p>
        </w:tc>
        <w:tc>
          <w:tcPr>
            <w:tcW w:w="2205" w:type="dxa"/>
          </w:tcPr>
          <w:p w14:paraId="194ABC08"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46 (18.5%)</w:t>
            </w:r>
          </w:p>
        </w:tc>
      </w:tr>
      <w:tr w:rsidR="001B5CF8" w14:paraId="749DDF71" w14:textId="77777777" w:rsidTr="003D57B3">
        <w:tc>
          <w:tcPr>
            <w:tcW w:w="4395" w:type="dxa"/>
          </w:tcPr>
          <w:p w14:paraId="4DE4F2D5"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Spinocerebellar ataxia type 10 (SCA10)</w:t>
            </w:r>
          </w:p>
        </w:tc>
        <w:tc>
          <w:tcPr>
            <w:tcW w:w="1485" w:type="dxa"/>
          </w:tcPr>
          <w:p w14:paraId="6344A327"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ATXN10</w:t>
            </w:r>
          </w:p>
        </w:tc>
        <w:tc>
          <w:tcPr>
            <w:tcW w:w="2205" w:type="dxa"/>
          </w:tcPr>
          <w:p w14:paraId="5B33FDD6"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12 (4.8%)</w:t>
            </w:r>
          </w:p>
        </w:tc>
      </w:tr>
      <w:tr w:rsidR="001B5CF8" w14:paraId="5A3735BC" w14:textId="77777777" w:rsidTr="003D57B3">
        <w:tc>
          <w:tcPr>
            <w:tcW w:w="4395" w:type="dxa"/>
          </w:tcPr>
          <w:p w14:paraId="6791F70C"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Spinocerebellar ataxia type 2 (SCA2)</w:t>
            </w:r>
          </w:p>
        </w:tc>
        <w:tc>
          <w:tcPr>
            <w:tcW w:w="1485" w:type="dxa"/>
          </w:tcPr>
          <w:p w14:paraId="65BF7115"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ATXN2</w:t>
            </w:r>
          </w:p>
        </w:tc>
        <w:tc>
          <w:tcPr>
            <w:tcW w:w="2205" w:type="dxa"/>
          </w:tcPr>
          <w:p w14:paraId="7C6217C7"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7 (2.8%)</w:t>
            </w:r>
          </w:p>
        </w:tc>
      </w:tr>
      <w:tr w:rsidR="001B5CF8" w14:paraId="2E77672D" w14:textId="77777777" w:rsidTr="003D57B3">
        <w:tc>
          <w:tcPr>
            <w:tcW w:w="4395" w:type="dxa"/>
          </w:tcPr>
          <w:p w14:paraId="131564A9"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Neurofibromatosis type 1 (NF1)</w:t>
            </w:r>
          </w:p>
        </w:tc>
        <w:tc>
          <w:tcPr>
            <w:tcW w:w="1485" w:type="dxa"/>
          </w:tcPr>
          <w:p w14:paraId="36C3686F"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NF1</w:t>
            </w:r>
          </w:p>
        </w:tc>
        <w:tc>
          <w:tcPr>
            <w:tcW w:w="2205" w:type="dxa"/>
          </w:tcPr>
          <w:p w14:paraId="018A3748"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5 (2.0%)</w:t>
            </w:r>
          </w:p>
        </w:tc>
      </w:tr>
      <w:tr w:rsidR="001B5CF8" w14:paraId="4D7A0243" w14:textId="77777777" w:rsidTr="003D57B3">
        <w:tc>
          <w:tcPr>
            <w:tcW w:w="4395" w:type="dxa"/>
          </w:tcPr>
          <w:p w14:paraId="35BDEEA9"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Becker muscular dystrophy (BMD)</w:t>
            </w:r>
          </w:p>
        </w:tc>
        <w:tc>
          <w:tcPr>
            <w:tcW w:w="1485" w:type="dxa"/>
          </w:tcPr>
          <w:p w14:paraId="5279890C"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 xml:space="preserve">CLCN1  </w:t>
            </w:r>
          </w:p>
        </w:tc>
        <w:tc>
          <w:tcPr>
            <w:tcW w:w="2205" w:type="dxa"/>
          </w:tcPr>
          <w:p w14:paraId="1B8B63A2"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5 (2.0%)</w:t>
            </w:r>
          </w:p>
        </w:tc>
      </w:tr>
      <w:tr w:rsidR="001B5CF8" w14:paraId="7F7941AA" w14:textId="77777777" w:rsidTr="003D57B3">
        <w:tc>
          <w:tcPr>
            <w:tcW w:w="4395" w:type="dxa"/>
          </w:tcPr>
          <w:p w14:paraId="5CB597F5"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Machado Joseph’s Disease/Spinocerebellar ataxia type 3 (MJD/SCA3)</w:t>
            </w:r>
          </w:p>
        </w:tc>
        <w:tc>
          <w:tcPr>
            <w:tcW w:w="1485" w:type="dxa"/>
          </w:tcPr>
          <w:p w14:paraId="3D93871E"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ATXN3</w:t>
            </w:r>
          </w:p>
        </w:tc>
        <w:tc>
          <w:tcPr>
            <w:tcW w:w="2205" w:type="dxa"/>
          </w:tcPr>
          <w:p w14:paraId="5FB36010"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4 (1.6%)</w:t>
            </w:r>
          </w:p>
        </w:tc>
      </w:tr>
      <w:tr w:rsidR="001B5CF8" w14:paraId="1F914890" w14:textId="77777777" w:rsidTr="003D57B3">
        <w:tc>
          <w:tcPr>
            <w:tcW w:w="4395" w:type="dxa"/>
          </w:tcPr>
          <w:p w14:paraId="69D920A0"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Dopa-responsive Dystonia (DRD), DYT-5</w:t>
            </w:r>
          </w:p>
        </w:tc>
        <w:tc>
          <w:tcPr>
            <w:tcW w:w="1485" w:type="dxa"/>
          </w:tcPr>
          <w:p w14:paraId="49C57C5B"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GCH1</w:t>
            </w:r>
          </w:p>
        </w:tc>
        <w:tc>
          <w:tcPr>
            <w:tcW w:w="2205" w:type="dxa"/>
          </w:tcPr>
          <w:p w14:paraId="38408DEB"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4 (1.6%)</w:t>
            </w:r>
          </w:p>
        </w:tc>
      </w:tr>
      <w:tr w:rsidR="001B5CF8" w14:paraId="3ABB1CAB" w14:textId="77777777" w:rsidTr="003D57B3">
        <w:tc>
          <w:tcPr>
            <w:tcW w:w="4395" w:type="dxa"/>
          </w:tcPr>
          <w:p w14:paraId="23998E23"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Dysferlinopathy</w:t>
            </w:r>
          </w:p>
        </w:tc>
        <w:tc>
          <w:tcPr>
            <w:tcW w:w="1485" w:type="dxa"/>
          </w:tcPr>
          <w:p w14:paraId="54EE95AD"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DYSF</w:t>
            </w:r>
          </w:p>
        </w:tc>
        <w:tc>
          <w:tcPr>
            <w:tcW w:w="2205" w:type="dxa"/>
          </w:tcPr>
          <w:p w14:paraId="5FF0FA31"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4 (1.6%)</w:t>
            </w:r>
          </w:p>
        </w:tc>
      </w:tr>
      <w:tr w:rsidR="001B5CF8" w14:paraId="1DD240D6" w14:textId="77777777" w:rsidTr="003D57B3">
        <w:tc>
          <w:tcPr>
            <w:tcW w:w="4395" w:type="dxa"/>
          </w:tcPr>
          <w:p w14:paraId="3747910E"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Friedreich’s ataxia (FRDA)</w:t>
            </w:r>
          </w:p>
        </w:tc>
        <w:tc>
          <w:tcPr>
            <w:tcW w:w="1485" w:type="dxa"/>
          </w:tcPr>
          <w:p w14:paraId="4F94A41F"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FXN</w:t>
            </w:r>
          </w:p>
        </w:tc>
        <w:tc>
          <w:tcPr>
            <w:tcW w:w="2205" w:type="dxa"/>
          </w:tcPr>
          <w:p w14:paraId="14691188"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3 (1.2%)</w:t>
            </w:r>
          </w:p>
        </w:tc>
      </w:tr>
      <w:tr w:rsidR="001B5CF8" w14:paraId="11F23F0B" w14:textId="77777777" w:rsidTr="003D57B3">
        <w:tc>
          <w:tcPr>
            <w:tcW w:w="4395" w:type="dxa"/>
          </w:tcPr>
          <w:p w14:paraId="260E0E96"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Autosomal Recessive Spastic Ataxia of Charlevoix-Saguenay (ARSACS)</w:t>
            </w:r>
          </w:p>
        </w:tc>
        <w:tc>
          <w:tcPr>
            <w:tcW w:w="1485" w:type="dxa"/>
          </w:tcPr>
          <w:p w14:paraId="045256DB"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SACS</w:t>
            </w:r>
          </w:p>
        </w:tc>
        <w:tc>
          <w:tcPr>
            <w:tcW w:w="2205" w:type="dxa"/>
          </w:tcPr>
          <w:p w14:paraId="65DAB22C"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3 (1.2%)</w:t>
            </w:r>
          </w:p>
        </w:tc>
      </w:tr>
      <w:tr w:rsidR="001B5CF8" w14:paraId="075A5265" w14:textId="77777777" w:rsidTr="003D57B3">
        <w:trPr>
          <w:trHeight w:val="420"/>
        </w:trPr>
        <w:tc>
          <w:tcPr>
            <w:tcW w:w="4395" w:type="dxa"/>
          </w:tcPr>
          <w:p w14:paraId="1569428B"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Spinocerebellar ataxia type 8 (SCA8)</w:t>
            </w:r>
          </w:p>
        </w:tc>
        <w:tc>
          <w:tcPr>
            <w:tcW w:w="1485" w:type="dxa"/>
          </w:tcPr>
          <w:p w14:paraId="022A9528"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ATXN8OS</w:t>
            </w:r>
          </w:p>
        </w:tc>
        <w:tc>
          <w:tcPr>
            <w:tcW w:w="2205" w:type="dxa"/>
          </w:tcPr>
          <w:p w14:paraId="36A8DE06"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2 (0.8%)</w:t>
            </w:r>
          </w:p>
        </w:tc>
      </w:tr>
      <w:tr w:rsidR="001B5CF8" w14:paraId="67355F5A" w14:textId="77777777" w:rsidTr="003D57B3">
        <w:tc>
          <w:tcPr>
            <w:tcW w:w="4395" w:type="dxa"/>
          </w:tcPr>
          <w:p w14:paraId="2F179860"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Spinal muscular atrophy (SMA)</w:t>
            </w:r>
          </w:p>
        </w:tc>
        <w:tc>
          <w:tcPr>
            <w:tcW w:w="1485" w:type="dxa"/>
          </w:tcPr>
          <w:p w14:paraId="373D70BE"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SMN1</w:t>
            </w:r>
          </w:p>
        </w:tc>
        <w:tc>
          <w:tcPr>
            <w:tcW w:w="2205" w:type="dxa"/>
          </w:tcPr>
          <w:p w14:paraId="4B1B0902"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2 (0.8%)</w:t>
            </w:r>
          </w:p>
        </w:tc>
      </w:tr>
      <w:tr w:rsidR="001B5CF8" w14:paraId="7B6F55ED" w14:textId="77777777" w:rsidTr="003D57B3">
        <w:tc>
          <w:tcPr>
            <w:tcW w:w="4395" w:type="dxa"/>
          </w:tcPr>
          <w:p w14:paraId="0597E06E"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Charcot-Marie-Tooth type 2 (CMT2)</w:t>
            </w:r>
          </w:p>
        </w:tc>
        <w:tc>
          <w:tcPr>
            <w:tcW w:w="1485" w:type="dxa"/>
          </w:tcPr>
          <w:p w14:paraId="2E89A28B"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DNM2</w:t>
            </w:r>
          </w:p>
        </w:tc>
        <w:tc>
          <w:tcPr>
            <w:tcW w:w="2205" w:type="dxa"/>
          </w:tcPr>
          <w:p w14:paraId="712D8C61"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2 (0.8%)</w:t>
            </w:r>
          </w:p>
        </w:tc>
      </w:tr>
      <w:tr w:rsidR="001B5CF8" w14:paraId="48F1BB55" w14:textId="77777777" w:rsidTr="003D57B3">
        <w:tc>
          <w:tcPr>
            <w:tcW w:w="4395" w:type="dxa"/>
          </w:tcPr>
          <w:p w14:paraId="79406C7D"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Childhood-onset neurodegeneration with ataxia, dystonia, and gaze palsy (NADGP)</w:t>
            </w:r>
          </w:p>
        </w:tc>
        <w:tc>
          <w:tcPr>
            <w:tcW w:w="1485" w:type="dxa"/>
          </w:tcPr>
          <w:p w14:paraId="378F004E"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SQSTM1</w:t>
            </w:r>
          </w:p>
        </w:tc>
        <w:tc>
          <w:tcPr>
            <w:tcW w:w="2205" w:type="dxa"/>
          </w:tcPr>
          <w:p w14:paraId="040B84C9"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2 (0.8%)</w:t>
            </w:r>
          </w:p>
        </w:tc>
      </w:tr>
      <w:tr w:rsidR="001B5CF8" w14:paraId="10571B7B" w14:textId="77777777" w:rsidTr="003D57B3">
        <w:tc>
          <w:tcPr>
            <w:tcW w:w="4395" w:type="dxa"/>
          </w:tcPr>
          <w:p w14:paraId="7CAC7B13"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 xml:space="preserve">Autosomal Recessive Limb-Girdle Muscular Dystrophy </w:t>
            </w:r>
          </w:p>
        </w:tc>
        <w:tc>
          <w:tcPr>
            <w:tcW w:w="1485" w:type="dxa"/>
          </w:tcPr>
          <w:p w14:paraId="7FFA87E0"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CAPN3</w:t>
            </w:r>
          </w:p>
        </w:tc>
        <w:tc>
          <w:tcPr>
            <w:tcW w:w="2205" w:type="dxa"/>
          </w:tcPr>
          <w:p w14:paraId="493BA5DE"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2 (0.8%)</w:t>
            </w:r>
          </w:p>
        </w:tc>
      </w:tr>
      <w:tr w:rsidR="001B5CF8" w14:paraId="094CB9AA" w14:textId="77777777" w:rsidTr="003D57B3">
        <w:tc>
          <w:tcPr>
            <w:tcW w:w="4395" w:type="dxa"/>
          </w:tcPr>
          <w:p w14:paraId="78C5EB63"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X-linked adrenoleukodystrophy (X-ALD)</w:t>
            </w:r>
          </w:p>
        </w:tc>
        <w:tc>
          <w:tcPr>
            <w:tcW w:w="1485" w:type="dxa"/>
          </w:tcPr>
          <w:p w14:paraId="5BE42D86" w14:textId="77777777" w:rsidR="001B5CF8" w:rsidRDefault="001B5CF8" w:rsidP="003D57B3">
            <w:pPr>
              <w:pBdr>
                <w:top w:val="nil"/>
                <w:left w:val="nil"/>
                <w:bottom w:val="nil"/>
                <w:right w:val="nil"/>
                <w:between w:val="nil"/>
              </w:pBd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ABCD1</w:t>
            </w:r>
          </w:p>
        </w:tc>
        <w:tc>
          <w:tcPr>
            <w:tcW w:w="2205" w:type="dxa"/>
          </w:tcPr>
          <w:p w14:paraId="5BB3518F"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1 (0.4%)</w:t>
            </w:r>
          </w:p>
        </w:tc>
      </w:tr>
      <w:tr w:rsidR="001B5CF8" w14:paraId="31C7DC99" w14:textId="77777777" w:rsidTr="003D57B3">
        <w:tc>
          <w:tcPr>
            <w:tcW w:w="4395" w:type="dxa"/>
          </w:tcPr>
          <w:p w14:paraId="5F7B52A6" w14:textId="77777777" w:rsidR="001B5CF8" w:rsidRDefault="001B5CF8" w:rsidP="003D57B3">
            <w:pPr>
              <w:pBdr>
                <w:top w:val="nil"/>
                <w:left w:val="nil"/>
                <w:bottom w:val="nil"/>
                <w:right w:val="nil"/>
                <w:between w:val="nil"/>
              </w:pBdr>
              <w:spacing w:before="36" w:after="36" w:line="240" w:lineRule="auto"/>
              <w:rPr>
                <w:rFonts w:ascii="Times New Roman" w:eastAsia="Times New Roman" w:hAnsi="Times New Roman" w:cs="Times New Roman"/>
              </w:rPr>
            </w:pPr>
            <w:r>
              <w:rPr>
                <w:rFonts w:ascii="Times New Roman" w:eastAsia="Times New Roman" w:hAnsi="Times New Roman" w:cs="Times New Roman"/>
              </w:rPr>
              <w:t>Ataxia-telangiectasia (AT)</w:t>
            </w:r>
          </w:p>
        </w:tc>
        <w:tc>
          <w:tcPr>
            <w:tcW w:w="1485" w:type="dxa"/>
          </w:tcPr>
          <w:p w14:paraId="191E845F"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ATM</w:t>
            </w:r>
          </w:p>
        </w:tc>
        <w:tc>
          <w:tcPr>
            <w:tcW w:w="2205" w:type="dxa"/>
          </w:tcPr>
          <w:p w14:paraId="42C8F0BA"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1 (0.4%)</w:t>
            </w:r>
          </w:p>
        </w:tc>
      </w:tr>
      <w:tr w:rsidR="001B5CF8" w14:paraId="7FA34052" w14:textId="77777777" w:rsidTr="003D57B3">
        <w:tc>
          <w:tcPr>
            <w:tcW w:w="4395" w:type="dxa"/>
          </w:tcPr>
          <w:p w14:paraId="5B66A8EE"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Primary Coenzyme Q10 Deficiency</w:t>
            </w:r>
          </w:p>
        </w:tc>
        <w:tc>
          <w:tcPr>
            <w:tcW w:w="1485" w:type="dxa"/>
          </w:tcPr>
          <w:p w14:paraId="0C6B9A04"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COQ7</w:t>
            </w:r>
          </w:p>
        </w:tc>
        <w:tc>
          <w:tcPr>
            <w:tcW w:w="2205" w:type="dxa"/>
          </w:tcPr>
          <w:p w14:paraId="17003FFB"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1 (0.4%)</w:t>
            </w:r>
          </w:p>
        </w:tc>
      </w:tr>
      <w:tr w:rsidR="001B5CF8" w14:paraId="6E6F11EB" w14:textId="77777777" w:rsidTr="003D57B3">
        <w:tc>
          <w:tcPr>
            <w:tcW w:w="4395" w:type="dxa"/>
          </w:tcPr>
          <w:p w14:paraId="34E77636"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 xml:space="preserve">Primary Dystonia </w:t>
            </w:r>
          </w:p>
        </w:tc>
        <w:tc>
          <w:tcPr>
            <w:tcW w:w="1485" w:type="dxa"/>
          </w:tcPr>
          <w:p w14:paraId="2EAEC92A"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DYT1</w:t>
            </w:r>
          </w:p>
        </w:tc>
        <w:tc>
          <w:tcPr>
            <w:tcW w:w="2205" w:type="dxa"/>
          </w:tcPr>
          <w:p w14:paraId="0268180B"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1 (0.4%)</w:t>
            </w:r>
          </w:p>
        </w:tc>
      </w:tr>
      <w:tr w:rsidR="001B5CF8" w14:paraId="1125B406" w14:textId="77777777" w:rsidTr="003D57B3">
        <w:tc>
          <w:tcPr>
            <w:tcW w:w="4395" w:type="dxa"/>
          </w:tcPr>
          <w:p w14:paraId="360F5FDB"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Facioscapulohumeral Muscular Dystrophy Type 1 (FSHD1)</w:t>
            </w:r>
          </w:p>
        </w:tc>
        <w:tc>
          <w:tcPr>
            <w:tcW w:w="1485" w:type="dxa"/>
          </w:tcPr>
          <w:p w14:paraId="06DD2C4E"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sz w:val="24"/>
                <w:szCs w:val="24"/>
                <w:highlight w:val="white"/>
              </w:rPr>
              <w:t>D4Z4</w:t>
            </w:r>
          </w:p>
        </w:tc>
        <w:tc>
          <w:tcPr>
            <w:tcW w:w="2205" w:type="dxa"/>
          </w:tcPr>
          <w:p w14:paraId="6DF95458"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1 (0.4%)</w:t>
            </w:r>
          </w:p>
        </w:tc>
      </w:tr>
      <w:tr w:rsidR="001B5CF8" w14:paraId="7D24BC15" w14:textId="77777777" w:rsidTr="003D57B3">
        <w:tc>
          <w:tcPr>
            <w:tcW w:w="4395" w:type="dxa"/>
          </w:tcPr>
          <w:p w14:paraId="6E780DFD"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 xml:space="preserve">Myopathy associated with the </w:t>
            </w:r>
            <w:r>
              <w:rPr>
                <w:rFonts w:ascii="Times New Roman" w:eastAsia="Times New Roman" w:hAnsi="Times New Roman" w:cs="Times New Roman"/>
                <w:i/>
                <w:iCs/>
              </w:rPr>
              <w:t>RYR1</w:t>
            </w:r>
            <w:r>
              <w:rPr>
                <w:rFonts w:ascii="Times New Roman" w:eastAsia="Times New Roman" w:hAnsi="Times New Roman" w:cs="Times New Roman"/>
              </w:rPr>
              <w:t xml:space="preserve"> gene</w:t>
            </w:r>
          </w:p>
        </w:tc>
        <w:tc>
          <w:tcPr>
            <w:tcW w:w="1485" w:type="dxa"/>
          </w:tcPr>
          <w:p w14:paraId="0EBD8B83"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RYR1</w:t>
            </w:r>
          </w:p>
        </w:tc>
        <w:tc>
          <w:tcPr>
            <w:tcW w:w="2205" w:type="dxa"/>
          </w:tcPr>
          <w:p w14:paraId="189DE9F3"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1 (0.4%)</w:t>
            </w:r>
          </w:p>
        </w:tc>
      </w:tr>
      <w:tr w:rsidR="001B5CF8" w14:paraId="06AE7F51" w14:textId="77777777" w:rsidTr="003D57B3">
        <w:tc>
          <w:tcPr>
            <w:tcW w:w="4395" w:type="dxa"/>
          </w:tcPr>
          <w:p w14:paraId="0550634D"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 xml:space="preserve">Hereditary spastic paraplegia (HSP) </w:t>
            </w:r>
          </w:p>
        </w:tc>
        <w:tc>
          <w:tcPr>
            <w:tcW w:w="1485" w:type="dxa"/>
          </w:tcPr>
          <w:p w14:paraId="77FE2336"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SPG11</w:t>
            </w:r>
          </w:p>
        </w:tc>
        <w:tc>
          <w:tcPr>
            <w:tcW w:w="2205" w:type="dxa"/>
          </w:tcPr>
          <w:p w14:paraId="6B99CF31"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1 (0.4%)</w:t>
            </w:r>
          </w:p>
        </w:tc>
      </w:tr>
      <w:tr w:rsidR="001B5CF8" w14:paraId="40B003F8" w14:textId="77777777" w:rsidTr="003D57B3">
        <w:trPr>
          <w:trHeight w:val="339"/>
        </w:trPr>
        <w:tc>
          <w:tcPr>
            <w:tcW w:w="4395" w:type="dxa"/>
          </w:tcPr>
          <w:p w14:paraId="6F570B48"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Primary Mitochondrial Disorders</w:t>
            </w:r>
          </w:p>
        </w:tc>
        <w:tc>
          <w:tcPr>
            <w:tcW w:w="1485" w:type="dxa"/>
          </w:tcPr>
          <w:p w14:paraId="7958C695"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TWNK</w:t>
            </w:r>
          </w:p>
        </w:tc>
        <w:tc>
          <w:tcPr>
            <w:tcW w:w="2205" w:type="dxa"/>
          </w:tcPr>
          <w:p w14:paraId="5DC74507"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1 (0.4%)</w:t>
            </w:r>
          </w:p>
        </w:tc>
      </w:tr>
      <w:tr w:rsidR="001B5CF8" w14:paraId="635309B2" w14:textId="77777777" w:rsidTr="003D57B3">
        <w:trPr>
          <w:trHeight w:val="234"/>
        </w:trPr>
        <w:tc>
          <w:tcPr>
            <w:tcW w:w="4395" w:type="dxa"/>
          </w:tcPr>
          <w:p w14:paraId="3B95268C"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Leigh Syndrome (Primary Mitochondrial Disorder)</w:t>
            </w:r>
          </w:p>
        </w:tc>
        <w:tc>
          <w:tcPr>
            <w:tcW w:w="1485" w:type="dxa"/>
          </w:tcPr>
          <w:p w14:paraId="63F4A073"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TTC19</w:t>
            </w:r>
          </w:p>
        </w:tc>
        <w:tc>
          <w:tcPr>
            <w:tcW w:w="2205" w:type="dxa"/>
          </w:tcPr>
          <w:p w14:paraId="3ABC4294"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1 (0.4%)</w:t>
            </w:r>
          </w:p>
        </w:tc>
      </w:tr>
      <w:tr w:rsidR="001B5CF8" w14:paraId="7178D717" w14:textId="77777777" w:rsidTr="003D57B3">
        <w:trPr>
          <w:trHeight w:val="339"/>
        </w:trPr>
        <w:tc>
          <w:tcPr>
            <w:tcW w:w="4395" w:type="dxa"/>
          </w:tcPr>
          <w:p w14:paraId="03A7DB04"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Fahr Syndrome</w:t>
            </w:r>
          </w:p>
        </w:tc>
        <w:tc>
          <w:tcPr>
            <w:tcW w:w="1485" w:type="dxa"/>
          </w:tcPr>
          <w:p w14:paraId="5989EAC3"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MYORG</w:t>
            </w:r>
          </w:p>
        </w:tc>
        <w:tc>
          <w:tcPr>
            <w:tcW w:w="2205" w:type="dxa"/>
          </w:tcPr>
          <w:p w14:paraId="1B003187"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1 (0.4%)</w:t>
            </w:r>
          </w:p>
        </w:tc>
      </w:tr>
      <w:tr w:rsidR="001B5CF8" w14:paraId="663A54D9" w14:textId="77777777" w:rsidTr="003D57B3">
        <w:tc>
          <w:tcPr>
            <w:tcW w:w="4395" w:type="dxa"/>
          </w:tcPr>
          <w:p w14:paraId="43E07F65"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lastRenderedPageBreak/>
              <w:t>Kearns-Sayre syndrome (KSS)</w:t>
            </w:r>
          </w:p>
        </w:tc>
        <w:tc>
          <w:tcPr>
            <w:tcW w:w="1485" w:type="dxa"/>
          </w:tcPr>
          <w:p w14:paraId="16843137"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chrM:8.482 - 13.447</w:t>
            </w:r>
          </w:p>
        </w:tc>
        <w:tc>
          <w:tcPr>
            <w:tcW w:w="2205" w:type="dxa"/>
          </w:tcPr>
          <w:p w14:paraId="6860D78E"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1 (0.4%)</w:t>
            </w:r>
          </w:p>
        </w:tc>
      </w:tr>
      <w:tr w:rsidR="001B5CF8" w14:paraId="7121C0FA" w14:textId="77777777" w:rsidTr="003D57B3">
        <w:tc>
          <w:tcPr>
            <w:tcW w:w="4395" w:type="dxa"/>
          </w:tcPr>
          <w:p w14:paraId="66D6091B"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Noonan Syndrome (NS)</w:t>
            </w:r>
          </w:p>
        </w:tc>
        <w:tc>
          <w:tcPr>
            <w:tcW w:w="1485" w:type="dxa"/>
          </w:tcPr>
          <w:p w14:paraId="3C284FD0"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PTPN11</w:t>
            </w:r>
          </w:p>
        </w:tc>
        <w:tc>
          <w:tcPr>
            <w:tcW w:w="2205" w:type="dxa"/>
          </w:tcPr>
          <w:p w14:paraId="718AB3D4"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1 (0.4%)</w:t>
            </w:r>
          </w:p>
        </w:tc>
      </w:tr>
      <w:tr w:rsidR="001B5CF8" w14:paraId="086B192A" w14:textId="77777777" w:rsidTr="003D57B3">
        <w:tc>
          <w:tcPr>
            <w:tcW w:w="4395" w:type="dxa"/>
          </w:tcPr>
          <w:p w14:paraId="36F5257E"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Disorders of the Metabolism of Sulfur-Containing Amino Acids</w:t>
            </w:r>
          </w:p>
        </w:tc>
        <w:tc>
          <w:tcPr>
            <w:tcW w:w="1485" w:type="dxa"/>
          </w:tcPr>
          <w:p w14:paraId="75AC1130"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MTHFR</w:t>
            </w:r>
          </w:p>
        </w:tc>
        <w:tc>
          <w:tcPr>
            <w:tcW w:w="2205" w:type="dxa"/>
          </w:tcPr>
          <w:p w14:paraId="651C440A"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1 (0.4%)</w:t>
            </w:r>
          </w:p>
        </w:tc>
      </w:tr>
      <w:tr w:rsidR="001B5CF8" w14:paraId="5FC93B0B" w14:textId="77777777" w:rsidTr="003D57B3">
        <w:tc>
          <w:tcPr>
            <w:tcW w:w="4395" w:type="dxa"/>
          </w:tcPr>
          <w:p w14:paraId="0FB11875" w14:textId="77777777" w:rsidR="001B5CF8" w:rsidRDefault="001B5CF8" w:rsidP="003D57B3">
            <w:pPr>
              <w:spacing w:before="36" w:after="36" w:line="240" w:lineRule="auto"/>
              <w:rPr>
                <w:rFonts w:ascii="Times New Roman" w:eastAsia="Times New Roman" w:hAnsi="Times New Roman" w:cs="Times New Roman"/>
              </w:rPr>
            </w:pPr>
            <w:r>
              <w:rPr>
                <w:rFonts w:ascii="Times New Roman" w:eastAsia="Times New Roman" w:hAnsi="Times New Roman" w:cs="Times New Roman"/>
              </w:rPr>
              <w:t>Cerebrotendinous Xanthomatosis (CTX)</w:t>
            </w:r>
          </w:p>
        </w:tc>
        <w:tc>
          <w:tcPr>
            <w:tcW w:w="1485" w:type="dxa"/>
          </w:tcPr>
          <w:p w14:paraId="1803FCD3" w14:textId="77777777" w:rsidR="001B5CF8" w:rsidRDefault="001B5CF8" w:rsidP="003D57B3">
            <w:pPr>
              <w:spacing w:before="36" w:after="36" w:line="240" w:lineRule="auto"/>
              <w:rPr>
                <w:rFonts w:ascii="Times New Roman" w:eastAsia="Times New Roman" w:hAnsi="Times New Roman" w:cs="Times New Roman"/>
                <w:i/>
                <w:iCs/>
              </w:rPr>
            </w:pPr>
            <w:r>
              <w:rPr>
                <w:rFonts w:ascii="Times New Roman" w:eastAsia="Times New Roman" w:hAnsi="Times New Roman" w:cs="Times New Roman"/>
                <w:i/>
                <w:iCs/>
              </w:rPr>
              <w:t>CYP27A1</w:t>
            </w:r>
          </w:p>
        </w:tc>
        <w:tc>
          <w:tcPr>
            <w:tcW w:w="2205" w:type="dxa"/>
          </w:tcPr>
          <w:p w14:paraId="6C06E698" w14:textId="77777777" w:rsidR="001B5CF8" w:rsidRDefault="001B5CF8" w:rsidP="003D57B3">
            <w:pPr>
              <w:spacing w:before="36" w:after="36" w:line="240" w:lineRule="auto"/>
              <w:jc w:val="center"/>
              <w:rPr>
                <w:rFonts w:ascii="Times New Roman" w:eastAsia="Times New Roman" w:hAnsi="Times New Roman" w:cs="Times New Roman"/>
              </w:rPr>
            </w:pPr>
            <w:r>
              <w:rPr>
                <w:rFonts w:ascii="Times New Roman" w:eastAsia="Times New Roman" w:hAnsi="Times New Roman" w:cs="Times New Roman"/>
              </w:rPr>
              <w:t>1 (0.4%)</w:t>
            </w:r>
          </w:p>
        </w:tc>
      </w:tr>
    </w:tbl>
    <w:p w14:paraId="45EB0F81" w14:textId="77777777" w:rsidR="001B5CF8" w:rsidRDefault="001B5CF8" w:rsidP="001B5CF8">
      <w:pPr>
        <w:spacing w:after="200" w:line="240" w:lineRule="auto"/>
      </w:pPr>
    </w:p>
    <w:p w14:paraId="65BEA107" w14:textId="77777777" w:rsidR="001B5CF8" w:rsidRDefault="001B5CF8" w:rsidP="001B5CF8"/>
    <w:p w14:paraId="5D34693A" w14:textId="77777777" w:rsidR="001B5CF8" w:rsidRDefault="001B5CF8" w:rsidP="001B5CF8">
      <w:pPr>
        <w:rPr>
          <w:highlight w:val="yellow"/>
        </w:rPr>
      </w:pPr>
      <w:r>
        <w:rPr>
          <w:b/>
          <w:bCs/>
        </w:rPr>
        <w:t>Disclosures:</w:t>
      </w:r>
      <w:r>
        <w:t xml:space="preserve"> </w:t>
      </w:r>
    </w:p>
    <w:p w14:paraId="3EB5AE30" w14:textId="77777777" w:rsidR="001B5CF8" w:rsidRDefault="001B5CF8" w:rsidP="001B5CF8">
      <w:pPr>
        <w:widowControl w:val="0"/>
        <w:spacing w:line="240" w:lineRule="auto"/>
        <w:ind w:right="286"/>
        <w:jc w:val="both"/>
      </w:pPr>
      <w:r>
        <w:rPr>
          <w:rFonts w:ascii="Times New Roman" w:eastAsia="Times New Roman" w:hAnsi="Times New Roman" w:cs="Times New Roman"/>
          <w:sz w:val="24"/>
          <w:szCs w:val="24"/>
        </w:rPr>
        <w:t xml:space="preserve">Ryan Taft, Akanchha Kesari and Erin Venti were employees and shareholders of Illumina, Inc. at the time of this investigation. Additionally, the iHope program was funded by Illumina Inc. through March 2024. </w:t>
      </w:r>
    </w:p>
    <w:p w14:paraId="5AE8324A" w14:textId="77777777" w:rsidR="001B5CF8" w:rsidRDefault="001B5CF8" w:rsidP="001B5CF8"/>
    <w:p w14:paraId="5720A87A"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CF8"/>
    <w:rsid w:val="001B5CF8"/>
    <w:rsid w:val="002759A5"/>
    <w:rsid w:val="003C2EF4"/>
    <w:rsid w:val="00446799"/>
    <w:rsid w:val="006A7E07"/>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7F147"/>
  <w15:chartTrackingRefBased/>
  <w15:docId w15:val="{FB9ABE55-7CA6-4A8F-A786-146CBE63A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5CF8"/>
    <w:pPr>
      <w:spacing w:after="0" w:line="276" w:lineRule="auto"/>
    </w:pPr>
    <w:rPr>
      <w:rFonts w:ascii="Arial" w:eastAsia="Arial" w:hAnsi="Arial" w:cs="Arial"/>
      <w:kern w:val="0"/>
      <w:sz w:val="22"/>
      <w:szCs w:val="22"/>
      <w:lang w:val="en" w:eastAsia="en-GB"/>
      <w14:ligatures w14:val="none"/>
    </w:rPr>
  </w:style>
  <w:style w:type="paragraph" w:styleId="Heading1">
    <w:name w:val="heading 1"/>
    <w:basedOn w:val="Normal"/>
    <w:next w:val="Normal"/>
    <w:link w:val="Heading1Char"/>
    <w:uiPriority w:val="9"/>
    <w:qFormat/>
    <w:rsid w:val="001B5CF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unhideWhenUsed/>
    <w:qFormat/>
    <w:rsid w:val="001B5CF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1B5CF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1B5CF8"/>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1B5CF8"/>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1B5CF8"/>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1B5CF8"/>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1B5CF8"/>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1B5CF8"/>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5C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5C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5C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5C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5C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5C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5C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5C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5CF8"/>
    <w:rPr>
      <w:rFonts w:eastAsiaTheme="majorEastAsia" w:cstheme="majorBidi"/>
      <w:color w:val="272727" w:themeColor="text1" w:themeTint="D8"/>
    </w:rPr>
  </w:style>
  <w:style w:type="paragraph" w:styleId="Title">
    <w:name w:val="Title"/>
    <w:basedOn w:val="Normal"/>
    <w:next w:val="Normal"/>
    <w:link w:val="TitleChar"/>
    <w:uiPriority w:val="10"/>
    <w:qFormat/>
    <w:rsid w:val="001B5CF8"/>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1B5C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5CF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1B5C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5CF8"/>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1B5CF8"/>
    <w:rPr>
      <w:i/>
      <w:iCs/>
      <w:color w:val="404040" w:themeColor="text1" w:themeTint="BF"/>
    </w:rPr>
  </w:style>
  <w:style w:type="paragraph" w:styleId="ListParagraph">
    <w:name w:val="List Paragraph"/>
    <w:basedOn w:val="Normal"/>
    <w:uiPriority w:val="34"/>
    <w:qFormat/>
    <w:rsid w:val="001B5CF8"/>
    <w:pPr>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1B5CF8"/>
    <w:rPr>
      <w:i/>
      <w:iCs/>
      <w:color w:val="0F4761" w:themeColor="accent1" w:themeShade="BF"/>
    </w:rPr>
  </w:style>
  <w:style w:type="paragraph" w:styleId="IntenseQuote">
    <w:name w:val="Intense Quote"/>
    <w:basedOn w:val="Normal"/>
    <w:next w:val="Normal"/>
    <w:link w:val="IntenseQuoteChar"/>
    <w:uiPriority w:val="30"/>
    <w:qFormat/>
    <w:rsid w:val="001B5CF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1B5CF8"/>
    <w:rPr>
      <w:i/>
      <w:iCs/>
      <w:color w:val="0F4761" w:themeColor="accent1" w:themeShade="BF"/>
    </w:rPr>
  </w:style>
  <w:style w:type="character" w:styleId="IntenseReference">
    <w:name w:val="Intense Reference"/>
    <w:basedOn w:val="DefaultParagraphFont"/>
    <w:uiPriority w:val="32"/>
    <w:qFormat/>
    <w:rsid w:val="001B5CF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279</Words>
  <Characters>1666</Characters>
  <Application>Microsoft Office Word</Application>
  <DocSecurity>0</DocSecurity>
  <Lines>40</Lines>
  <Paragraphs>25</Paragraphs>
  <ScaleCrop>false</ScaleCrop>
  <Company>Springer Nature</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2026-02-03T09:24:00Z</dcterms:created>
  <dcterms:modified xsi:type="dcterms:W3CDTF">2026-02-03T09:24:00Z</dcterms:modified>
</cp:coreProperties>
</file>