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BAF77" w14:textId="77777777" w:rsidR="009C5D33" w:rsidRPr="006A6C97" w:rsidRDefault="00000000">
      <w:pPr>
        <w:pStyle w:val="Heading2"/>
        <w:spacing w:after="0" w:line="259" w:lineRule="auto"/>
        <w:jc w:val="both"/>
        <w:rPr>
          <w:rFonts w:asciiTheme="majorBidi" w:eastAsia="Times New Roman" w:hAnsiTheme="majorBidi" w:cstheme="majorBidi"/>
          <w:smallCaps/>
          <w:sz w:val="28"/>
          <w:szCs w:val="28"/>
        </w:rPr>
      </w:pPr>
      <w:bookmarkStart w:id="0" w:name="_50eizf4jh7ji" w:colFirst="0" w:colLast="0"/>
      <w:bookmarkEnd w:id="0"/>
      <w:r w:rsidRPr="006A6C97">
        <w:rPr>
          <w:rFonts w:asciiTheme="majorBidi" w:eastAsia="Times New Roman" w:hAnsiTheme="majorBidi" w:cstheme="majorBidi"/>
          <w:smallCaps/>
          <w:sz w:val="28"/>
          <w:szCs w:val="28"/>
        </w:rPr>
        <w:t>Table 4. Multivariable Analysis for Predictors of Anatomical Outcome</w:t>
      </w:r>
    </w:p>
    <w:p w14:paraId="40F75EFE" w14:textId="77777777" w:rsidR="009C5D33" w:rsidRPr="006A6C97" w:rsidRDefault="009C5D33">
      <w:pPr>
        <w:pStyle w:val="Heading2"/>
        <w:spacing w:after="0" w:line="259" w:lineRule="auto"/>
        <w:jc w:val="both"/>
        <w:rPr>
          <w:rFonts w:asciiTheme="majorBidi" w:eastAsia="Times New Roman" w:hAnsiTheme="majorBidi" w:cstheme="majorBidi"/>
        </w:rPr>
      </w:pPr>
      <w:bookmarkStart w:id="1" w:name="_8i7r5jtalvoq" w:colFirst="0" w:colLast="0"/>
      <w:bookmarkEnd w:id="1"/>
    </w:p>
    <w:tbl>
      <w:tblPr>
        <w:tblStyle w:val="a"/>
        <w:tblW w:w="7545" w:type="dxa"/>
        <w:tblInd w:w="-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975"/>
        <w:gridCol w:w="1755"/>
        <w:gridCol w:w="1515"/>
        <w:gridCol w:w="960"/>
      </w:tblGrid>
      <w:tr w:rsidR="009C5D33" w:rsidRPr="006A6C97" w14:paraId="2D9727D4" w14:textId="77777777">
        <w:trPr>
          <w:trHeight w:val="330"/>
        </w:trPr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D040C4A" w14:textId="77777777" w:rsidR="009C5D33" w:rsidRPr="006A6C97" w:rsidRDefault="009C5D3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F5860CD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>B (µm)</w:t>
            </w:r>
          </w:p>
        </w:tc>
        <w:tc>
          <w:tcPr>
            <w:tcW w:w="17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C86844C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>95% CI</w:t>
            </w:r>
          </w:p>
        </w:tc>
        <w:tc>
          <w:tcPr>
            <w:tcW w:w="15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F8E19B3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>Standardized β</w:t>
            </w:r>
          </w:p>
        </w:tc>
        <w:tc>
          <w:tcPr>
            <w:tcW w:w="9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97CA372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>p-value</w:t>
            </w:r>
          </w:p>
        </w:tc>
      </w:tr>
      <w:tr w:rsidR="009C5D33" w:rsidRPr="006A6C97" w14:paraId="332357D7" w14:textId="77777777">
        <w:trPr>
          <w:trHeight w:val="600"/>
        </w:trPr>
        <w:tc>
          <w:tcPr>
            <w:tcW w:w="23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ADFBA92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Second-line drug</w:t>
            </w: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br/>
              <w:t xml:space="preserve"> (</w:t>
            </w:r>
            <w:proofErr w:type="spellStart"/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>faricimab</w:t>
            </w:r>
            <w:proofErr w:type="spellEnd"/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)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405429E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>20.34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8D95721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[−47.78, 88.45]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4F05B84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>0.073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3F39838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>0.555</w:t>
            </w:r>
          </w:p>
        </w:tc>
      </w:tr>
      <w:tr w:rsidR="009C5D33" w:rsidRPr="006A6C97" w14:paraId="1CE6C45C" w14:textId="77777777">
        <w:trPr>
          <w:trHeight w:val="600"/>
        </w:trPr>
        <w:tc>
          <w:tcPr>
            <w:tcW w:w="23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DED8F1F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Number of injections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D98850F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−3.57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F356065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[−7.63, 0.50]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DBFFBA0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−0.227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9250968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>0.085</w:t>
            </w:r>
          </w:p>
        </w:tc>
      </w:tr>
      <w:tr w:rsidR="009C5D33" w:rsidRPr="006A6C97" w14:paraId="3B22BF1E" w14:textId="77777777">
        <w:trPr>
          <w:trHeight w:val="330"/>
        </w:trPr>
        <w:tc>
          <w:tcPr>
            <w:tcW w:w="23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C07AE59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Age (years)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DB87DA0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>1.18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9B82F2E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[−2.15, 4.51]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9F6B933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>0.073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92BA9EE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>0.484</w:t>
            </w:r>
          </w:p>
        </w:tc>
      </w:tr>
      <w:tr w:rsidR="009C5D33" w:rsidRPr="006A6C97" w14:paraId="3228C9CF" w14:textId="77777777">
        <w:trPr>
          <w:trHeight w:val="330"/>
        </w:trPr>
        <w:tc>
          <w:tcPr>
            <w:tcW w:w="23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F0AA975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Sex (male)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713B2E4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−21.40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9C28FF2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[−65.85, 23.04]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8191CD0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−0.077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67358F7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>0.342</w:t>
            </w:r>
          </w:p>
        </w:tc>
      </w:tr>
      <w:tr w:rsidR="009C5D33" w:rsidRPr="006A6C97" w14:paraId="7EBD1524" w14:textId="77777777">
        <w:trPr>
          <w:trHeight w:val="330"/>
        </w:trPr>
        <w:tc>
          <w:tcPr>
            <w:tcW w:w="23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1D2C803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Eye laterality (right)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E5015AC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−32.21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15C479F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[−77.06, 12.64]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34540A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−0.116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E88BCBB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>0.157</w:t>
            </w:r>
          </w:p>
        </w:tc>
      </w:tr>
      <w:tr w:rsidR="009C5D33" w:rsidRPr="006A6C97" w14:paraId="13407FF0" w14:textId="77777777">
        <w:trPr>
          <w:trHeight w:val="600"/>
        </w:trPr>
        <w:tc>
          <w:tcPr>
            <w:tcW w:w="23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E103A9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Lens status</w:t>
            </w: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br/>
              <w:t xml:space="preserve"> (pseudophakic)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1562E5A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−20.54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23D293C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[−74.57, 33.48]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F63A3E9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−0.074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C93F591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>0.453</w:t>
            </w:r>
          </w:p>
        </w:tc>
      </w:tr>
      <w:tr w:rsidR="009C5D33" w:rsidRPr="006A6C97" w14:paraId="6CD8B5A6" w14:textId="77777777">
        <w:trPr>
          <w:trHeight w:val="600"/>
        </w:trPr>
        <w:tc>
          <w:tcPr>
            <w:tcW w:w="23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C78DFDF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First-line agent</w:t>
            </w: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br/>
              <w:t xml:space="preserve"> (bevacizumab)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4314501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−50.54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1310CC8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[−109.41, 8.33]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1C43132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−0.163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EA00B27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>0.092</w:t>
            </w:r>
          </w:p>
        </w:tc>
      </w:tr>
      <w:tr w:rsidR="009C5D33" w:rsidRPr="006A6C97" w14:paraId="39DE7B05" w14:textId="77777777">
        <w:trPr>
          <w:trHeight w:val="330"/>
        </w:trPr>
        <w:tc>
          <w:tcPr>
            <w:tcW w:w="23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0BDA361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Baseline BCVA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631A6AB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−19.75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9D3AD37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[−73.54, 34.03]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8A8C836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−0.062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E15800F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>0.468</w:t>
            </w:r>
          </w:p>
        </w:tc>
      </w:tr>
      <w:tr w:rsidR="009C5D33" w:rsidRPr="006A6C97" w14:paraId="0DD1C1F2" w14:textId="77777777">
        <w:trPr>
          <w:trHeight w:val="600"/>
        </w:trPr>
        <w:tc>
          <w:tcPr>
            <w:tcW w:w="23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72231CE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Baseline CMT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5DD6E25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−0.510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AD77820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[−0.686, −0.335]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728590A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−0.565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ECA063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&lt; 0.001</w:t>
            </w:r>
          </w:p>
        </w:tc>
      </w:tr>
      <w:tr w:rsidR="009C5D33" w:rsidRPr="006A6C97" w14:paraId="187540AE" w14:textId="77777777">
        <w:trPr>
          <w:trHeight w:val="600"/>
        </w:trPr>
        <w:tc>
          <w:tcPr>
            <w:tcW w:w="23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30A1B6F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Follow-up duration</w:t>
            </w: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br/>
              <w:t xml:space="preserve"> (months)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5CB45D7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>28.57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243451D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[−4.96, 62.10]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9BF34B0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>0.229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75524E4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>0.094</w:t>
            </w:r>
          </w:p>
        </w:tc>
      </w:tr>
      <w:tr w:rsidR="009C5D33" w:rsidRPr="006A6C97" w14:paraId="4DD37668" w14:textId="77777777">
        <w:trPr>
          <w:trHeight w:val="600"/>
        </w:trPr>
        <w:tc>
          <w:tcPr>
            <w:tcW w:w="23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53F24CE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Final interval (weeks)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273EB9F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−8.40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423051B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[−16.96, 0.16]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E87CE8C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Gungsuh" w:hAnsiTheme="majorBidi" w:cstheme="majorBidi"/>
                <w:sz w:val="20"/>
                <w:szCs w:val="20"/>
              </w:rPr>
              <w:t>−0.215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B0BC6B9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0.054</w:t>
            </w:r>
          </w:p>
        </w:tc>
      </w:tr>
      <w:tr w:rsidR="009C5D33" w:rsidRPr="006A6C97" w14:paraId="700FFED2" w14:textId="77777777">
        <w:trPr>
          <w:trHeight w:val="520"/>
        </w:trPr>
        <w:tc>
          <w:tcPr>
            <w:tcW w:w="754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4724D65" w14:textId="77777777" w:rsidR="009C5D33" w:rsidRPr="006A6C9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A6C97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BCVA; best-corrected visual acuity, CMT; central macular thickness</w:t>
            </w:r>
          </w:p>
        </w:tc>
      </w:tr>
    </w:tbl>
    <w:p w14:paraId="30AFA40B" w14:textId="77777777" w:rsidR="009C5D33" w:rsidRPr="006A6C97" w:rsidRDefault="009C5D33">
      <w:pPr>
        <w:pStyle w:val="Heading2"/>
        <w:spacing w:after="0" w:line="259" w:lineRule="auto"/>
        <w:jc w:val="both"/>
        <w:rPr>
          <w:rFonts w:asciiTheme="majorBidi" w:eastAsia="Times New Roman" w:hAnsiTheme="majorBidi" w:cstheme="majorBidi"/>
        </w:rPr>
      </w:pPr>
      <w:bookmarkStart w:id="2" w:name="_ptfz99b47026" w:colFirst="0" w:colLast="0"/>
      <w:bookmarkEnd w:id="2"/>
    </w:p>
    <w:sectPr w:rsidR="009C5D33" w:rsidRPr="006A6C9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37533A1-E302-E141-B5B6-600ACC2E5196}"/>
    <w:embedItalic r:id="rId2" w:fontKey="{87EC6E7F-FFF4-4940-9BA9-9D635E8283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940CAF3-163E-7147-8F8F-CE8C4B59919C}"/>
    <w:embedBold r:id="rId4" w:fontKey="{0F07F521-3872-E145-A1B1-48F573412A6F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DAAEF667-15EB-1540-96E6-7D85E162CAA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BA0C1FAA-EAFB-844C-AC75-87E487EE7E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D33"/>
    <w:rsid w:val="002858E5"/>
    <w:rsid w:val="006A6C97"/>
    <w:rsid w:val="009C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6A8C4F"/>
  <w15:docId w15:val="{FA4ED841-6696-8444-A8B1-344CCDC9F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Roy Meiri</cp:lastModifiedBy>
  <cp:revision>2</cp:revision>
  <dcterms:created xsi:type="dcterms:W3CDTF">2025-12-03T21:59:00Z</dcterms:created>
  <dcterms:modified xsi:type="dcterms:W3CDTF">2025-12-03T22:00:00Z</dcterms:modified>
</cp:coreProperties>
</file>