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0C69" w14:textId="32208A26" w:rsidR="001267EA" w:rsidRPr="001267EA" w:rsidRDefault="001267EA" w:rsidP="008475F1">
      <w:pPr>
        <w:pStyle w:val="NoSpacing"/>
        <w:spacing w:line="480" w:lineRule="auto"/>
        <w:jc w:val="both"/>
        <w:rPr>
          <w:b/>
          <w:bCs/>
          <w:sz w:val="36"/>
          <w:szCs w:val="36"/>
          <w:lang w:val="en-US"/>
        </w:rPr>
      </w:pPr>
      <w:bookmarkStart w:id="0" w:name="_Hlk218505408"/>
      <w:r w:rsidRPr="001267EA">
        <w:rPr>
          <w:b/>
          <w:bCs/>
          <w:sz w:val="36"/>
          <w:szCs w:val="36"/>
          <w:lang w:val="en-US"/>
        </w:rPr>
        <w:t>Supplementary figures</w:t>
      </w:r>
    </w:p>
    <w:p w14:paraId="06CA7D73" w14:textId="77777777" w:rsidR="001267EA" w:rsidRDefault="001267EA" w:rsidP="008475F1">
      <w:pPr>
        <w:pStyle w:val="NoSpacing"/>
        <w:spacing w:line="480" w:lineRule="auto"/>
        <w:jc w:val="both"/>
        <w:rPr>
          <w:b/>
          <w:bCs/>
          <w:sz w:val="28"/>
          <w:lang w:val="en-US"/>
        </w:rPr>
      </w:pPr>
    </w:p>
    <w:p w14:paraId="13DA8CD3" w14:textId="5E5527A7" w:rsidR="001267EA" w:rsidRPr="00A03C8C" w:rsidRDefault="001267EA" w:rsidP="008475F1">
      <w:pPr>
        <w:pStyle w:val="NoSpacing"/>
        <w:spacing w:line="480" w:lineRule="auto"/>
        <w:jc w:val="both"/>
        <w:rPr>
          <w:b/>
          <w:bCs/>
          <w:sz w:val="28"/>
          <w:lang w:val="en-US"/>
        </w:rPr>
      </w:pPr>
      <w:r w:rsidRPr="00A03C8C">
        <w:rPr>
          <w:b/>
          <w:bCs/>
          <w:sz w:val="28"/>
          <w:lang w:val="en-US"/>
        </w:rPr>
        <w:t>Molecular Consequences of Pathogenic SDHA Variants: From Defective Flavinylation and Assembly to Lipid Remodeling</w:t>
      </w:r>
    </w:p>
    <w:bookmarkEnd w:id="0"/>
    <w:p w14:paraId="42594009" w14:textId="77777777" w:rsidR="001267EA" w:rsidRPr="00A03C8C" w:rsidRDefault="001267EA" w:rsidP="008475F1">
      <w:pPr>
        <w:pStyle w:val="NoSpacing"/>
        <w:spacing w:line="480" w:lineRule="auto"/>
        <w:jc w:val="both"/>
        <w:rPr>
          <w:b/>
          <w:bCs/>
          <w:sz w:val="28"/>
          <w:lang w:val="en-US"/>
        </w:rPr>
      </w:pPr>
    </w:p>
    <w:p w14:paraId="74FA7AC0" w14:textId="77777777" w:rsidR="001267EA" w:rsidRPr="00A03C8C" w:rsidRDefault="001267EA" w:rsidP="008475F1">
      <w:pPr>
        <w:pStyle w:val="NoSpacing"/>
        <w:spacing w:line="480" w:lineRule="auto"/>
        <w:jc w:val="both"/>
        <w:rPr>
          <w:b/>
          <w:sz w:val="24"/>
          <w:szCs w:val="24"/>
          <w:lang w:val="en-US"/>
        </w:rPr>
      </w:pPr>
      <w:r w:rsidRPr="00A03C8C">
        <w:rPr>
          <w:b/>
          <w:sz w:val="24"/>
          <w:szCs w:val="24"/>
          <w:lang w:val="en-US"/>
        </w:rPr>
        <w:t>María José Saucedo-Rodríguez</w:t>
      </w:r>
      <w:r w:rsidRPr="00A03C8C">
        <w:rPr>
          <w:b/>
          <w:sz w:val="24"/>
          <w:szCs w:val="24"/>
          <w:vertAlign w:val="superscript"/>
          <w:lang w:val="en-US"/>
        </w:rPr>
        <w:t>1,2</w:t>
      </w:r>
      <w:r w:rsidRPr="00A03C8C">
        <w:rPr>
          <w:b/>
          <w:sz w:val="24"/>
          <w:szCs w:val="24"/>
          <w:lang w:val="en-US"/>
        </w:rPr>
        <w:t>, Petr Pecina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  <w:r w:rsidRPr="00A03C8C">
        <w:rPr>
          <w:b/>
          <w:sz w:val="24"/>
          <w:szCs w:val="24"/>
          <w:lang w:val="en-US"/>
        </w:rPr>
        <w:t>, Kateřina Tauchamnnová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  <w:r w:rsidRPr="00A03C8C">
        <w:rPr>
          <w:b/>
          <w:sz w:val="24"/>
          <w:szCs w:val="24"/>
          <w:lang w:val="en-US"/>
        </w:rPr>
        <w:t>, Kristýna Čunátová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  <w:r w:rsidRPr="00A03C8C">
        <w:rPr>
          <w:b/>
          <w:sz w:val="24"/>
          <w:szCs w:val="24"/>
          <w:lang w:val="en-US"/>
        </w:rPr>
        <w:t>, Marek Vrbacký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  <w:r w:rsidRPr="00A03C8C">
        <w:rPr>
          <w:b/>
          <w:sz w:val="24"/>
          <w:szCs w:val="24"/>
          <w:lang w:val="en-US"/>
        </w:rPr>
        <w:t>, Tomáš Čajka</w:t>
      </w:r>
      <w:r w:rsidRPr="00A03C8C">
        <w:rPr>
          <w:b/>
          <w:sz w:val="24"/>
          <w:szCs w:val="24"/>
          <w:vertAlign w:val="superscript"/>
          <w:lang w:val="en-US"/>
        </w:rPr>
        <w:t>3</w:t>
      </w:r>
      <w:r w:rsidRPr="00A03C8C">
        <w:rPr>
          <w:b/>
          <w:sz w:val="24"/>
          <w:szCs w:val="24"/>
          <w:lang w:val="en-US"/>
        </w:rPr>
        <w:t>,</w:t>
      </w:r>
      <w:r w:rsidRPr="00A03C8C">
        <w:rPr>
          <w:b/>
          <w:sz w:val="24"/>
          <w:szCs w:val="24"/>
          <w:vertAlign w:val="superscript"/>
          <w:lang w:val="en-US"/>
        </w:rPr>
        <w:t xml:space="preserve"> </w:t>
      </w:r>
      <w:r w:rsidRPr="00936E76">
        <w:rPr>
          <w:b/>
          <w:sz w:val="24"/>
          <w:szCs w:val="24"/>
          <w:lang w:val="en-US"/>
        </w:rPr>
        <w:t>Josef Houštěk</w:t>
      </w:r>
      <w:r>
        <w:rPr>
          <w:b/>
          <w:sz w:val="24"/>
          <w:szCs w:val="24"/>
          <w:vertAlign w:val="superscript"/>
          <w:lang w:val="en-US"/>
        </w:rPr>
        <w:t xml:space="preserve">1, </w:t>
      </w:r>
      <w:r w:rsidRPr="00A03C8C">
        <w:rPr>
          <w:b/>
          <w:sz w:val="24"/>
          <w:szCs w:val="24"/>
          <w:lang w:val="en-US"/>
        </w:rPr>
        <w:t>Tomáš Mráček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  <w:r w:rsidRPr="00A03C8C">
        <w:rPr>
          <w:b/>
          <w:sz w:val="24"/>
          <w:szCs w:val="24"/>
          <w:lang w:val="en-US"/>
        </w:rPr>
        <w:t xml:space="preserve"> and Alena Pecinová</w:t>
      </w:r>
      <w:r w:rsidRPr="00A03C8C">
        <w:rPr>
          <w:b/>
          <w:sz w:val="24"/>
          <w:szCs w:val="24"/>
          <w:vertAlign w:val="superscript"/>
          <w:lang w:val="en-US"/>
        </w:rPr>
        <w:t>1</w:t>
      </w:r>
    </w:p>
    <w:p w14:paraId="05A51BE0" w14:textId="77777777" w:rsidR="00C3073E" w:rsidRDefault="00C3073E" w:rsidP="008475F1">
      <w:pPr>
        <w:spacing w:line="480" w:lineRule="auto"/>
        <w:rPr>
          <w:b/>
          <w:bCs/>
          <w:lang w:val="en-US"/>
        </w:rPr>
      </w:pPr>
    </w:p>
    <w:p w14:paraId="1A60B2C1" w14:textId="77777777" w:rsidR="00C3073E" w:rsidRPr="00A03C8C" w:rsidRDefault="00C3073E" w:rsidP="008475F1">
      <w:pPr>
        <w:pStyle w:val="NoSpacing"/>
        <w:spacing w:line="480" w:lineRule="auto"/>
        <w:jc w:val="both"/>
        <w:rPr>
          <w:bCs/>
          <w:i/>
          <w:sz w:val="24"/>
          <w:szCs w:val="24"/>
          <w:lang w:val="en-US"/>
        </w:rPr>
      </w:pPr>
      <w:r w:rsidRPr="00A03C8C">
        <w:rPr>
          <w:bCs/>
          <w:sz w:val="24"/>
          <w:szCs w:val="24"/>
          <w:vertAlign w:val="superscript"/>
          <w:lang w:val="en-US"/>
        </w:rPr>
        <w:t xml:space="preserve">1 </w:t>
      </w:r>
      <w:r w:rsidRPr="00A03C8C">
        <w:rPr>
          <w:bCs/>
          <w:i/>
          <w:sz w:val="24"/>
          <w:szCs w:val="24"/>
          <w:lang w:val="en-US"/>
        </w:rPr>
        <w:t>Laboratory of Bioenergetics, Institute of Physiology, Czech Academy of Sciences, Prague, Czech Republic</w:t>
      </w:r>
    </w:p>
    <w:p w14:paraId="0AB65834" w14:textId="77777777" w:rsidR="00C3073E" w:rsidRPr="00A03C8C" w:rsidRDefault="00C3073E" w:rsidP="008475F1">
      <w:pPr>
        <w:pStyle w:val="NoSpacing"/>
        <w:spacing w:line="480" w:lineRule="auto"/>
        <w:jc w:val="both"/>
        <w:rPr>
          <w:bCs/>
          <w:i/>
          <w:sz w:val="24"/>
          <w:szCs w:val="24"/>
          <w:lang w:val="en-US"/>
        </w:rPr>
      </w:pPr>
      <w:r w:rsidRPr="00A03C8C">
        <w:rPr>
          <w:bCs/>
          <w:sz w:val="24"/>
          <w:szCs w:val="24"/>
          <w:vertAlign w:val="superscript"/>
          <w:lang w:val="en-US"/>
        </w:rPr>
        <w:t>2</w:t>
      </w:r>
      <w:r w:rsidRPr="00A03C8C">
        <w:rPr>
          <w:bCs/>
          <w:sz w:val="24"/>
          <w:szCs w:val="24"/>
          <w:lang w:val="en-US"/>
        </w:rPr>
        <w:t xml:space="preserve"> </w:t>
      </w:r>
      <w:r w:rsidRPr="00A03C8C">
        <w:rPr>
          <w:bCs/>
          <w:i/>
          <w:iCs/>
          <w:sz w:val="24"/>
          <w:szCs w:val="24"/>
          <w:lang w:val="en-US"/>
        </w:rPr>
        <w:t xml:space="preserve">Faculty of Science, Charles University, Prague, Czech Republic. </w:t>
      </w:r>
    </w:p>
    <w:p w14:paraId="10627E50" w14:textId="77777777" w:rsidR="00C3073E" w:rsidRPr="00A03C8C" w:rsidRDefault="00C3073E" w:rsidP="008475F1">
      <w:pPr>
        <w:pStyle w:val="NoSpacing"/>
        <w:spacing w:line="480" w:lineRule="auto"/>
        <w:jc w:val="both"/>
        <w:rPr>
          <w:bCs/>
          <w:sz w:val="24"/>
          <w:szCs w:val="24"/>
          <w:lang w:val="en-US"/>
        </w:rPr>
      </w:pPr>
      <w:r w:rsidRPr="00A03C8C">
        <w:rPr>
          <w:bCs/>
          <w:sz w:val="24"/>
          <w:szCs w:val="24"/>
          <w:vertAlign w:val="superscript"/>
          <w:lang w:val="en-US"/>
        </w:rPr>
        <w:t>3</w:t>
      </w:r>
      <w:r w:rsidRPr="00A03C8C">
        <w:rPr>
          <w:bCs/>
          <w:sz w:val="24"/>
          <w:szCs w:val="24"/>
          <w:lang w:val="en-US"/>
        </w:rPr>
        <w:t xml:space="preserve"> </w:t>
      </w:r>
      <w:r w:rsidRPr="00A03C8C">
        <w:rPr>
          <w:bCs/>
          <w:i/>
          <w:sz w:val="24"/>
          <w:szCs w:val="24"/>
          <w:lang w:val="en-US"/>
        </w:rPr>
        <w:t>Laboratory of Translational Metabolism, Institute of Physiology, Czech Academy of Sciences, Prague, Czech Republic</w:t>
      </w:r>
      <w:r w:rsidRPr="00A03C8C">
        <w:rPr>
          <w:bCs/>
          <w:sz w:val="24"/>
          <w:szCs w:val="24"/>
          <w:lang w:val="en-US"/>
        </w:rPr>
        <w:t xml:space="preserve"> </w:t>
      </w:r>
    </w:p>
    <w:p w14:paraId="51F8C01E" w14:textId="77777777" w:rsidR="00C3073E" w:rsidRDefault="00C3073E" w:rsidP="008475F1">
      <w:pPr>
        <w:spacing w:line="480" w:lineRule="auto"/>
        <w:rPr>
          <w:b/>
          <w:bCs/>
          <w:lang w:val="en-US"/>
        </w:rPr>
      </w:pPr>
    </w:p>
    <w:p w14:paraId="44DA04BD" w14:textId="1593021D" w:rsidR="00C3073E" w:rsidRDefault="00C3073E" w:rsidP="008475F1">
      <w:pPr>
        <w:spacing w:line="480" w:lineRule="auto"/>
        <w:rPr>
          <w:b/>
          <w:bCs/>
          <w:lang w:val="en-US"/>
        </w:rPr>
      </w:pPr>
      <w:r>
        <w:rPr>
          <w:b/>
          <w:bCs/>
          <w:noProof/>
          <w:lang w:val="en-US"/>
          <w14:ligatures w14:val="standardContextual"/>
        </w:rPr>
        <w:lastRenderedPageBreak/>
        <w:drawing>
          <wp:inline distT="0" distB="0" distL="0" distR="0" wp14:anchorId="43C4DD17" wp14:editId="6EFBAC1C">
            <wp:extent cx="5312889" cy="6946900"/>
            <wp:effectExtent l="0" t="0" r="2540" b="6350"/>
            <wp:docPr id="1978910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10238" name="Picture 19789102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65" cy="69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159B" w14:textId="4EEF13DE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>Figure S1</w:t>
      </w:r>
      <w:r w:rsidRPr="00A03C8C">
        <w:rPr>
          <w:lang w:val="en-US"/>
        </w:rPr>
        <w:t xml:space="preserve">. </w:t>
      </w:r>
      <w:r w:rsidRPr="00A03C8C">
        <w:rPr>
          <w:b/>
          <w:bCs/>
          <w:lang w:val="en-US"/>
        </w:rPr>
        <w:t>Altered abundance and assembly of SDH complex components and secondary effects on respiratory chain subunits</w:t>
      </w:r>
    </w:p>
    <w:p w14:paraId="0871A2A5" w14:textId="77777777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>(A)</w:t>
      </w:r>
      <w:r w:rsidRPr="00A03C8C">
        <w:rPr>
          <w:lang w:val="en-US"/>
        </w:rPr>
        <w:t xml:space="preserve"> Heatmap showing log₂ differences relative to WT for SDH subunits (SDHA-SDHD) and SDH assembly factors (SDHAF1-SDHAF4) based on label-free quantitative mass spectrometry (LFQ MS). </w:t>
      </w:r>
      <w:r w:rsidRPr="00A03C8C">
        <w:rPr>
          <w:lang w:val="en-US"/>
        </w:rPr>
        <w:lastRenderedPageBreak/>
        <w:t xml:space="preserve">Asterisks indicate significantly altered proteins (p-value &lt; 0.05). The heatmap provides an expanded view of SDH-related changes shown in Figure 2A. </w:t>
      </w:r>
    </w:p>
    <w:p w14:paraId="0A79446C" w14:textId="77777777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 xml:space="preserve">(B) </w:t>
      </w:r>
      <w:r w:rsidRPr="00A03C8C">
        <w:rPr>
          <w:lang w:val="en-US"/>
        </w:rPr>
        <w:t xml:space="preserve">Quantification of complex I subunits shown as log₂ differences relative to WT. Each point corresponds to an individual complex I subunit. </w:t>
      </w:r>
    </w:p>
    <w:p w14:paraId="6942AAB7" w14:textId="77777777" w:rsidR="001267EA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 xml:space="preserve">(C) </w:t>
      </w:r>
      <w:r w:rsidRPr="00A03C8C">
        <w:rPr>
          <w:lang w:val="en-US"/>
        </w:rPr>
        <w:t xml:space="preserve">Quantification of complex IV subunits displayed as log₂ differences relative to WT, plotted as in panel B. </w:t>
      </w:r>
    </w:p>
    <w:p w14:paraId="3D9C1342" w14:textId="77777777" w:rsidR="001267EA" w:rsidRDefault="001267EA" w:rsidP="008475F1">
      <w:pPr>
        <w:spacing w:line="480" w:lineRule="auto"/>
        <w:rPr>
          <w:lang w:val="en-US"/>
        </w:rPr>
      </w:pPr>
      <w:r w:rsidRPr="00A03C8C">
        <w:rPr>
          <w:lang w:val="en-US"/>
        </w:rPr>
        <w:t>One-sample t-test was performed (</w:t>
      </w:r>
      <w:r w:rsidRPr="00A03C8C">
        <w:rPr>
          <w:i/>
          <w:iCs/>
          <w:lang w:val="en-US"/>
        </w:rPr>
        <w:t>p</w:t>
      </w:r>
      <w:r w:rsidRPr="00A03C8C">
        <w:rPr>
          <w:lang w:val="en-US"/>
        </w:rPr>
        <w:t>-value: * &lt;0.05; ** &lt;0.0.1; *** &lt;</w:t>
      </w:r>
      <w:proofErr w:type="gramStart"/>
      <w:r w:rsidRPr="00A03C8C">
        <w:rPr>
          <w:lang w:val="en-US"/>
        </w:rPr>
        <w:t>0.001; *</w:t>
      </w:r>
      <w:proofErr w:type="gramEnd"/>
      <w:r w:rsidRPr="00A03C8C">
        <w:rPr>
          <w:lang w:val="en-US"/>
        </w:rPr>
        <w:t xml:space="preserve">*** &lt;0.0001; n = 3). </w:t>
      </w:r>
    </w:p>
    <w:p w14:paraId="279BB095" w14:textId="77777777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 xml:space="preserve">(D) </w:t>
      </w:r>
      <w:r w:rsidRPr="00A03C8C">
        <w:rPr>
          <w:lang w:val="en-US"/>
        </w:rPr>
        <w:t>Representative native PAGE immunoblot showing complex I assembly detected with an antibody against complex I subunit NDUFA9.</w:t>
      </w:r>
    </w:p>
    <w:p w14:paraId="1AD2034C" w14:textId="77777777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b/>
          <w:bCs/>
          <w:lang w:val="en-US"/>
        </w:rPr>
        <w:t xml:space="preserve">(E) </w:t>
      </w:r>
      <w:r w:rsidRPr="00A03C8C">
        <w:rPr>
          <w:lang w:val="en-US"/>
        </w:rPr>
        <w:t>Representative native PAGE immunoblot of complex IV monomer detected with an antibody against complex IV subunit MT-CO1.</w:t>
      </w:r>
    </w:p>
    <w:p w14:paraId="05D532CF" w14:textId="77777777" w:rsidR="001267EA" w:rsidRDefault="001267EA" w:rsidP="008475F1">
      <w:pPr>
        <w:spacing w:line="480" w:lineRule="auto"/>
        <w:rPr>
          <w:lang w:val="en-US"/>
        </w:rPr>
      </w:pPr>
    </w:p>
    <w:p w14:paraId="7172DE93" w14:textId="2BC77306" w:rsidR="00C3073E" w:rsidRPr="00A03C8C" w:rsidRDefault="00C3073E" w:rsidP="008475F1">
      <w:pPr>
        <w:spacing w:line="480" w:lineRule="auto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1D947E41" wp14:editId="66087EF7">
            <wp:extent cx="5731510" cy="5571490"/>
            <wp:effectExtent l="0" t="0" r="2540" b="0"/>
            <wp:docPr id="61273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3114" name="Picture 612731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B84" w14:textId="77777777" w:rsidR="001267EA" w:rsidRPr="00A03C8C" w:rsidRDefault="001267EA" w:rsidP="008475F1">
      <w:pPr>
        <w:spacing w:line="480" w:lineRule="auto"/>
        <w:rPr>
          <w:b/>
          <w:bCs/>
          <w:lang w:val="en-US"/>
        </w:rPr>
      </w:pPr>
      <w:r w:rsidRPr="00A03C8C">
        <w:rPr>
          <w:b/>
          <w:bCs/>
          <w:lang w:val="en-US"/>
        </w:rPr>
        <w:t xml:space="preserve">Figure S2. </w:t>
      </w:r>
      <w:r>
        <w:rPr>
          <w:b/>
          <w:bCs/>
          <w:lang w:val="en-US"/>
        </w:rPr>
        <w:t>Metabolomic</w:t>
      </w:r>
      <w:r w:rsidRPr="00A03C8C">
        <w:rPr>
          <w:b/>
          <w:bCs/>
          <w:lang w:val="en-US"/>
        </w:rPr>
        <w:t xml:space="preserve"> analysis of membrane phospholipids. </w:t>
      </w:r>
    </w:p>
    <w:p w14:paraId="40FA0942" w14:textId="77777777" w:rsidR="001267EA" w:rsidRPr="00A03C8C" w:rsidRDefault="001267EA" w:rsidP="008475F1">
      <w:pPr>
        <w:spacing w:line="480" w:lineRule="auto"/>
        <w:rPr>
          <w:lang w:val="en-US"/>
        </w:rPr>
      </w:pPr>
      <w:r w:rsidRPr="00A03C8C">
        <w:rPr>
          <w:lang w:val="en-US"/>
        </w:rPr>
        <w:t>Relative abundance of</w:t>
      </w:r>
      <w:r>
        <w:rPr>
          <w:lang w:val="en-US"/>
        </w:rPr>
        <w:t xml:space="preserve"> p</w:t>
      </w:r>
      <w:r w:rsidRPr="00A03C8C">
        <w:rPr>
          <w:lang w:val="en-US"/>
        </w:rPr>
        <w:t xml:space="preserve">hosphatidylcholines (PC) </w:t>
      </w:r>
      <w:r w:rsidRPr="00A03C8C">
        <w:rPr>
          <w:b/>
          <w:bCs/>
          <w:lang w:val="en-US"/>
        </w:rPr>
        <w:t xml:space="preserve">(A) </w:t>
      </w:r>
      <w:r w:rsidRPr="00A03C8C">
        <w:rPr>
          <w:lang w:val="en-US"/>
        </w:rPr>
        <w:t xml:space="preserve">and </w:t>
      </w:r>
      <w:r>
        <w:rPr>
          <w:lang w:val="en-US"/>
        </w:rPr>
        <w:t>p</w:t>
      </w:r>
      <w:r w:rsidRPr="00A03C8C">
        <w:rPr>
          <w:lang w:val="en-US"/>
        </w:rPr>
        <w:t xml:space="preserve">hosphatidylethanolamines (PE) </w:t>
      </w:r>
      <w:r w:rsidRPr="00A03C8C">
        <w:rPr>
          <w:b/>
          <w:bCs/>
          <w:lang w:val="en-US"/>
        </w:rPr>
        <w:t>(B)</w:t>
      </w:r>
      <w:r>
        <w:rPr>
          <w:b/>
          <w:bCs/>
          <w:lang w:val="en-US"/>
        </w:rPr>
        <w:t xml:space="preserve">. </w:t>
      </w:r>
      <w:r w:rsidRPr="00A03C8C">
        <w:rPr>
          <w:lang w:val="en-US"/>
        </w:rPr>
        <w:t>Each bar represents the mean ± SD (n = 3).</w:t>
      </w:r>
    </w:p>
    <w:p w14:paraId="299073E2" w14:textId="77777777" w:rsidR="005823FE" w:rsidRDefault="005823FE" w:rsidP="008475F1">
      <w:pPr>
        <w:spacing w:line="480" w:lineRule="auto"/>
      </w:pPr>
    </w:p>
    <w:sectPr w:rsidR="005823FE" w:rsidSect="008475F1">
      <w:footerReference w:type="default" r:id="rId8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D4CC" w14:textId="77777777" w:rsidR="008475F1" w:rsidRDefault="008475F1" w:rsidP="008475F1">
      <w:pPr>
        <w:spacing w:after="0" w:line="240" w:lineRule="auto"/>
      </w:pPr>
      <w:r>
        <w:separator/>
      </w:r>
    </w:p>
  </w:endnote>
  <w:endnote w:type="continuationSeparator" w:id="0">
    <w:p w14:paraId="58579474" w14:textId="77777777" w:rsidR="008475F1" w:rsidRDefault="008475F1" w:rsidP="0084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65517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26FB0" w14:textId="485C28F2" w:rsidR="008475F1" w:rsidRDefault="008475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A06EEC" w14:textId="77777777" w:rsidR="008475F1" w:rsidRDefault="00847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D8B56" w14:textId="77777777" w:rsidR="008475F1" w:rsidRDefault="008475F1" w:rsidP="008475F1">
      <w:pPr>
        <w:spacing w:after="0" w:line="240" w:lineRule="auto"/>
      </w:pPr>
      <w:r>
        <w:separator/>
      </w:r>
    </w:p>
  </w:footnote>
  <w:footnote w:type="continuationSeparator" w:id="0">
    <w:p w14:paraId="0115C49F" w14:textId="77777777" w:rsidR="008475F1" w:rsidRDefault="008475F1" w:rsidP="00847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EA"/>
    <w:rsid w:val="001267EA"/>
    <w:rsid w:val="001F0D34"/>
    <w:rsid w:val="002355F7"/>
    <w:rsid w:val="005823FE"/>
    <w:rsid w:val="005E59B7"/>
    <w:rsid w:val="008002B7"/>
    <w:rsid w:val="008475F1"/>
    <w:rsid w:val="0088372B"/>
    <w:rsid w:val="00C3073E"/>
    <w:rsid w:val="00C615DE"/>
    <w:rsid w:val="00D0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E8F79"/>
  <w15:chartTrackingRefBased/>
  <w15:docId w15:val="{67699A43-2A2C-4E95-B591-D339F2E7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7EA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67E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7E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67E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67E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67E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67E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67E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67E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67E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67E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67EA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67EA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67EA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1267EA"/>
    <w:pPr>
      <w:spacing w:after="0" w:line="240" w:lineRule="auto"/>
    </w:pPr>
    <w:rPr>
      <w:kern w:val="0"/>
      <w:sz w:val="22"/>
      <w:szCs w:val="22"/>
      <w:lang w:val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8475F1"/>
  </w:style>
  <w:style w:type="paragraph" w:styleId="Header">
    <w:name w:val="header"/>
    <w:basedOn w:val="Normal"/>
    <w:link w:val="HeaderChar"/>
    <w:uiPriority w:val="99"/>
    <w:unhideWhenUsed/>
    <w:rsid w:val="008475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5F1"/>
    <w:rPr>
      <w:kern w:val="0"/>
      <w:sz w:val="22"/>
      <w:szCs w:val="22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475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5F1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Pecinová Alena</dc:creator>
  <cp:keywords/>
  <dc:description/>
  <cp:lastModifiedBy>Pecinová Alena</cp:lastModifiedBy>
  <cp:revision>2</cp:revision>
  <dcterms:created xsi:type="dcterms:W3CDTF">2026-01-09T23:26:00Z</dcterms:created>
  <dcterms:modified xsi:type="dcterms:W3CDTF">2026-01-09T23:26:00Z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edb37e6a-c5b7-4708-938b-6e3dc4c28ad4</vt:lpwstr>
  </property>
</Properties>
</file>