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2FC09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Supplementary Data</w:t>
      </w:r>
    </w:p>
    <w:p w14:paraId="2BDBB239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Figure S1</w:t>
      </w:r>
      <w:r w:rsidRPr="00D74416">
        <w:rPr>
          <w:rFonts w:ascii="Times New Roman" w:hAnsi="Times New Roman" w:cs="Times New Roman"/>
          <w:sz w:val="28"/>
          <w:szCs w:val="28"/>
        </w:rPr>
        <w:t xml:space="preserve"> Construct a prognostic model. Forest plots associated with multifactor regression (A); Correlation circle plot of 7 MDSCs-related lncRNAs (B); Multivariate Cox regression and correlation for 7</w:t>
      </w:r>
      <w:r w:rsidRPr="00D74416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D74416">
        <w:rPr>
          <w:rFonts w:ascii="Times New Roman" w:hAnsi="Times New Roman" w:cs="Times New Roman"/>
          <w:sz w:val="28"/>
          <w:szCs w:val="28"/>
        </w:rPr>
        <w:t>lnc</w:t>
      </w:r>
      <w:r w:rsidRPr="00D74416">
        <w:rPr>
          <w:rFonts w:ascii="Times New Roman" w:hAnsi="Times New Roman" w:cs="Times New Roman" w:hint="eastAsia"/>
          <w:sz w:val="28"/>
          <w:szCs w:val="28"/>
        </w:rPr>
        <w:t>RNA</w:t>
      </w:r>
      <w:r w:rsidRPr="00D74416">
        <w:rPr>
          <w:rFonts w:ascii="Times New Roman" w:hAnsi="Times New Roman" w:cs="Times New Roman"/>
          <w:sz w:val="28"/>
          <w:szCs w:val="28"/>
        </w:rPr>
        <w:t>s and MDSCs (C); Deviation plots indicating up- and down-regulation changes of 7 MDSCs-related lncRNAs (D).</w:t>
      </w:r>
    </w:p>
    <w:p w14:paraId="2650FD17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Figure S2</w:t>
      </w:r>
      <w:r w:rsidRPr="00D74416">
        <w:rPr>
          <w:rFonts w:ascii="Times New Roman" w:hAnsi="Times New Roman" w:cs="Times New Roman"/>
          <w:sz w:val="28"/>
          <w:szCs w:val="28"/>
        </w:rPr>
        <w:t xml:space="preserve"> The model prediction effect is validated by the training group, test group, and the entire group. Heat map of 7 MDSCs-related lncRNA expressions (A-C). Risk curve for risk scores (D-F) and Scatterplot (G-I) for the survival status of each patient; Scatterplot of risk scores of patients with different survival statuses (J-L).</w:t>
      </w:r>
    </w:p>
    <w:p w14:paraId="0C0A20AB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Figure S3</w:t>
      </w:r>
      <w:r w:rsidRPr="00D74416">
        <w:rPr>
          <w:rFonts w:ascii="Times New Roman" w:hAnsi="Times New Roman" w:cs="Times New Roman"/>
          <w:sz w:val="28"/>
          <w:szCs w:val="28"/>
        </w:rPr>
        <w:t xml:space="preserve"> Further validation of model effects. lncRNA signature expression heat map with clinical information (A); Correlation analysis of risk signature with age, stage, gender and grade (B-E).</w:t>
      </w:r>
    </w:p>
    <w:p w14:paraId="7B93F445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Figure S4</w:t>
      </w:r>
      <w:r w:rsidRPr="00D74416">
        <w:rPr>
          <w:rFonts w:ascii="Times New Roman" w:hAnsi="Times New Roman" w:cs="Times New Roman"/>
          <w:sz w:val="28"/>
          <w:szCs w:val="28"/>
        </w:rPr>
        <w:t xml:space="preserve"> Nomogram with patient verification</w:t>
      </w:r>
      <w:r w:rsidRPr="00D74416">
        <w:rPr>
          <w:rFonts w:ascii="Times New Roman" w:hAnsi="Times New Roman" w:cs="Times New Roman" w:hint="eastAsia"/>
          <w:sz w:val="28"/>
          <w:szCs w:val="28"/>
        </w:rPr>
        <w:t xml:space="preserve"> (A); DCA curve(B).</w:t>
      </w:r>
    </w:p>
    <w:p w14:paraId="760EE516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Figure S5</w:t>
      </w:r>
      <w:r w:rsidRPr="00D74416">
        <w:rPr>
          <w:rFonts w:ascii="Times New Roman" w:hAnsi="Times New Roman" w:cs="Times New Roman"/>
          <w:sz w:val="28"/>
          <w:szCs w:val="28"/>
        </w:rPr>
        <w:t xml:space="preserve"> KEGG enrichment analysis. Bar chart (A); Circle chart (B).</w:t>
      </w:r>
    </w:p>
    <w:p w14:paraId="34777E18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Figure S6</w:t>
      </w:r>
      <w:r w:rsidRPr="00D74416">
        <w:rPr>
          <w:rFonts w:ascii="Times New Roman" w:hAnsi="Times New Roman" w:cs="Times New Roman"/>
          <w:sz w:val="28"/>
          <w:szCs w:val="28"/>
        </w:rPr>
        <w:t xml:space="preserve"> GSEA enrichment analysis. Enrichment pathways in high-risk group</w:t>
      </w:r>
      <w:r w:rsidRPr="00D74416">
        <w:rPr>
          <w:rFonts w:ascii="Times New Roman" w:hAnsi="Times New Roman" w:cs="Times New Roman" w:hint="eastAsia"/>
          <w:sz w:val="28"/>
          <w:szCs w:val="28"/>
        </w:rPr>
        <w:t>s</w:t>
      </w:r>
      <w:r w:rsidRPr="00D74416">
        <w:rPr>
          <w:rFonts w:ascii="Times New Roman" w:hAnsi="Times New Roman" w:cs="Times New Roman"/>
          <w:sz w:val="28"/>
          <w:szCs w:val="28"/>
        </w:rPr>
        <w:t xml:space="preserve"> in different gene sets (A, C, E, G); Enrichment pathways in </w:t>
      </w:r>
      <w:r w:rsidRPr="00D74416">
        <w:rPr>
          <w:rFonts w:ascii="Times New Roman" w:hAnsi="Times New Roman" w:cs="Times New Roman" w:hint="eastAsia"/>
          <w:sz w:val="28"/>
          <w:szCs w:val="28"/>
        </w:rPr>
        <w:t>low</w:t>
      </w:r>
      <w:r w:rsidRPr="00D74416">
        <w:rPr>
          <w:rFonts w:ascii="Times New Roman" w:hAnsi="Times New Roman" w:cs="Times New Roman"/>
          <w:sz w:val="28"/>
          <w:szCs w:val="28"/>
        </w:rPr>
        <w:t>-risk group</w:t>
      </w:r>
      <w:r w:rsidRPr="00D74416">
        <w:rPr>
          <w:rFonts w:ascii="Times New Roman" w:hAnsi="Times New Roman" w:cs="Times New Roman" w:hint="eastAsia"/>
          <w:sz w:val="28"/>
          <w:szCs w:val="28"/>
        </w:rPr>
        <w:t>s</w:t>
      </w:r>
      <w:r w:rsidRPr="00D74416">
        <w:rPr>
          <w:rFonts w:ascii="Times New Roman" w:hAnsi="Times New Roman" w:cs="Times New Roman"/>
          <w:sz w:val="28"/>
          <w:szCs w:val="28"/>
        </w:rPr>
        <w:t xml:space="preserve"> in different gene sets (</w:t>
      </w:r>
      <w:r w:rsidRPr="00D74416">
        <w:rPr>
          <w:rFonts w:ascii="Times New Roman" w:hAnsi="Times New Roman" w:cs="Times New Roman" w:hint="eastAsia"/>
          <w:sz w:val="28"/>
          <w:szCs w:val="28"/>
        </w:rPr>
        <w:t>B, D, F, H</w:t>
      </w:r>
      <w:r w:rsidRPr="00D74416">
        <w:rPr>
          <w:rFonts w:ascii="Times New Roman" w:hAnsi="Times New Roman" w:cs="Times New Roman"/>
          <w:sz w:val="28"/>
          <w:szCs w:val="28"/>
        </w:rPr>
        <w:t>).</w:t>
      </w:r>
    </w:p>
    <w:p w14:paraId="672D375B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Figure S7</w:t>
      </w:r>
      <w:r w:rsidRPr="00D74416">
        <w:rPr>
          <w:rFonts w:ascii="Times New Roman" w:hAnsi="Times New Roman" w:cs="Times New Roman"/>
          <w:sz w:val="28"/>
          <w:szCs w:val="28"/>
        </w:rPr>
        <w:t xml:space="preserve"> Correlation plot of risk scores with immune cells. Scatter plot of the correlation between risk scores and T cell CD4+ memory resting (A), T cell CD8+ (B), B cell memory(C), B cell plasma (D), Macrophage M0 (E), Monocyte (F), Eosinophil (G), Mast cell activated (H), B cell naive (I).</w:t>
      </w:r>
    </w:p>
    <w:p w14:paraId="4CB199B1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Figure S8</w:t>
      </w:r>
      <w:r w:rsidRPr="00D74416">
        <w:rPr>
          <w:rFonts w:ascii="Times New Roman" w:hAnsi="Times New Roman" w:cs="Times New Roman"/>
          <w:sz w:val="28"/>
          <w:szCs w:val="28"/>
        </w:rPr>
        <w:t xml:space="preserve"> The MDSCs-relevant lncRNA risk pattern in tumor therapy. Differences in </w:t>
      </w:r>
      <w:r w:rsidRPr="00D74416">
        <w:rPr>
          <w:rFonts w:ascii="Times New Roman" w:hAnsi="Times New Roman" w:cs="Times New Roman"/>
          <w:sz w:val="28"/>
          <w:szCs w:val="28"/>
        </w:rPr>
        <w:lastRenderedPageBreak/>
        <w:t>TIDE (A) and immune exclusion (B) and dysfunction (C) in high and low-risk groups. *p &lt; 0.05, **p &lt; 0.01, ***p &lt; 0.001.</w:t>
      </w:r>
    </w:p>
    <w:p w14:paraId="5461E9E6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4B570B26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Table S1</w:t>
      </w:r>
      <w:r w:rsidRPr="00D74416">
        <w:rPr>
          <w:rFonts w:ascii="Times New Roman" w:hAnsi="Times New Roman" w:cs="Times New Roman"/>
          <w:sz w:val="28"/>
          <w:szCs w:val="28"/>
        </w:rPr>
        <w:t xml:space="preserve"> Primer sequences for 7 MDSCs-related lncRNAs.</w:t>
      </w:r>
    </w:p>
    <w:p w14:paraId="65538E8A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 xml:space="preserve">Table S2 </w:t>
      </w:r>
      <w:r w:rsidRPr="00D74416">
        <w:rPr>
          <w:rFonts w:ascii="Times New Roman" w:hAnsi="Times New Roman" w:cs="Times New Roman"/>
          <w:sz w:val="28"/>
          <w:szCs w:val="28"/>
        </w:rPr>
        <w:t>120 differentially expressed MDSCs-related lncRNAs.</w:t>
      </w:r>
    </w:p>
    <w:p w14:paraId="519026E3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Table S3</w:t>
      </w:r>
      <w:r w:rsidRPr="00D74416">
        <w:rPr>
          <w:rFonts w:ascii="Times New Roman" w:hAnsi="Times New Roman" w:cs="Times New Roman"/>
          <w:sz w:val="28"/>
          <w:szCs w:val="28"/>
        </w:rPr>
        <w:t xml:space="preserve"> 21 differentially expressed MDSCs-related lncRNA.</w:t>
      </w:r>
    </w:p>
    <w:p w14:paraId="2230BBBE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Table S4</w:t>
      </w:r>
      <w:r w:rsidRPr="00D74416">
        <w:rPr>
          <w:rFonts w:ascii="Times New Roman" w:hAnsi="Times New Roman" w:cs="Times New Roman"/>
          <w:sz w:val="28"/>
          <w:szCs w:val="28"/>
        </w:rPr>
        <w:t xml:space="preserve"> GSEA pathways for different risk groups.</w:t>
      </w:r>
    </w:p>
    <w:p w14:paraId="429F235E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Table S5</w:t>
      </w:r>
      <w:r w:rsidRPr="00D74416">
        <w:rPr>
          <w:rFonts w:ascii="Times New Roman" w:hAnsi="Times New Roman" w:cs="Times New Roman"/>
          <w:sz w:val="28"/>
          <w:szCs w:val="28"/>
        </w:rPr>
        <w:t xml:space="preserve"> Antineoplastic drug sensitivity information (sensitive group: low).</w:t>
      </w:r>
    </w:p>
    <w:p w14:paraId="6E1CA197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Table S6</w:t>
      </w:r>
      <w:r w:rsidRPr="00D74416">
        <w:rPr>
          <w:rFonts w:ascii="Times New Roman" w:hAnsi="Times New Roman" w:cs="Times New Roman"/>
          <w:sz w:val="28"/>
          <w:szCs w:val="28"/>
        </w:rPr>
        <w:t xml:space="preserve"> Antineoplastic drug sensitivity information (sensitive group: high).</w:t>
      </w:r>
    </w:p>
    <w:p w14:paraId="5B7012E4" w14:textId="77777777" w:rsidR="00400F33" w:rsidRPr="00D74416" w:rsidRDefault="00400F33" w:rsidP="00400F33">
      <w:pPr>
        <w:spacing w:after="0" w:line="48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74416">
        <w:rPr>
          <w:rFonts w:ascii="Times New Roman" w:hAnsi="Times New Roman" w:cs="Times New Roman"/>
          <w:b/>
          <w:bCs/>
          <w:sz w:val="28"/>
          <w:szCs w:val="28"/>
        </w:rPr>
        <w:t>Table S7</w:t>
      </w:r>
      <w:r w:rsidRPr="00D74416">
        <w:rPr>
          <w:rFonts w:ascii="Times New Roman" w:hAnsi="Times New Roman" w:cs="Times New Roman"/>
          <w:sz w:val="28"/>
          <w:szCs w:val="28"/>
        </w:rPr>
        <w:t xml:space="preserve"> Antineoplastic drug sensitivity information (no obviously sensitive group).</w:t>
      </w:r>
    </w:p>
    <w:p w14:paraId="399F8BB0" w14:textId="77777777" w:rsidR="00DE6AE2" w:rsidRDefault="00DE6AE2"/>
    <w:sectPr w:rsidR="00DE6AE2" w:rsidSect="00400F33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F33"/>
    <w:rsid w:val="00195413"/>
    <w:rsid w:val="003D0186"/>
    <w:rsid w:val="00400F33"/>
    <w:rsid w:val="007278E4"/>
    <w:rsid w:val="00A3738C"/>
    <w:rsid w:val="00BC6C35"/>
    <w:rsid w:val="00CB270D"/>
    <w:rsid w:val="00CF7583"/>
    <w:rsid w:val="00DE6AE2"/>
    <w:rsid w:val="00E93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B5B17F"/>
  <w15:chartTrackingRefBased/>
  <w15:docId w15:val="{DA031A41-E5B5-4785-81CF-7BA4E9966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0F33"/>
    <w:pPr>
      <w:widowControl w:val="0"/>
    </w:pPr>
    <w:rPr>
      <w:rFonts w:eastAsiaTheme="minorEastAsia"/>
      <w:sz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400F33"/>
    <w:pPr>
      <w:keepNext/>
      <w:keepLines/>
      <w:widowControl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0F33"/>
    <w:pPr>
      <w:keepNext/>
      <w:keepLines/>
      <w:widowControl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0F33"/>
    <w:pPr>
      <w:keepNext/>
      <w:keepLines/>
      <w:widowControl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0F33"/>
    <w:pPr>
      <w:keepNext/>
      <w:keepLines/>
      <w:widowControl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0F33"/>
    <w:pPr>
      <w:keepNext/>
      <w:keepLines/>
      <w:widowControl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0F33"/>
    <w:pPr>
      <w:keepNext/>
      <w:keepLines/>
      <w:widowControl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0F33"/>
    <w:pPr>
      <w:keepNext/>
      <w:keepLines/>
      <w:widowControl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0F33"/>
    <w:pPr>
      <w:keepNext/>
      <w:keepLines/>
      <w:widowControl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0F33"/>
    <w:pPr>
      <w:keepNext/>
      <w:keepLines/>
      <w:widowControl/>
      <w:spacing w:after="0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0F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0F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0F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0F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0F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0F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0F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0F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0F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0F33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400F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0F33"/>
    <w:pPr>
      <w:widowControl/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400F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0F33"/>
    <w:pPr>
      <w:widowControl/>
      <w:spacing w:before="160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400F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0F33"/>
    <w:pPr>
      <w:widowControl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400F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0F3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0F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0F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303</Words>
  <Characters>1851</Characters>
  <Application>Microsoft Office Word</Application>
  <DocSecurity>0</DocSecurity>
  <Lines>31</Lines>
  <Paragraphs>8</Paragraphs>
  <ScaleCrop>false</ScaleCrop>
  <Company>Springer Nature</Company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2026-02-02T14:32:00Z</dcterms:created>
  <dcterms:modified xsi:type="dcterms:W3CDTF">2026-02-02T14:32:00Z</dcterms:modified>
</cp:coreProperties>
</file>