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52EED" w14:textId="77777777" w:rsidR="00D42774" w:rsidRPr="005A5EA9" w:rsidRDefault="00D42774" w:rsidP="00D42774">
      <w:pPr>
        <w:jc w:val="both"/>
        <w:rPr>
          <w:rFonts w:cstheme="minorHAnsi"/>
          <w:b/>
        </w:rPr>
      </w:pPr>
      <w:bookmarkStart w:id="0" w:name="_Hlk220944875"/>
      <w:r w:rsidRPr="005A5EA9">
        <w:rPr>
          <w:rFonts w:cstheme="minorHAnsi"/>
          <w:b/>
        </w:rPr>
        <w:t>Appendix Table 1: AZA Requalification Criteria and Dose Adjustments</w:t>
      </w:r>
    </w:p>
    <w:tbl>
      <w:tblPr>
        <w:tblStyle w:val="TableGrid"/>
        <w:tblW w:w="9350" w:type="dxa"/>
        <w:tblLayout w:type="fixed"/>
        <w:tblLook w:val="04A0" w:firstRow="1" w:lastRow="0" w:firstColumn="1" w:lastColumn="0" w:noHBand="0" w:noVBand="1"/>
      </w:tblPr>
      <w:tblGrid>
        <w:gridCol w:w="2174"/>
        <w:gridCol w:w="3076"/>
        <w:gridCol w:w="4100"/>
      </w:tblGrid>
      <w:tr w:rsidR="00D42774" w:rsidRPr="005A5EA9" w14:paraId="2622C073" w14:textId="77777777" w:rsidTr="004E604F">
        <w:trPr>
          <w:trHeight w:val="362"/>
        </w:trPr>
        <w:tc>
          <w:tcPr>
            <w:tcW w:w="2174" w:type="dxa"/>
          </w:tcPr>
          <w:p w14:paraId="5F1602A0" w14:textId="77777777" w:rsidR="00D42774" w:rsidRPr="005A5EA9" w:rsidRDefault="00D42774" w:rsidP="004E604F">
            <w:pPr>
              <w:widowControl w:val="0"/>
              <w:rPr>
                <w:b/>
                <w:sz w:val="21"/>
                <w:szCs w:val="21"/>
              </w:rPr>
            </w:pPr>
            <w:r w:rsidRPr="005A5EA9">
              <w:rPr>
                <w:rFonts w:eastAsia="Calibri" w:cs="Times New Roman"/>
                <w:b/>
                <w:sz w:val="21"/>
                <w:szCs w:val="21"/>
              </w:rPr>
              <w:t>Timepoint</w:t>
            </w:r>
          </w:p>
        </w:tc>
        <w:tc>
          <w:tcPr>
            <w:tcW w:w="3076" w:type="dxa"/>
          </w:tcPr>
          <w:p w14:paraId="6A6FADBB" w14:textId="77777777" w:rsidR="00D42774" w:rsidRPr="005A5EA9" w:rsidRDefault="00D42774" w:rsidP="004E604F">
            <w:pPr>
              <w:widowControl w:val="0"/>
              <w:rPr>
                <w:b/>
                <w:sz w:val="21"/>
                <w:szCs w:val="21"/>
              </w:rPr>
            </w:pPr>
            <w:r w:rsidRPr="005A5EA9">
              <w:rPr>
                <w:rFonts w:eastAsia="Calibri" w:cs="Times New Roman"/>
                <w:b/>
                <w:sz w:val="21"/>
                <w:szCs w:val="21"/>
              </w:rPr>
              <w:t>Event</w:t>
            </w:r>
          </w:p>
        </w:tc>
        <w:tc>
          <w:tcPr>
            <w:tcW w:w="4100" w:type="dxa"/>
          </w:tcPr>
          <w:p w14:paraId="5968D791" w14:textId="77777777" w:rsidR="00D42774" w:rsidRPr="005A5EA9" w:rsidRDefault="00D42774" w:rsidP="004E604F">
            <w:pPr>
              <w:widowControl w:val="0"/>
              <w:rPr>
                <w:b/>
                <w:sz w:val="21"/>
                <w:szCs w:val="21"/>
              </w:rPr>
            </w:pPr>
            <w:r w:rsidRPr="005A5EA9">
              <w:rPr>
                <w:rFonts w:eastAsia="Calibri" w:cs="Times New Roman"/>
                <w:b/>
                <w:sz w:val="21"/>
                <w:szCs w:val="21"/>
              </w:rPr>
              <w:t>Drug Action</w:t>
            </w:r>
          </w:p>
        </w:tc>
      </w:tr>
      <w:tr w:rsidR="00D42774" w:rsidRPr="005A5EA9" w14:paraId="0303C74A" w14:textId="77777777" w:rsidTr="004E604F">
        <w:trPr>
          <w:trHeight w:val="362"/>
        </w:trPr>
        <w:tc>
          <w:tcPr>
            <w:tcW w:w="2174" w:type="dxa"/>
          </w:tcPr>
          <w:p w14:paraId="1E3DCF66" w14:textId="77777777" w:rsidR="00D42774" w:rsidRPr="005A5EA9" w:rsidRDefault="00D42774" w:rsidP="004E604F">
            <w:pPr>
              <w:widowControl w:val="0"/>
              <w:rPr>
                <w:sz w:val="21"/>
                <w:szCs w:val="21"/>
              </w:rPr>
            </w:pPr>
            <w:r w:rsidRPr="005A5EA9">
              <w:rPr>
                <w:rFonts w:eastAsia="Calibri" w:cs="Times New Roman"/>
                <w:sz w:val="21"/>
                <w:szCs w:val="21"/>
              </w:rPr>
              <w:t>Day -6</w:t>
            </w:r>
          </w:p>
          <w:p w14:paraId="444A4ACE" w14:textId="77777777" w:rsidR="00D42774" w:rsidRPr="005A5EA9" w:rsidRDefault="00D42774" w:rsidP="004E604F">
            <w:pPr>
              <w:widowControl w:val="0"/>
              <w:rPr>
                <w:sz w:val="21"/>
                <w:szCs w:val="21"/>
              </w:rPr>
            </w:pPr>
          </w:p>
        </w:tc>
        <w:tc>
          <w:tcPr>
            <w:tcW w:w="3076" w:type="dxa"/>
          </w:tcPr>
          <w:p w14:paraId="71249700" w14:textId="77777777" w:rsidR="00D42774" w:rsidRPr="005A5EA9" w:rsidRDefault="00D42774" w:rsidP="004E604F">
            <w:pPr>
              <w:widowControl w:val="0"/>
              <w:rPr>
                <w:sz w:val="21"/>
                <w:szCs w:val="21"/>
              </w:rPr>
            </w:pPr>
            <w:r w:rsidRPr="005A5EA9">
              <w:rPr>
                <w:rFonts w:eastAsia="Calibri" w:cs="Times New Roman"/>
                <w:sz w:val="21"/>
                <w:szCs w:val="21"/>
              </w:rPr>
              <w:t xml:space="preserve">ANC &lt; 750 </w:t>
            </w:r>
            <w:r w:rsidRPr="005A5EA9">
              <w:rPr>
                <w:rFonts w:cs="Times New Roman"/>
                <w:sz w:val="21"/>
                <w:szCs w:val="21"/>
              </w:rPr>
              <w:t>cells/mm</w:t>
            </w:r>
            <w:r w:rsidRPr="005A5EA9">
              <w:rPr>
                <w:rFonts w:cs="Times New Roman"/>
                <w:sz w:val="21"/>
                <w:szCs w:val="21"/>
                <w:vertAlign w:val="superscript"/>
              </w:rPr>
              <w:t>3</w:t>
            </w:r>
            <w:r w:rsidRPr="005A5EA9">
              <w:rPr>
                <w:rFonts w:eastAsia="Calibri" w:cs="Times New Roman"/>
                <w:sz w:val="21"/>
                <w:szCs w:val="21"/>
              </w:rPr>
              <w:t xml:space="preserve"> unless thought to be related to bone marrow involvement per investigator assessment.</w:t>
            </w:r>
          </w:p>
          <w:p w14:paraId="23C1D6DC" w14:textId="77777777" w:rsidR="00D42774" w:rsidRPr="005A5EA9" w:rsidRDefault="00D42774" w:rsidP="004E604F">
            <w:pPr>
              <w:widowControl w:val="0"/>
              <w:rPr>
                <w:sz w:val="21"/>
                <w:szCs w:val="21"/>
              </w:rPr>
            </w:pPr>
          </w:p>
          <w:p w14:paraId="5E5C7323" w14:textId="77777777" w:rsidR="00D42774" w:rsidRPr="005A5EA9" w:rsidRDefault="00D42774" w:rsidP="004E604F">
            <w:pPr>
              <w:widowControl w:val="0"/>
              <w:rPr>
                <w:b/>
                <w:sz w:val="21"/>
                <w:szCs w:val="21"/>
              </w:rPr>
            </w:pPr>
            <w:r w:rsidRPr="005A5EA9">
              <w:rPr>
                <w:rFonts w:eastAsia="Calibri" w:cs="Times New Roman"/>
                <w:b/>
                <w:sz w:val="21"/>
                <w:szCs w:val="21"/>
              </w:rPr>
              <w:t>AND/OR</w:t>
            </w:r>
          </w:p>
          <w:p w14:paraId="1BB9EEEB" w14:textId="77777777" w:rsidR="00D42774" w:rsidRPr="005A5EA9" w:rsidRDefault="00D42774" w:rsidP="004E604F">
            <w:pPr>
              <w:widowControl w:val="0"/>
              <w:rPr>
                <w:sz w:val="21"/>
                <w:szCs w:val="21"/>
              </w:rPr>
            </w:pPr>
          </w:p>
          <w:p w14:paraId="470F61BF" w14:textId="77777777" w:rsidR="00D42774" w:rsidRPr="005A5EA9" w:rsidRDefault="00D42774" w:rsidP="004E604F">
            <w:pPr>
              <w:widowControl w:val="0"/>
              <w:rPr>
                <w:sz w:val="21"/>
                <w:szCs w:val="21"/>
              </w:rPr>
            </w:pPr>
            <w:r w:rsidRPr="005A5EA9">
              <w:rPr>
                <w:rFonts w:eastAsia="Calibri" w:cs="Times New Roman"/>
                <w:sz w:val="21"/>
                <w:szCs w:val="21"/>
              </w:rPr>
              <w:t xml:space="preserve">Platelet count &lt; 75,000 </w:t>
            </w:r>
            <w:r w:rsidRPr="005A5EA9">
              <w:rPr>
                <w:rFonts w:cs="Times New Roman"/>
                <w:sz w:val="21"/>
                <w:szCs w:val="21"/>
              </w:rPr>
              <w:t>cells/mm</w:t>
            </w:r>
            <w:r w:rsidRPr="005A5EA9">
              <w:rPr>
                <w:rFonts w:cs="Times New Roman"/>
                <w:sz w:val="21"/>
                <w:szCs w:val="21"/>
                <w:vertAlign w:val="superscript"/>
              </w:rPr>
              <w:t>3</w:t>
            </w:r>
            <w:r w:rsidRPr="005A5EA9">
              <w:rPr>
                <w:rFonts w:eastAsia="Calibri" w:cs="Times New Roman"/>
                <w:sz w:val="21"/>
                <w:szCs w:val="21"/>
              </w:rPr>
              <w:t xml:space="preserve"> unless thought to be related to bone marrow involvement per investigator assessment </w:t>
            </w:r>
          </w:p>
          <w:p w14:paraId="3425B4F4" w14:textId="77777777" w:rsidR="00D42774" w:rsidRPr="005A5EA9" w:rsidRDefault="00D42774" w:rsidP="004E604F">
            <w:pPr>
              <w:widowControl w:val="0"/>
              <w:rPr>
                <w:sz w:val="21"/>
                <w:szCs w:val="21"/>
              </w:rPr>
            </w:pPr>
          </w:p>
        </w:tc>
        <w:tc>
          <w:tcPr>
            <w:tcW w:w="4100" w:type="dxa"/>
          </w:tcPr>
          <w:p w14:paraId="259BC2F1" w14:textId="77777777" w:rsidR="00D42774" w:rsidRPr="005A5EA9" w:rsidRDefault="00D42774" w:rsidP="004E604F">
            <w:pPr>
              <w:widowControl w:val="0"/>
              <w:rPr>
                <w:sz w:val="21"/>
                <w:szCs w:val="21"/>
              </w:rPr>
            </w:pPr>
            <w:r w:rsidRPr="005A5EA9">
              <w:rPr>
                <w:rFonts w:eastAsia="Calibri" w:cs="Times New Roman"/>
                <w:sz w:val="21"/>
                <w:szCs w:val="21"/>
              </w:rPr>
              <w:t xml:space="preserve">Do not initiate </w:t>
            </w:r>
            <w:r w:rsidRPr="005A5EA9">
              <w:rPr>
                <w:rFonts w:eastAsia="Calibri" w:cs="Times New Roman"/>
              </w:rPr>
              <w:t xml:space="preserve">AZA </w:t>
            </w:r>
            <w:r w:rsidRPr="005A5EA9">
              <w:rPr>
                <w:rFonts w:eastAsia="Calibri" w:cs="Times New Roman"/>
                <w:sz w:val="21"/>
                <w:szCs w:val="21"/>
              </w:rPr>
              <w:t xml:space="preserve">and take patient off study as they are not a candidate per exclusion criteria </w:t>
            </w:r>
          </w:p>
          <w:p w14:paraId="63926A45" w14:textId="77777777" w:rsidR="00D42774" w:rsidRPr="005A5EA9" w:rsidRDefault="00D42774" w:rsidP="004E604F">
            <w:pPr>
              <w:pStyle w:val="Heading5"/>
              <w:widowControl w:val="0"/>
              <w:rPr>
                <w:sz w:val="21"/>
                <w:szCs w:val="21"/>
              </w:rPr>
            </w:pPr>
          </w:p>
        </w:tc>
      </w:tr>
      <w:tr w:rsidR="00D42774" w:rsidRPr="005A5EA9" w14:paraId="5814D521" w14:textId="77777777" w:rsidTr="004E604F">
        <w:trPr>
          <w:trHeight w:val="380"/>
        </w:trPr>
        <w:tc>
          <w:tcPr>
            <w:tcW w:w="2174" w:type="dxa"/>
            <w:vMerge w:val="restart"/>
          </w:tcPr>
          <w:p w14:paraId="43011CC7" w14:textId="77777777" w:rsidR="00D42774" w:rsidRPr="005A5EA9" w:rsidRDefault="00D42774" w:rsidP="004E604F">
            <w:pPr>
              <w:widowControl w:val="0"/>
              <w:rPr>
                <w:sz w:val="21"/>
                <w:szCs w:val="21"/>
              </w:rPr>
            </w:pPr>
            <w:r w:rsidRPr="005A5EA9">
              <w:rPr>
                <w:rFonts w:eastAsia="Calibri" w:cs="Times New Roman"/>
                <w:sz w:val="21"/>
                <w:szCs w:val="21"/>
              </w:rPr>
              <w:t>Day 1 (cycles 1-3)</w:t>
            </w:r>
          </w:p>
          <w:p w14:paraId="1CB9CF4C" w14:textId="77777777" w:rsidR="00D42774" w:rsidRPr="005A5EA9" w:rsidRDefault="00D42774" w:rsidP="004E604F">
            <w:pPr>
              <w:widowControl w:val="0"/>
              <w:rPr>
                <w:sz w:val="21"/>
                <w:szCs w:val="21"/>
              </w:rPr>
            </w:pPr>
          </w:p>
        </w:tc>
        <w:tc>
          <w:tcPr>
            <w:tcW w:w="3076" w:type="dxa"/>
          </w:tcPr>
          <w:p w14:paraId="1F52484A" w14:textId="77777777" w:rsidR="00D42774" w:rsidRPr="005A5EA9" w:rsidRDefault="00D42774" w:rsidP="004E604F">
            <w:pPr>
              <w:widowControl w:val="0"/>
              <w:rPr>
                <w:sz w:val="21"/>
                <w:szCs w:val="21"/>
              </w:rPr>
            </w:pPr>
            <w:r w:rsidRPr="005A5EA9">
              <w:rPr>
                <w:rFonts w:eastAsia="Calibri" w:cs="Times New Roman"/>
                <w:sz w:val="21"/>
                <w:szCs w:val="21"/>
              </w:rPr>
              <w:t xml:space="preserve">ANC &lt; 500 </w:t>
            </w:r>
            <w:r w:rsidRPr="005A5EA9">
              <w:rPr>
                <w:rFonts w:cs="Times New Roman"/>
                <w:sz w:val="21"/>
                <w:szCs w:val="21"/>
              </w:rPr>
              <w:t>cells/mm</w:t>
            </w:r>
            <w:r w:rsidRPr="005A5EA9">
              <w:rPr>
                <w:rFonts w:cs="Times New Roman"/>
                <w:sz w:val="21"/>
                <w:szCs w:val="21"/>
                <w:vertAlign w:val="superscript"/>
              </w:rPr>
              <w:t>3</w:t>
            </w:r>
          </w:p>
          <w:p w14:paraId="32AC02C5" w14:textId="77777777" w:rsidR="00D42774" w:rsidRPr="005A5EA9" w:rsidRDefault="00D42774" w:rsidP="004E604F">
            <w:pPr>
              <w:widowControl w:val="0"/>
              <w:rPr>
                <w:sz w:val="21"/>
                <w:szCs w:val="21"/>
              </w:rPr>
            </w:pPr>
          </w:p>
          <w:p w14:paraId="0BF308C6" w14:textId="77777777" w:rsidR="00D42774" w:rsidRPr="005A5EA9" w:rsidRDefault="00D42774" w:rsidP="004E604F">
            <w:pPr>
              <w:widowControl w:val="0"/>
              <w:rPr>
                <w:b/>
                <w:sz w:val="21"/>
                <w:szCs w:val="21"/>
              </w:rPr>
            </w:pPr>
            <w:r w:rsidRPr="005A5EA9">
              <w:rPr>
                <w:rFonts w:eastAsia="Calibri" w:cs="Times New Roman"/>
                <w:b/>
                <w:sz w:val="21"/>
                <w:szCs w:val="21"/>
              </w:rPr>
              <w:t>AND/OR</w:t>
            </w:r>
          </w:p>
          <w:p w14:paraId="05A4592B" w14:textId="77777777" w:rsidR="00D42774" w:rsidRPr="005A5EA9" w:rsidRDefault="00D42774" w:rsidP="004E604F">
            <w:pPr>
              <w:widowControl w:val="0"/>
              <w:rPr>
                <w:sz w:val="21"/>
                <w:szCs w:val="21"/>
              </w:rPr>
            </w:pPr>
            <w:r w:rsidRPr="005A5EA9">
              <w:rPr>
                <w:rFonts w:eastAsia="Calibri" w:cs="Times New Roman"/>
                <w:sz w:val="21"/>
                <w:szCs w:val="21"/>
              </w:rPr>
              <w:t xml:space="preserve">Platelet count &lt; 50,000 </w:t>
            </w:r>
            <w:r w:rsidRPr="005A5EA9">
              <w:rPr>
                <w:rFonts w:cs="Times New Roman"/>
                <w:sz w:val="21"/>
                <w:szCs w:val="21"/>
              </w:rPr>
              <w:t>cells/mm</w:t>
            </w:r>
            <w:r w:rsidRPr="005A5EA9">
              <w:rPr>
                <w:rFonts w:cs="Times New Roman"/>
                <w:sz w:val="21"/>
                <w:szCs w:val="21"/>
                <w:vertAlign w:val="superscript"/>
              </w:rPr>
              <w:t>3</w:t>
            </w:r>
          </w:p>
          <w:p w14:paraId="0CFD73CE" w14:textId="77777777" w:rsidR="00D42774" w:rsidRPr="005A5EA9" w:rsidRDefault="00D42774" w:rsidP="004E604F">
            <w:pPr>
              <w:widowControl w:val="0"/>
              <w:rPr>
                <w:sz w:val="21"/>
                <w:szCs w:val="21"/>
              </w:rPr>
            </w:pPr>
          </w:p>
        </w:tc>
        <w:tc>
          <w:tcPr>
            <w:tcW w:w="4100" w:type="dxa"/>
          </w:tcPr>
          <w:p w14:paraId="72506D9D" w14:textId="77777777" w:rsidR="00D42774" w:rsidRPr="005A5EA9" w:rsidRDefault="00D42774" w:rsidP="00D42774">
            <w:pPr>
              <w:pStyle w:val="ListParagraph"/>
              <w:widowControl w:val="0"/>
              <w:numPr>
                <w:ilvl w:val="0"/>
                <w:numId w:val="1"/>
              </w:numPr>
              <w:ind w:left="391"/>
              <w:rPr>
                <w:sz w:val="21"/>
                <w:szCs w:val="21"/>
              </w:rPr>
            </w:pPr>
            <w:r w:rsidRPr="005A5EA9">
              <w:rPr>
                <w:rFonts w:eastAsia="Calibri" w:cs="Times New Roman"/>
                <w:sz w:val="21"/>
                <w:szCs w:val="21"/>
              </w:rPr>
              <w:t xml:space="preserve">Hold R-ICE chemotherapy. Reassess parameter no greater than one week later (physicians allowed to assess more frequently) </w:t>
            </w:r>
          </w:p>
          <w:p w14:paraId="128A20B1" w14:textId="77777777" w:rsidR="00D42774" w:rsidRPr="005A5EA9" w:rsidRDefault="00D42774" w:rsidP="00D42774">
            <w:pPr>
              <w:pStyle w:val="ListParagraph"/>
              <w:widowControl w:val="0"/>
              <w:numPr>
                <w:ilvl w:val="0"/>
                <w:numId w:val="1"/>
              </w:numPr>
              <w:ind w:left="391"/>
              <w:rPr>
                <w:sz w:val="21"/>
                <w:szCs w:val="21"/>
              </w:rPr>
            </w:pPr>
            <w:r w:rsidRPr="005A5EA9">
              <w:rPr>
                <w:rFonts w:eastAsia="Calibri" w:cs="Times New Roman"/>
                <w:sz w:val="21"/>
                <w:szCs w:val="21"/>
              </w:rPr>
              <w:t xml:space="preserve">Resume R-ICE once subject meets both ANC and platelet count requalification criteria. </w:t>
            </w:r>
          </w:p>
        </w:tc>
      </w:tr>
      <w:tr w:rsidR="00D42774" w:rsidRPr="005A5EA9" w14:paraId="1665024A" w14:textId="77777777" w:rsidTr="004E604F">
        <w:trPr>
          <w:trHeight w:val="362"/>
        </w:trPr>
        <w:tc>
          <w:tcPr>
            <w:tcW w:w="2174" w:type="dxa"/>
            <w:vMerge/>
          </w:tcPr>
          <w:p w14:paraId="324140FC" w14:textId="77777777" w:rsidR="00D42774" w:rsidRPr="005A5EA9" w:rsidRDefault="00D42774" w:rsidP="004E604F">
            <w:pPr>
              <w:widowControl w:val="0"/>
              <w:rPr>
                <w:sz w:val="21"/>
                <w:szCs w:val="21"/>
              </w:rPr>
            </w:pPr>
          </w:p>
        </w:tc>
        <w:tc>
          <w:tcPr>
            <w:tcW w:w="3076" w:type="dxa"/>
          </w:tcPr>
          <w:p w14:paraId="0C66CFE7" w14:textId="77777777" w:rsidR="00D42774" w:rsidRPr="005A5EA9" w:rsidRDefault="00D42774" w:rsidP="004E604F">
            <w:pPr>
              <w:widowControl w:val="0"/>
              <w:rPr>
                <w:sz w:val="21"/>
                <w:szCs w:val="21"/>
              </w:rPr>
            </w:pPr>
            <w:r w:rsidRPr="005A5EA9">
              <w:rPr>
                <w:rFonts w:eastAsia="Calibri" w:cs="Times New Roman"/>
                <w:sz w:val="21"/>
                <w:szCs w:val="21"/>
              </w:rPr>
              <w:t>Non hematologic AE related to R-ICE</w:t>
            </w:r>
          </w:p>
        </w:tc>
        <w:tc>
          <w:tcPr>
            <w:tcW w:w="4100" w:type="dxa"/>
          </w:tcPr>
          <w:p w14:paraId="5F4287EA" w14:textId="77777777" w:rsidR="00D42774" w:rsidRPr="005A5EA9" w:rsidRDefault="00D42774" w:rsidP="004E604F">
            <w:pPr>
              <w:widowControl w:val="0"/>
              <w:rPr>
                <w:sz w:val="21"/>
                <w:szCs w:val="21"/>
              </w:rPr>
            </w:pPr>
            <w:r w:rsidRPr="005A5EA9">
              <w:rPr>
                <w:rFonts w:eastAsia="Calibri" w:cs="Times New Roman"/>
                <w:sz w:val="21"/>
                <w:szCs w:val="21"/>
              </w:rPr>
              <w:t>Delay, discontinue, or modify R-ICE at investigator discretion</w:t>
            </w:r>
          </w:p>
        </w:tc>
      </w:tr>
      <w:tr w:rsidR="00D42774" w:rsidRPr="005A5EA9" w14:paraId="5396FB1C" w14:textId="77777777" w:rsidTr="004E604F">
        <w:trPr>
          <w:trHeight w:val="362"/>
        </w:trPr>
        <w:tc>
          <w:tcPr>
            <w:tcW w:w="2174" w:type="dxa"/>
            <w:vMerge/>
          </w:tcPr>
          <w:p w14:paraId="3C158209" w14:textId="77777777" w:rsidR="00D42774" w:rsidRPr="005A5EA9" w:rsidRDefault="00D42774" w:rsidP="004E604F">
            <w:pPr>
              <w:widowControl w:val="0"/>
              <w:rPr>
                <w:sz w:val="21"/>
                <w:szCs w:val="21"/>
              </w:rPr>
            </w:pPr>
          </w:p>
        </w:tc>
        <w:tc>
          <w:tcPr>
            <w:tcW w:w="3076" w:type="dxa"/>
          </w:tcPr>
          <w:p w14:paraId="202A731B" w14:textId="77777777" w:rsidR="00D42774" w:rsidRPr="005A5EA9" w:rsidRDefault="00D42774" w:rsidP="004E604F">
            <w:pPr>
              <w:widowControl w:val="0"/>
              <w:rPr>
                <w:sz w:val="21"/>
                <w:szCs w:val="21"/>
              </w:rPr>
            </w:pPr>
            <w:r w:rsidRPr="005A5EA9">
              <w:rPr>
                <w:rFonts w:eastAsia="Calibri" w:cs="Times New Roman"/>
                <w:sz w:val="21"/>
                <w:szCs w:val="21"/>
              </w:rPr>
              <w:t>Grade 3 or 4 Non hematologic AE related to AZA or other DLT</w:t>
            </w:r>
          </w:p>
        </w:tc>
        <w:tc>
          <w:tcPr>
            <w:tcW w:w="4100" w:type="dxa"/>
          </w:tcPr>
          <w:p w14:paraId="178E9280" w14:textId="77777777" w:rsidR="00D42774" w:rsidRPr="005A5EA9" w:rsidRDefault="00D42774" w:rsidP="004E604F">
            <w:pPr>
              <w:widowControl w:val="0"/>
              <w:rPr>
                <w:sz w:val="21"/>
                <w:szCs w:val="21"/>
              </w:rPr>
            </w:pPr>
            <w:r w:rsidRPr="005A5EA9">
              <w:rPr>
                <w:rFonts w:eastAsia="Calibri" w:cs="Times New Roman"/>
                <w:sz w:val="21"/>
                <w:szCs w:val="21"/>
              </w:rPr>
              <w:t>R-ICE can be started when AE resolved to grade 2 or less.</w:t>
            </w:r>
          </w:p>
        </w:tc>
      </w:tr>
      <w:tr w:rsidR="00D42774" w:rsidRPr="005A5EA9" w14:paraId="4FB78692" w14:textId="77777777" w:rsidTr="004E604F">
        <w:trPr>
          <w:trHeight w:val="362"/>
        </w:trPr>
        <w:tc>
          <w:tcPr>
            <w:tcW w:w="2174" w:type="dxa"/>
          </w:tcPr>
          <w:p w14:paraId="622C4D5E" w14:textId="77777777" w:rsidR="00D42774" w:rsidRPr="005A5EA9" w:rsidRDefault="00D42774" w:rsidP="004E604F">
            <w:pPr>
              <w:widowControl w:val="0"/>
              <w:rPr>
                <w:sz w:val="21"/>
                <w:szCs w:val="21"/>
              </w:rPr>
            </w:pPr>
            <w:r w:rsidRPr="005A5EA9">
              <w:rPr>
                <w:rFonts w:eastAsia="Calibri" w:cs="Times New Roman"/>
                <w:sz w:val="21"/>
                <w:szCs w:val="21"/>
              </w:rPr>
              <w:t>Day 8 (cycles 1-2)</w:t>
            </w:r>
          </w:p>
        </w:tc>
        <w:tc>
          <w:tcPr>
            <w:tcW w:w="3076" w:type="dxa"/>
          </w:tcPr>
          <w:p w14:paraId="58A0F413" w14:textId="77777777" w:rsidR="00D42774" w:rsidRPr="005A5EA9" w:rsidRDefault="00D42774" w:rsidP="004E604F">
            <w:pPr>
              <w:widowControl w:val="0"/>
              <w:rPr>
                <w:sz w:val="21"/>
                <w:szCs w:val="21"/>
              </w:rPr>
            </w:pPr>
            <w:r w:rsidRPr="005A5EA9">
              <w:rPr>
                <w:rFonts w:eastAsia="Calibri" w:cs="Times New Roman"/>
                <w:sz w:val="21"/>
                <w:szCs w:val="21"/>
              </w:rPr>
              <w:t xml:space="preserve">ANC &lt; 750 </w:t>
            </w:r>
            <w:r w:rsidRPr="005A5EA9">
              <w:rPr>
                <w:rFonts w:cs="Times New Roman"/>
                <w:sz w:val="21"/>
                <w:szCs w:val="21"/>
              </w:rPr>
              <w:t>cells/mm</w:t>
            </w:r>
            <w:r w:rsidRPr="005A5EA9">
              <w:rPr>
                <w:rFonts w:cs="Times New Roman"/>
                <w:sz w:val="21"/>
                <w:szCs w:val="21"/>
                <w:vertAlign w:val="superscript"/>
              </w:rPr>
              <w:t>3</w:t>
            </w:r>
            <w:r w:rsidRPr="005A5EA9">
              <w:rPr>
                <w:rFonts w:eastAsia="Calibri" w:cs="Times New Roman"/>
                <w:sz w:val="21"/>
                <w:szCs w:val="21"/>
              </w:rPr>
              <w:t xml:space="preserve"> with fever (temp &gt; 38.5</w:t>
            </w:r>
            <w:r w:rsidRPr="005A5EA9">
              <w:rPr>
                <w:rFonts w:eastAsia="Calibri" w:cs="Times New Roman"/>
                <w:b/>
                <w:color w:val="000000"/>
                <w:sz w:val="21"/>
                <w:szCs w:val="21"/>
              </w:rPr>
              <w:t>°</w:t>
            </w:r>
            <w:r w:rsidRPr="005A5EA9">
              <w:rPr>
                <w:rFonts w:eastAsia="Calibri" w:cs="Times New Roman"/>
                <w:sz w:val="21"/>
                <w:szCs w:val="21"/>
              </w:rPr>
              <w:t>C)</w:t>
            </w:r>
          </w:p>
          <w:p w14:paraId="31C07071" w14:textId="77777777" w:rsidR="00D42774" w:rsidRPr="005A5EA9" w:rsidRDefault="00D42774" w:rsidP="004E604F">
            <w:pPr>
              <w:widowControl w:val="0"/>
              <w:rPr>
                <w:sz w:val="21"/>
                <w:szCs w:val="21"/>
              </w:rPr>
            </w:pPr>
          </w:p>
        </w:tc>
        <w:tc>
          <w:tcPr>
            <w:tcW w:w="4100" w:type="dxa"/>
          </w:tcPr>
          <w:p w14:paraId="3EA67C56" w14:textId="77777777" w:rsidR="00D42774" w:rsidRPr="005A5EA9" w:rsidRDefault="00D42774" w:rsidP="004E604F">
            <w:pPr>
              <w:pStyle w:val="ListParagraph"/>
              <w:widowControl w:val="0"/>
              <w:ind w:left="391"/>
              <w:rPr>
                <w:sz w:val="21"/>
                <w:szCs w:val="21"/>
              </w:rPr>
            </w:pPr>
          </w:p>
          <w:p w14:paraId="13FCCE8E" w14:textId="77777777" w:rsidR="00D42774" w:rsidRPr="005A5EA9" w:rsidRDefault="00D42774" w:rsidP="00D42774">
            <w:pPr>
              <w:pStyle w:val="ListParagraph"/>
              <w:widowControl w:val="0"/>
              <w:numPr>
                <w:ilvl w:val="0"/>
                <w:numId w:val="2"/>
              </w:numPr>
              <w:ind w:left="391"/>
              <w:rPr>
                <w:sz w:val="21"/>
                <w:szCs w:val="21"/>
              </w:rPr>
            </w:pPr>
            <w:r w:rsidRPr="005A5EA9">
              <w:rPr>
                <w:rFonts w:eastAsia="Calibri" w:cs="Times New Roman"/>
                <w:sz w:val="21"/>
                <w:szCs w:val="21"/>
              </w:rPr>
              <w:t xml:space="preserve">Hold </w:t>
            </w:r>
            <w:r w:rsidRPr="005A5EA9">
              <w:rPr>
                <w:rFonts w:eastAsia="Calibri" w:cs="Times New Roman"/>
              </w:rPr>
              <w:t xml:space="preserve">AZA </w:t>
            </w:r>
            <w:r w:rsidRPr="005A5EA9">
              <w:rPr>
                <w:rFonts w:eastAsia="Calibri" w:cs="Times New Roman"/>
                <w:sz w:val="21"/>
                <w:szCs w:val="21"/>
              </w:rPr>
              <w:t xml:space="preserve">and reassess ANC no greater than one week later. Physicians are allowed to assess more frequently. AZA can be restarted once ANC is ≥ 500 </w:t>
            </w:r>
            <w:r w:rsidRPr="005A5EA9">
              <w:rPr>
                <w:rFonts w:cs="Times New Roman"/>
                <w:sz w:val="21"/>
                <w:szCs w:val="21"/>
              </w:rPr>
              <w:t>cells/mm</w:t>
            </w:r>
            <w:r w:rsidRPr="005A5EA9">
              <w:rPr>
                <w:rFonts w:cs="Times New Roman"/>
                <w:sz w:val="21"/>
                <w:szCs w:val="21"/>
                <w:vertAlign w:val="superscript"/>
              </w:rPr>
              <w:t>3</w:t>
            </w:r>
            <w:r w:rsidRPr="005A5EA9">
              <w:rPr>
                <w:rFonts w:eastAsia="Calibri" w:cs="Times New Roman"/>
                <w:sz w:val="21"/>
                <w:szCs w:val="21"/>
              </w:rPr>
              <w:t xml:space="preserve"> and fever has resolved. </w:t>
            </w:r>
          </w:p>
          <w:p w14:paraId="648CD2DC" w14:textId="77777777" w:rsidR="00D42774" w:rsidRPr="005A5EA9" w:rsidRDefault="00D42774" w:rsidP="004E604F">
            <w:pPr>
              <w:pStyle w:val="ListParagraph"/>
              <w:widowControl w:val="0"/>
              <w:ind w:left="391"/>
              <w:rPr>
                <w:sz w:val="21"/>
                <w:szCs w:val="21"/>
              </w:rPr>
            </w:pPr>
          </w:p>
          <w:p w14:paraId="09822162" w14:textId="77777777" w:rsidR="00D42774" w:rsidRPr="005A5EA9" w:rsidRDefault="00D42774" w:rsidP="00D42774">
            <w:pPr>
              <w:pStyle w:val="ListParagraph"/>
              <w:widowControl w:val="0"/>
              <w:numPr>
                <w:ilvl w:val="0"/>
                <w:numId w:val="2"/>
              </w:numPr>
              <w:ind w:left="391"/>
              <w:rPr>
                <w:sz w:val="21"/>
                <w:szCs w:val="21"/>
              </w:rPr>
            </w:pPr>
            <w:r w:rsidRPr="005A5EA9">
              <w:rPr>
                <w:rFonts w:eastAsia="Calibri" w:cs="Times New Roman"/>
                <w:sz w:val="21"/>
                <w:szCs w:val="21"/>
              </w:rPr>
              <w:t>If requalification criteria is not met by day 15 then AZA should be suspended the remainder of the current cycle and reduce by one dose level at the next cycle according to</w:t>
            </w:r>
            <w:r w:rsidRPr="005A5EA9">
              <w:rPr>
                <w:rFonts w:eastAsia="Calibri" w:cs="Times New Roman"/>
              </w:rPr>
              <w:t xml:space="preserve"> table 2</w:t>
            </w:r>
            <w:r w:rsidRPr="005A5EA9">
              <w:rPr>
                <w:rFonts w:eastAsia="Calibri" w:cs="Times New Roman"/>
                <w:sz w:val="21"/>
                <w:szCs w:val="21"/>
              </w:rPr>
              <w:t xml:space="preserve">. </w:t>
            </w:r>
          </w:p>
          <w:p w14:paraId="60476FD0" w14:textId="77777777" w:rsidR="00D42774" w:rsidRPr="005A5EA9" w:rsidRDefault="00D42774" w:rsidP="004E604F">
            <w:pPr>
              <w:widowControl w:val="0"/>
              <w:rPr>
                <w:sz w:val="21"/>
                <w:szCs w:val="21"/>
              </w:rPr>
            </w:pPr>
          </w:p>
          <w:p w14:paraId="2F9955C8" w14:textId="77777777" w:rsidR="00D42774" w:rsidRPr="005A5EA9" w:rsidRDefault="00D42774" w:rsidP="004E604F">
            <w:pPr>
              <w:widowControl w:val="0"/>
              <w:rPr>
                <w:sz w:val="21"/>
                <w:szCs w:val="21"/>
              </w:rPr>
            </w:pPr>
          </w:p>
          <w:p w14:paraId="287C9D9E" w14:textId="77777777" w:rsidR="00D42774" w:rsidRPr="005A5EA9" w:rsidRDefault="00D42774" w:rsidP="004E604F">
            <w:pPr>
              <w:widowControl w:val="0"/>
              <w:rPr>
                <w:sz w:val="21"/>
                <w:szCs w:val="21"/>
              </w:rPr>
            </w:pPr>
          </w:p>
        </w:tc>
      </w:tr>
      <w:tr w:rsidR="00D42774" w:rsidRPr="005A5EA9" w14:paraId="015B14C5" w14:textId="77777777" w:rsidTr="004E604F">
        <w:trPr>
          <w:trHeight w:val="380"/>
        </w:trPr>
        <w:tc>
          <w:tcPr>
            <w:tcW w:w="2174" w:type="dxa"/>
          </w:tcPr>
          <w:p w14:paraId="4EB27684" w14:textId="77777777" w:rsidR="00D42774" w:rsidRPr="005A5EA9" w:rsidRDefault="00D42774" w:rsidP="004E604F">
            <w:pPr>
              <w:widowControl w:val="0"/>
              <w:rPr>
                <w:sz w:val="21"/>
                <w:szCs w:val="21"/>
              </w:rPr>
            </w:pPr>
            <w:r w:rsidRPr="005A5EA9">
              <w:rPr>
                <w:rFonts w:eastAsia="Calibri" w:cs="Times New Roman"/>
                <w:sz w:val="21"/>
                <w:szCs w:val="21"/>
              </w:rPr>
              <w:t>Day 15 (cycles 1-2)</w:t>
            </w:r>
          </w:p>
        </w:tc>
        <w:tc>
          <w:tcPr>
            <w:tcW w:w="3076" w:type="dxa"/>
          </w:tcPr>
          <w:p w14:paraId="2F7979E0" w14:textId="77777777" w:rsidR="00D42774" w:rsidRPr="005A5EA9" w:rsidRDefault="00D42774" w:rsidP="004E604F">
            <w:pPr>
              <w:widowControl w:val="0"/>
              <w:rPr>
                <w:sz w:val="21"/>
                <w:szCs w:val="21"/>
              </w:rPr>
            </w:pPr>
            <w:r w:rsidRPr="005A5EA9">
              <w:rPr>
                <w:rFonts w:eastAsia="Calibri" w:cs="Times New Roman"/>
                <w:sz w:val="21"/>
                <w:szCs w:val="21"/>
              </w:rPr>
              <w:t xml:space="preserve">ANC &lt; 500 </w:t>
            </w:r>
            <w:r w:rsidRPr="005A5EA9">
              <w:rPr>
                <w:rFonts w:cs="Times New Roman"/>
                <w:sz w:val="21"/>
                <w:szCs w:val="21"/>
              </w:rPr>
              <w:t>cells/mm</w:t>
            </w:r>
            <w:r w:rsidRPr="005A5EA9">
              <w:rPr>
                <w:rFonts w:cs="Times New Roman"/>
                <w:sz w:val="21"/>
                <w:szCs w:val="21"/>
                <w:vertAlign w:val="superscript"/>
              </w:rPr>
              <w:t>3</w:t>
            </w:r>
          </w:p>
          <w:p w14:paraId="62454AA2" w14:textId="77777777" w:rsidR="00D42774" w:rsidRPr="005A5EA9" w:rsidRDefault="00D42774" w:rsidP="004E604F">
            <w:pPr>
              <w:widowControl w:val="0"/>
              <w:rPr>
                <w:sz w:val="21"/>
                <w:szCs w:val="21"/>
              </w:rPr>
            </w:pPr>
          </w:p>
          <w:p w14:paraId="174D14E7" w14:textId="77777777" w:rsidR="00D42774" w:rsidRPr="005A5EA9" w:rsidRDefault="00D42774" w:rsidP="004E604F">
            <w:pPr>
              <w:widowControl w:val="0"/>
              <w:rPr>
                <w:b/>
                <w:sz w:val="21"/>
                <w:szCs w:val="21"/>
              </w:rPr>
            </w:pPr>
            <w:r w:rsidRPr="005A5EA9">
              <w:rPr>
                <w:rFonts w:eastAsia="Calibri" w:cs="Times New Roman"/>
                <w:b/>
                <w:sz w:val="21"/>
                <w:szCs w:val="21"/>
              </w:rPr>
              <w:t>AND/OR</w:t>
            </w:r>
          </w:p>
          <w:p w14:paraId="0327928D" w14:textId="77777777" w:rsidR="00D42774" w:rsidRPr="005A5EA9" w:rsidRDefault="00D42774" w:rsidP="004E604F">
            <w:pPr>
              <w:widowControl w:val="0"/>
              <w:rPr>
                <w:sz w:val="21"/>
                <w:szCs w:val="21"/>
              </w:rPr>
            </w:pPr>
            <w:r w:rsidRPr="005A5EA9">
              <w:rPr>
                <w:rFonts w:eastAsia="Calibri" w:cs="Times New Roman"/>
                <w:sz w:val="21"/>
                <w:szCs w:val="21"/>
              </w:rPr>
              <w:t xml:space="preserve">Platelet count &lt; 25,000 </w:t>
            </w:r>
            <w:r w:rsidRPr="005A5EA9">
              <w:rPr>
                <w:rFonts w:cs="Times New Roman"/>
                <w:sz w:val="21"/>
                <w:szCs w:val="21"/>
              </w:rPr>
              <w:t>cells/mm</w:t>
            </w:r>
            <w:r w:rsidRPr="005A5EA9">
              <w:rPr>
                <w:rFonts w:cs="Times New Roman"/>
                <w:sz w:val="21"/>
                <w:szCs w:val="21"/>
                <w:vertAlign w:val="superscript"/>
              </w:rPr>
              <w:t>3</w:t>
            </w:r>
          </w:p>
          <w:p w14:paraId="202DDA48" w14:textId="77777777" w:rsidR="00D42774" w:rsidRPr="005A5EA9" w:rsidRDefault="00D42774" w:rsidP="004E604F">
            <w:pPr>
              <w:widowControl w:val="0"/>
              <w:rPr>
                <w:sz w:val="21"/>
                <w:szCs w:val="21"/>
              </w:rPr>
            </w:pPr>
          </w:p>
        </w:tc>
        <w:tc>
          <w:tcPr>
            <w:tcW w:w="4100" w:type="dxa"/>
          </w:tcPr>
          <w:p w14:paraId="1A1BB256" w14:textId="77777777" w:rsidR="00D42774" w:rsidRPr="005A5EA9" w:rsidRDefault="00D42774" w:rsidP="004E604F">
            <w:pPr>
              <w:widowControl w:val="0"/>
              <w:rPr>
                <w:sz w:val="21"/>
                <w:szCs w:val="21"/>
              </w:rPr>
            </w:pPr>
          </w:p>
          <w:p w14:paraId="33953DDF" w14:textId="77777777" w:rsidR="00D42774" w:rsidRPr="005A5EA9" w:rsidRDefault="00D42774" w:rsidP="00D42774">
            <w:pPr>
              <w:pStyle w:val="ListParagraph"/>
              <w:widowControl w:val="0"/>
              <w:numPr>
                <w:ilvl w:val="0"/>
                <w:numId w:val="3"/>
              </w:numPr>
              <w:ind w:left="389"/>
              <w:rPr>
                <w:rStyle w:val="Hyperlink"/>
                <w:color w:val="auto"/>
                <w:sz w:val="21"/>
                <w:szCs w:val="21"/>
              </w:rPr>
            </w:pPr>
            <w:r w:rsidRPr="005A5EA9">
              <w:rPr>
                <w:rFonts w:eastAsia="Calibri" w:cs="Times New Roman"/>
                <w:sz w:val="21"/>
                <w:szCs w:val="21"/>
              </w:rPr>
              <w:t xml:space="preserve">Hold AZA and reassess qualification criteria as soon as 24 hours later and no later than 72 hours later. AZA can be restarted once requalification criteria has been met. If at 72 hours patient does not meet qualification </w:t>
            </w:r>
            <w:r w:rsidRPr="005A5EA9">
              <w:rPr>
                <w:rFonts w:eastAsia="Calibri" w:cs="Times New Roman"/>
                <w:sz w:val="21"/>
                <w:szCs w:val="21"/>
              </w:rPr>
              <w:lastRenderedPageBreak/>
              <w:t>criteria, then hold AZA until next cycle and reduce by one dose level according to table 2.</w:t>
            </w:r>
          </w:p>
          <w:p w14:paraId="7F73696D" w14:textId="77777777" w:rsidR="00D42774" w:rsidRPr="005A5EA9" w:rsidRDefault="00D42774" w:rsidP="004E604F">
            <w:pPr>
              <w:pStyle w:val="ListParagraph"/>
              <w:widowControl w:val="0"/>
              <w:ind w:left="389"/>
              <w:rPr>
                <w:sz w:val="21"/>
                <w:szCs w:val="21"/>
              </w:rPr>
            </w:pPr>
          </w:p>
          <w:p w14:paraId="09A07D80" w14:textId="77777777" w:rsidR="00D42774" w:rsidRPr="005A5EA9" w:rsidRDefault="00D42774" w:rsidP="00D42774">
            <w:pPr>
              <w:pStyle w:val="ListParagraph"/>
              <w:widowControl w:val="0"/>
              <w:numPr>
                <w:ilvl w:val="0"/>
                <w:numId w:val="3"/>
              </w:numPr>
              <w:ind w:left="391"/>
              <w:rPr>
                <w:sz w:val="21"/>
                <w:szCs w:val="21"/>
              </w:rPr>
            </w:pPr>
            <w:r w:rsidRPr="005A5EA9">
              <w:rPr>
                <w:rFonts w:eastAsia="Calibri" w:cs="Times New Roman"/>
                <w:sz w:val="21"/>
                <w:szCs w:val="21"/>
              </w:rPr>
              <w:t>If this was the first occurrence of holding AZA because of hematologic qualification criteria then restart AZA at the same dose level according to requalification criteria. For subsequent occurrences reduce by one dose level once requalification are met according to table 2.</w:t>
            </w:r>
          </w:p>
          <w:p w14:paraId="6CFB5790" w14:textId="77777777" w:rsidR="00D42774" w:rsidRPr="005A5EA9" w:rsidRDefault="00D42774" w:rsidP="004E604F">
            <w:pPr>
              <w:widowControl w:val="0"/>
              <w:rPr>
                <w:sz w:val="21"/>
                <w:szCs w:val="21"/>
              </w:rPr>
            </w:pPr>
          </w:p>
        </w:tc>
      </w:tr>
      <w:tr w:rsidR="00D42774" w:rsidRPr="005A5EA9" w14:paraId="49344BA7" w14:textId="77777777" w:rsidTr="004E604F">
        <w:trPr>
          <w:trHeight w:val="414"/>
        </w:trPr>
        <w:tc>
          <w:tcPr>
            <w:tcW w:w="2174" w:type="dxa"/>
          </w:tcPr>
          <w:p w14:paraId="1E387AF2" w14:textId="77777777" w:rsidR="00D42774" w:rsidRPr="005A5EA9" w:rsidRDefault="00D42774" w:rsidP="004E604F">
            <w:pPr>
              <w:widowControl w:val="0"/>
              <w:rPr>
                <w:sz w:val="21"/>
                <w:szCs w:val="21"/>
              </w:rPr>
            </w:pPr>
            <w:r w:rsidRPr="005A5EA9">
              <w:rPr>
                <w:rFonts w:eastAsia="Calibri" w:cs="Times New Roman"/>
                <w:sz w:val="21"/>
                <w:szCs w:val="21"/>
              </w:rPr>
              <w:lastRenderedPageBreak/>
              <w:t xml:space="preserve">Unscheduled assessment </w:t>
            </w:r>
          </w:p>
        </w:tc>
        <w:tc>
          <w:tcPr>
            <w:tcW w:w="3076" w:type="dxa"/>
          </w:tcPr>
          <w:p w14:paraId="77D1644A" w14:textId="77777777" w:rsidR="00D42774" w:rsidRPr="005A5EA9" w:rsidRDefault="00D42774" w:rsidP="004E604F">
            <w:pPr>
              <w:widowControl w:val="0"/>
              <w:rPr>
                <w:sz w:val="21"/>
                <w:szCs w:val="21"/>
              </w:rPr>
            </w:pPr>
            <w:r w:rsidRPr="005A5EA9">
              <w:rPr>
                <w:rFonts w:eastAsia="Calibri" w:cs="Times New Roman"/>
                <w:sz w:val="21"/>
                <w:szCs w:val="21"/>
              </w:rPr>
              <w:t>DLT</w:t>
            </w:r>
          </w:p>
          <w:p w14:paraId="37015013" w14:textId="77777777" w:rsidR="00D42774" w:rsidRPr="005A5EA9" w:rsidRDefault="00D42774" w:rsidP="004E604F">
            <w:pPr>
              <w:widowControl w:val="0"/>
              <w:rPr>
                <w:sz w:val="21"/>
                <w:szCs w:val="21"/>
              </w:rPr>
            </w:pPr>
          </w:p>
        </w:tc>
        <w:tc>
          <w:tcPr>
            <w:tcW w:w="4100" w:type="dxa"/>
          </w:tcPr>
          <w:p w14:paraId="4869BB66" w14:textId="77777777" w:rsidR="00D42774" w:rsidRPr="005A5EA9" w:rsidRDefault="00D42774" w:rsidP="004E604F">
            <w:pPr>
              <w:widowControl w:val="0"/>
              <w:rPr>
                <w:sz w:val="21"/>
                <w:szCs w:val="21"/>
              </w:rPr>
            </w:pPr>
            <w:r w:rsidRPr="005A5EA9">
              <w:rPr>
                <w:rFonts w:eastAsia="Calibri" w:cs="Times New Roman"/>
                <w:sz w:val="21"/>
                <w:szCs w:val="21"/>
              </w:rPr>
              <w:t>Hold AZA until recovery to</w:t>
            </w:r>
            <w:r w:rsidRPr="005A5EA9">
              <w:rPr>
                <w:rFonts w:eastAsia="MS Gothic" w:cs="Times New Roman"/>
                <w:color w:val="000000"/>
                <w:sz w:val="21"/>
                <w:szCs w:val="21"/>
              </w:rPr>
              <w:t xml:space="preserve"> </w:t>
            </w:r>
            <w:r w:rsidRPr="005A5EA9">
              <w:rPr>
                <w:rFonts w:ascii="MS Gothic" w:eastAsia="MS Gothic" w:hAnsi="MS Gothic" w:cs="Times New Roman"/>
                <w:color w:val="000000"/>
                <w:sz w:val="21"/>
                <w:szCs w:val="21"/>
              </w:rPr>
              <w:t>≤</w:t>
            </w:r>
            <w:r w:rsidRPr="005A5EA9">
              <w:rPr>
                <w:rFonts w:eastAsia="Calibri" w:cs="Times New Roman"/>
                <w:sz w:val="21"/>
                <w:szCs w:val="21"/>
              </w:rPr>
              <w:t xml:space="preserve"> grade 2, then restart at next lower dose level. If there is no lower dose level then do not restart AZA and continue with R-ICE alone. AZA can be permanently stopped by investigator with any DLT. </w:t>
            </w:r>
          </w:p>
          <w:p w14:paraId="1B47115F" w14:textId="77777777" w:rsidR="00D42774" w:rsidRPr="005A5EA9" w:rsidRDefault="00D42774" w:rsidP="004E604F">
            <w:pPr>
              <w:widowControl w:val="0"/>
              <w:rPr>
                <w:sz w:val="21"/>
                <w:szCs w:val="21"/>
              </w:rPr>
            </w:pPr>
          </w:p>
          <w:p w14:paraId="107230C6" w14:textId="77777777" w:rsidR="00D42774" w:rsidRPr="005A5EA9" w:rsidRDefault="00D42774" w:rsidP="004E604F">
            <w:pPr>
              <w:widowControl w:val="0"/>
              <w:rPr>
                <w:sz w:val="21"/>
                <w:szCs w:val="21"/>
              </w:rPr>
            </w:pPr>
          </w:p>
          <w:p w14:paraId="07C5C572" w14:textId="77777777" w:rsidR="00D42774" w:rsidRPr="005A5EA9" w:rsidRDefault="00D42774" w:rsidP="004E604F">
            <w:pPr>
              <w:widowControl w:val="0"/>
              <w:rPr>
                <w:sz w:val="21"/>
                <w:szCs w:val="21"/>
              </w:rPr>
            </w:pPr>
          </w:p>
        </w:tc>
      </w:tr>
    </w:tbl>
    <w:p w14:paraId="76472A12" w14:textId="77777777" w:rsidR="00D42774" w:rsidRPr="005A5EA9" w:rsidRDefault="00D42774" w:rsidP="00D42774">
      <w:pPr>
        <w:jc w:val="both"/>
        <w:rPr>
          <w:rFonts w:ascii="Arial" w:hAnsi="Arial" w:cs="Arial"/>
        </w:rPr>
      </w:pPr>
    </w:p>
    <w:p w14:paraId="2325DDAA" w14:textId="77777777" w:rsidR="00D42774" w:rsidRDefault="00D42774" w:rsidP="00D42774"/>
    <w:p w14:paraId="7EB59699" w14:textId="77777777" w:rsidR="00D42774" w:rsidRPr="005A5EA9" w:rsidRDefault="00D42774" w:rsidP="00D42774">
      <w:pPr>
        <w:jc w:val="both"/>
        <w:rPr>
          <w:rFonts w:cstheme="minorHAnsi"/>
          <w:b/>
        </w:rPr>
      </w:pPr>
      <w:r w:rsidRPr="005A5EA9">
        <w:rPr>
          <w:rFonts w:cstheme="minorHAnsi"/>
          <w:b/>
        </w:rPr>
        <w:t>Appendix Table 2: AZA Dose Level Reductions</w:t>
      </w:r>
    </w:p>
    <w:tbl>
      <w:tblPr>
        <w:tblStyle w:val="TableGrid"/>
        <w:tblW w:w="9350" w:type="dxa"/>
        <w:tblLayout w:type="fixed"/>
        <w:tblLook w:val="04A0" w:firstRow="1" w:lastRow="0" w:firstColumn="1" w:lastColumn="0" w:noHBand="0" w:noVBand="1"/>
      </w:tblPr>
      <w:tblGrid>
        <w:gridCol w:w="1542"/>
        <w:gridCol w:w="1556"/>
        <w:gridCol w:w="1563"/>
        <w:gridCol w:w="1564"/>
        <w:gridCol w:w="1562"/>
        <w:gridCol w:w="1563"/>
      </w:tblGrid>
      <w:tr w:rsidR="00D42774" w:rsidRPr="005A5EA9" w14:paraId="338FB8EC" w14:textId="77777777" w:rsidTr="004E604F">
        <w:tc>
          <w:tcPr>
            <w:tcW w:w="1541" w:type="dxa"/>
          </w:tcPr>
          <w:p w14:paraId="175F759A"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Dose level</w:t>
            </w:r>
          </w:p>
        </w:tc>
        <w:tc>
          <w:tcPr>
            <w:tcW w:w="1556" w:type="dxa"/>
          </w:tcPr>
          <w:p w14:paraId="442F5EE6"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Starting dose</w:t>
            </w:r>
          </w:p>
        </w:tc>
        <w:tc>
          <w:tcPr>
            <w:tcW w:w="1563" w:type="dxa"/>
          </w:tcPr>
          <w:p w14:paraId="6858821B"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Dose reduction No. 1</w:t>
            </w:r>
          </w:p>
        </w:tc>
        <w:tc>
          <w:tcPr>
            <w:tcW w:w="1564" w:type="dxa"/>
          </w:tcPr>
          <w:p w14:paraId="26843CDF"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Dose reduction No. 2</w:t>
            </w:r>
          </w:p>
        </w:tc>
        <w:tc>
          <w:tcPr>
            <w:tcW w:w="1562" w:type="dxa"/>
          </w:tcPr>
          <w:p w14:paraId="3A20028A"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Dose reduction No. 3</w:t>
            </w:r>
          </w:p>
        </w:tc>
        <w:tc>
          <w:tcPr>
            <w:tcW w:w="1563" w:type="dxa"/>
          </w:tcPr>
          <w:p w14:paraId="790E4591"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Dose reduction No. 4</w:t>
            </w:r>
          </w:p>
        </w:tc>
      </w:tr>
      <w:tr w:rsidR="00D42774" w:rsidRPr="005A5EA9" w14:paraId="1DE739E7" w14:textId="77777777" w:rsidTr="004E604F">
        <w:tc>
          <w:tcPr>
            <w:tcW w:w="1541" w:type="dxa"/>
          </w:tcPr>
          <w:p w14:paraId="2BB60948"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-2</w:t>
            </w:r>
          </w:p>
        </w:tc>
        <w:tc>
          <w:tcPr>
            <w:tcW w:w="1556" w:type="dxa"/>
          </w:tcPr>
          <w:p w14:paraId="018ED6F1"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QD</w:t>
            </w:r>
          </w:p>
        </w:tc>
        <w:tc>
          <w:tcPr>
            <w:tcW w:w="1563" w:type="dxa"/>
          </w:tcPr>
          <w:p w14:paraId="5FD88F79"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 xml:space="preserve">100 mg QOD </w:t>
            </w:r>
          </w:p>
        </w:tc>
        <w:tc>
          <w:tcPr>
            <w:tcW w:w="1564" w:type="dxa"/>
          </w:tcPr>
          <w:p w14:paraId="12051071"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None</w:t>
            </w:r>
          </w:p>
        </w:tc>
        <w:tc>
          <w:tcPr>
            <w:tcW w:w="1562" w:type="dxa"/>
          </w:tcPr>
          <w:p w14:paraId="67548B2D"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None</w:t>
            </w:r>
          </w:p>
        </w:tc>
        <w:tc>
          <w:tcPr>
            <w:tcW w:w="1563" w:type="dxa"/>
          </w:tcPr>
          <w:p w14:paraId="316C2C2B"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None</w:t>
            </w:r>
          </w:p>
        </w:tc>
      </w:tr>
      <w:tr w:rsidR="00D42774" w:rsidRPr="005A5EA9" w14:paraId="3BE13101" w14:textId="77777777" w:rsidTr="004E604F">
        <w:tc>
          <w:tcPr>
            <w:tcW w:w="1541" w:type="dxa"/>
          </w:tcPr>
          <w:p w14:paraId="4AA502F2"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w:t>
            </w:r>
          </w:p>
        </w:tc>
        <w:tc>
          <w:tcPr>
            <w:tcW w:w="1556" w:type="dxa"/>
          </w:tcPr>
          <w:p w14:paraId="376EE850"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150 mg QD</w:t>
            </w:r>
          </w:p>
        </w:tc>
        <w:tc>
          <w:tcPr>
            <w:tcW w:w="1563" w:type="dxa"/>
          </w:tcPr>
          <w:p w14:paraId="34D31C35"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QD</w:t>
            </w:r>
          </w:p>
        </w:tc>
        <w:tc>
          <w:tcPr>
            <w:tcW w:w="1564" w:type="dxa"/>
          </w:tcPr>
          <w:p w14:paraId="21EDDA3F"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QOD</w:t>
            </w:r>
          </w:p>
        </w:tc>
        <w:tc>
          <w:tcPr>
            <w:tcW w:w="1562" w:type="dxa"/>
          </w:tcPr>
          <w:p w14:paraId="3CDA772E"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None</w:t>
            </w:r>
          </w:p>
        </w:tc>
        <w:tc>
          <w:tcPr>
            <w:tcW w:w="1563" w:type="dxa"/>
          </w:tcPr>
          <w:p w14:paraId="241B06D0"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None</w:t>
            </w:r>
          </w:p>
        </w:tc>
      </w:tr>
      <w:tr w:rsidR="00D42774" w:rsidRPr="005A5EA9" w14:paraId="12D09052" w14:textId="77777777" w:rsidTr="004E604F">
        <w:tc>
          <w:tcPr>
            <w:tcW w:w="1541" w:type="dxa"/>
          </w:tcPr>
          <w:p w14:paraId="4921CC3A"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w:t>
            </w:r>
          </w:p>
        </w:tc>
        <w:tc>
          <w:tcPr>
            <w:tcW w:w="1556" w:type="dxa"/>
          </w:tcPr>
          <w:p w14:paraId="30A4B73F"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200 mg QD</w:t>
            </w:r>
          </w:p>
        </w:tc>
        <w:tc>
          <w:tcPr>
            <w:tcW w:w="1563" w:type="dxa"/>
          </w:tcPr>
          <w:p w14:paraId="3A16AE20"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150 mg QD</w:t>
            </w:r>
          </w:p>
        </w:tc>
        <w:tc>
          <w:tcPr>
            <w:tcW w:w="1564" w:type="dxa"/>
          </w:tcPr>
          <w:p w14:paraId="1322CAFC"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w:t>
            </w:r>
          </w:p>
        </w:tc>
        <w:tc>
          <w:tcPr>
            <w:tcW w:w="1562" w:type="dxa"/>
          </w:tcPr>
          <w:p w14:paraId="38D1D25B"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QOD</w:t>
            </w:r>
          </w:p>
        </w:tc>
        <w:tc>
          <w:tcPr>
            <w:tcW w:w="1563" w:type="dxa"/>
          </w:tcPr>
          <w:p w14:paraId="647FB85C"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 xml:space="preserve">None </w:t>
            </w:r>
          </w:p>
        </w:tc>
      </w:tr>
      <w:tr w:rsidR="00D42774" w:rsidRPr="005A5EA9" w14:paraId="7BCBA629" w14:textId="77777777" w:rsidTr="004E604F">
        <w:tc>
          <w:tcPr>
            <w:tcW w:w="1541" w:type="dxa"/>
          </w:tcPr>
          <w:p w14:paraId="663D46AB"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2</w:t>
            </w:r>
          </w:p>
        </w:tc>
        <w:tc>
          <w:tcPr>
            <w:tcW w:w="1556" w:type="dxa"/>
          </w:tcPr>
          <w:p w14:paraId="57CD06C1"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300 mg QD</w:t>
            </w:r>
          </w:p>
        </w:tc>
        <w:tc>
          <w:tcPr>
            <w:tcW w:w="1563" w:type="dxa"/>
          </w:tcPr>
          <w:p w14:paraId="6F8904E2"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200 mg QD</w:t>
            </w:r>
          </w:p>
        </w:tc>
        <w:tc>
          <w:tcPr>
            <w:tcW w:w="1564" w:type="dxa"/>
          </w:tcPr>
          <w:p w14:paraId="768D4C15"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150 mg</w:t>
            </w:r>
          </w:p>
        </w:tc>
        <w:tc>
          <w:tcPr>
            <w:tcW w:w="1562" w:type="dxa"/>
          </w:tcPr>
          <w:p w14:paraId="25ACB6BE"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QD</w:t>
            </w:r>
          </w:p>
        </w:tc>
        <w:tc>
          <w:tcPr>
            <w:tcW w:w="1563" w:type="dxa"/>
          </w:tcPr>
          <w:p w14:paraId="6DEB6D43" w14:textId="77777777" w:rsidR="00D42774" w:rsidRPr="005A5EA9" w:rsidRDefault="00D42774" w:rsidP="004E604F">
            <w:pPr>
              <w:widowControl w:val="0"/>
              <w:jc w:val="center"/>
              <w:rPr>
                <w:rFonts w:ascii="Calibri" w:eastAsia="Calibri" w:hAnsi="Calibri" w:cs="Times New Roman"/>
              </w:rPr>
            </w:pPr>
            <w:r w:rsidRPr="005A5EA9">
              <w:rPr>
                <w:rFonts w:eastAsia="Calibri" w:cs="Times New Roman"/>
              </w:rPr>
              <w:t>100 mg QOD</w:t>
            </w:r>
          </w:p>
        </w:tc>
      </w:tr>
    </w:tbl>
    <w:p w14:paraId="4EB278CA" w14:textId="77777777" w:rsidR="00D42774" w:rsidRPr="005A5EA9" w:rsidRDefault="00D42774" w:rsidP="00D42774">
      <w:pPr>
        <w:jc w:val="both"/>
        <w:rPr>
          <w:rFonts w:ascii="Arial" w:hAnsi="Arial" w:cs="Arial"/>
          <w:sz w:val="19"/>
          <w:szCs w:val="19"/>
        </w:rPr>
      </w:pPr>
    </w:p>
    <w:bookmarkEnd w:id="0"/>
    <w:p w14:paraId="4575FE3A"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83E03"/>
    <w:multiLevelType w:val="multilevel"/>
    <w:tmpl w:val="86366BD0"/>
    <w:lvl w:ilvl="0">
      <w:start w:val="1"/>
      <w:numFmt w:val="decimal"/>
      <w:lvlText w:val="%1."/>
      <w:lvlJc w:val="left"/>
      <w:pPr>
        <w:tabs>
          <w:tab w:val="num" w:pos="0"/>
        </w:tabs>
        <w:ind w:left="990" w:hanging="360"/>
      </w:pPr>
    </w:lvl>
    <w:lvl w:ilvl="1">
      <w:start w:val="1"/>
      <w:numFmt w:val="lowerLetter"/>
      <w:lvlText w:val="%2."/>
      <w:lvlJc w:val="left"/>
      <w:pPr>
        <w:tabs>
          <w:tab w:val="num" w:pos="0"/>
        </w:tabs>
        <w:ind w:left="1710" w:hanging="360"/>
      </w:pPr>
    </w:lvl>
    <w:lvl w:ilvl="2">
      <w:start w:val="1"/>
      <w:numFmt w:val="lowerRoman"/>
      <w:lvlText w:val="%3."/>
      <w:lvlJc w:val="right"/>
      <w:pPr>
        <w:tabs>
          <w:tab w:val="num" w:pos="0"/>
        </w:tabs>
        <w:ind w:left="2430" w:hanging="180"/>
      </w:pPr>
    </w:lvl>
    <w:lvl w:ilvl="3">
      <w:start w:val="1"/>
      <w:numFmt w:val="decimal"/>
      <w:lvlText w:val="%4."/>
      <w:lvlJc w:val="left"/>
      <w:pPr>
        <w:tabs>
          <w:tab w:val="num" w:pos="0"/>
        </w:tabs>
        <w:ind w:left="3150" w:hanging="360"/>
      </w:pPr>
    </w:lvl>
    <w:lvl w:ilvl="4">
      <w:start w:val="1"/>
      <w:numFmt w:val="lowerLetter"/>
      <w:lvlText w:val="%5."/>
      <w:lvlJc w:val="left"/>
      <w:pPr>
        <w:tabs>
          <w:tab w:val="num" w:pos="0"/>
        </w:tabs>
        <w:ind w:left="3870" w:hanging="360"/>
      </w:pPr>
    </w:lvl>
    <w:lvl w:ilvl="5">
      <w:start w:val="1"/>
      <w:numFmt w:val="lowerRoman"/>
      <w:lvlText w:val="%6."/>
      <w:lvlJc w:val="right"/>
      <w:pPr>
        <w:tabs>
          <w:tab w:val="num" w:pos="0"/>
        </w:tabs>
        <w:ind w:left="4590" w:hanging="180"/>
      </w:pPr>
    </w:lvl>
    <w:lvl w:ilvl="6">
      <w:start w:val="1"/>
      <w:numFmt w:val="decimal"/>
      <w:lvlText w:val="%7."/>
      <w:lvlJc w:val="left"/>
      <w:pPr>
        <w:tabs>
          <w:tab w:val="num" w:pos="0"/>
        </w:tabs>
        <w:ind w:left="5310" w:hanging="360"/>
      </w:pPr>
    </w:lvl>
    <w:lvl w:ilvl="7">
      <w:start w:val="1"/>
      <w:numFmt w:val="lowerLetter"/>
      <w:lvlText w:val="%8."/>
      <w:lvlJc w:val="left"/>
      <w:pPr>
        <w:tabs>
          <w:tab w:val="num" w:pos="0"/>
        </w:tabs>
        <w:ind w:left="6030" w:hanging="360"/>
      </w:pPr>
    </w:lvl>
    <w:lvl w:ilvl="8">
      <w:start w:val="1"/>
      <w:numFmt w:val="lowerRoman"/>
      <w:lvlText w:val="%9."/>
      <w:lvlJc w:val="right"/>
      <w:pPr>
        <w:tabs>
          <w:tab w:val="num" w:pos="0"/>
        </w:tabs>
        <w:ind w:left="6750" w:hanging="180"/>
      </w:pPr>
    </w:lvl>
  </w:abstractNum>
  <w:abstractNum w:abstractNumId="1" w15:restartNumberingAfterBreak="0">
    <w:nsid w:val="3025347A"/>
    <w:multiLevelType w:val="multilevel"/>
    <w:tmpl w:val="B89A7CA8"/>
    <w:lvl w:ilvl="0">
      <w:start w:val="1"/>
      <w:numFmt w:val="decimal"/>
      <w:lvlText w:val="%1."/>
      <w:lvlJc w:val="left"/>
      <w:pPr>
        <w:tabs>
          <w:tab w:val="num" w:pos="0"/>
        </w:tabs>
        <w:ind w:left="685" w:hanging="360"/>
      </w:pPr>
    </w:lvl>
    <w:lvl w:ilvl="1">
      <w:start w:val="1"/>
      <w:numFmt w:val="lowerLetter"/>
      <w:lvlText w:val="%2."/>
      <w:lvlJc w:val="left"/>
      <w:pPr>
        <w:tabs>
          <w:tab w:val="num" w:pos="0"/>
        </w:tabs>
        <w:ind w:left="1405" w:hanging="360"/>
      </w:pPr>
    </w:lvl>
    <w:lvl w:ilvl="2">
      <w:start w:val="1"/>
      <w:numFmt w:val="lowerRoman"/>
      <w:lvlText w:val="%3."/>
      <w:lvlJc w:val="right"/>
      <w:pPr>
        <w:tabs>
          <w:tab w:val="num" w:pos="0"/>
        </w:tabs>
        <w:ind w:left="2125" w:hanging="180"/>
      </w:pPr>
    </w:lvl>
    <w:lvl w:ilvl="3">
      <w:start w:val="1"/>
      <w:numFmt w:val="decimal"/>
      <w:lvlText w:val="%4."/>
      <w:lvlJc w:val="left"/>
      <w:pPr>
        <w:tabs>
          <w:tab w:val="num" w:pos="0"/>
        </w:tabs>
        <w:ind w:left="2845" w:hanging="360"/>
      </w:pPr>
    </w:lvl>
    <w:lvl w:ilvl="4">
      <w:start w:val="1"/>
      <w:numFmt w:val="lowerLetter"/>
      <w:lvlText w:val="%5."/>
      <w:lvlJc w:val="left"/>
      <w:pPr>
        <w:tabs>
          <w:tab w:val="num" w:pos="0"/>
        </w:tabs>
        <w:ind w:left="3565" w:hanging="360"/>
      </w:pPr>
    </w:lvl>
    <w:lvl w:ilvl="5">
      <w:start w:val="1"/>
      <w:numFmt w:val="lowerRoman"/>
      <w:lvlText w:val="%6."/>
      <w:lvlJc w:val="right"/>
      <w:pPr>
        <w:tabs>
          <w:tab w:val="num" w:pos="0"/>
        </w:tabs>
        <w:ind w:left="4285" w:hanging="180"/>
      </w:pPr>
    </w:lvl>
    <w:lvl w:ilvl="6">
      <w:start w:val="1"/>
      <w:numFmt w:val="decimal"/>
      <w:lvlText w:val="%7."/>
      <w:lvlJc w:val="left"/>
      <w:pPr>
        <w:tabs>
          <w:tab w:val="num" w:pos="0"/>
        </w:tabs>
        <w:ind w:left="5005" w:hanging="360"/>
      </w:pPr>
    </w:lvl>
    <w:lvl w:ilvl="7">
      <w:start w:val="1"/>
      <w:numFmt w:val="lowerLetter"/>
      <w:lvlText w:val="%8."/>
      <w:lvlJc w:val="left"/>
      <w:pPr>
        <w:tabs>
          <w:tab w:val="num" w:pos="0"/>
        </w:tabs>
        <w:ind w:left="5725" w:hanging="360"/>
      </w:pPr>
    </w:lvl>
    <w:lvl w:ilvl="8">
      <w:start w:val="1"/>
      <w:numFmt w:val="lowerRoman"/>
      <w:lvlText w:val="%9."/>
      <w:lvlJc w:val="right"/>
      <w:pPr>
        <w:tabs>
          <w:tab w:val="num" w:pos="0"/>
        </w:tabs>
        <w:ind w:left="6445" w:hanging="180"/>
      </w:pPr>
    </w:lvl>
  </w:abstractNum>
  <w:abstractNum w:abstractNumId="2" w15:restartNumberingAfterBreak="0">
    <w:nsid w:val="37C52E36"/>
    <w:multiLevelType w:val="multilevel"/>
    <w:tmpl w:val="F7A8A8D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514758492">
    <w:abstractNumId w:val="1"/>
  </w:num>
  <w:num w:numId="2" w16cid:durableId="1373384350">
    <w:abstractNumId w:val="0"/>
  </w:num>
  <w:num w:numId="3" w16cid:durableId="8072091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774"/>
    <w:rsid w:val="003C2EF4"/>
    <w:rsid w:val="00446799"/>
    <w:rsid w:val="006A7E07"/>
    <w:rsid w:val="00701021"/>
    <w:rsid w:val="00882B0E"/>
    <w:rsid w:val="00B74216"/>
    <w:rsid w:val="00D42774"/>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514DA"/>
  <w15:chartTrackingRefBased/>
  <w15:docId w15:val="{677362D9-F498-41C2-A527-904EF314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774"/>
  </w:style>
  <w:style w:type="paragraph" w:styleId="Heading1">
    <w:name w:val="heading 1"/>
    <w:basedOn w:val="Normal"/>
    <w:next w:val="Normal"/>
    <w:link w:val="Heading1Char"/>
    <w:uiPriority w:val="9"/>
    <w:qFormat/>
    <w:rsid w:val="00D427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27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27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27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427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27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27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27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27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7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27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27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27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qFormat/>
    <w:rsid w:val="00D427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27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27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27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2774"/>
    <w:rPr>
      <w:rFonts w:eastAsiaTheme="majorEastAsia" w:cstheme="majorBidi"/>
      <w:color w:val="272727" w:themeColor="text1" w:themeTint="D8"/>
    </w:rPr>
  </w:style>
  <w:style w:type="paragraph" w:styleId="Title">
    <w:name w:val="Title"/>
    <w:basedOn w:val="Normal"/>
    <w:next w:val="Normal"/>
    <w:link w:val="TitleChar"/>
    <w:uiPriority w:val="10"/>
    <w:qFormat/>
    <w:rsid w:val="00D427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27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27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27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2774"/>
    <w:pPr>
      <w:spacing w:before="160"/>
      <w:jc w:val="center"/>
    </w:pPr>
    <w:rPr>
      <w:i/>
      <w:iCs/>
      <w:color w:val="404040" w:themeColor="text1" w:themeTint="BF"/>
    </w:rPr>
  </w:style>
  <w:style w:type="character" w:customStyle="1" w:styleId="QuoteChar">
    <w:name w:val="Quote Char"/>
    <w:basedOn w:val="DefaultParagraphFont"/>
    <w:link w:val="Quote"/>
    <w:uiPriority w:val="29"/>
    <w:rsid w:val="00D42774"/>
    <w:rPr>
      <w:i/>
      <w:iCs/>
      <w:color w:val="404040" w:themeColor="text1" w:themeTint="BF"/>
    </w:rPr>
  </w:style>
  <w:style w:type="paragraph" w:styleId="ListParagraph">
    <w:name w:val="List Paragraph"/>
    <w:basedOn w:val="Normal"/>
    <w:link w:val="ListParagraphChar"/>
    <w:uiPriority w:val="34"/>
    <w:qFormat/>
    <w:rsid w:val="00D42774"/>
    <w:pPr>
      <w:ind w:left="720"/>
      <w:contextualSpacing/>
    </w:pPr>
  </w:style>
  <w:style w:type="character" w:styleId="IntenseEmphasis">
    <w:name w:val="Intense Emphasis"/>
    <w:basedOn w:val="DefaultParagraphFont"/>
    <w:uiPriority w:val="21"/>
    <w:qFormat/>
    <w:rsid w:val="00D42774"/>
    <w:rPr>
      <w:i/>
      <w:iCs/>
      <w:color w:val="0F4761" w:themeColor="accent1" w:themeShade="BF"/>
    </w:rPr>
  </w:style>
  <w:style w:type="paragraph" w:styleId="IntenseQuote">
    <w:name w:val="Intense Quote"/>
    <w:basedOn w:val="Normal"/>
    <w:next w:val="Normal"/>
    <w:link w:val="IntenseQuoteChar"/>
    <w:uiPriority w:val="30"/>
    <w:qFormat/>
    <w:rsid w:val="00D427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2774"/>
    <w:rPr>
      <w:i/>
      <w:iCs/>
      <w:color w:val="0F4761" w:themeColor="accent1" w:themeShade="BF"/>
    </w:rPr>
  </w:style>
  <w:style w:type="character" w:styleId="IntenseReference">
    <w:name w:val="Intense Reference"/>
    <w:basedOn w:val="DefaultParagraphFont"/>
    <w:uiPriority w:val="32"/>
    <w:qFormat/>
    <w:rsid w:val="00D42774"/>
    <w:rPr>
      <w:b/>
      <w:bCs/>
      <w:smallCaps/>
      <w:color w:val="0F4761" w:themeColor="accent1" w:themeShade="BF"/>
      <w:spacing w:val="5"/>
    </w:rPr>
  </w:style>
  <w:style w:type="character" w:styleId="Hyperlink">
    <w:name w:val="Hyperlink"/>
    <w:basedOn w:val="DefaultParagraphFont"/>
    <w:uiPriority w:val="99"/>
    <w:unhideWhenUsed/>
    <w:rsid w:val="00D42774"/>
    <w:rPr>
      <w:color w:val="467886" w:themeColor="hyperlink"/>
      <w:u w:val="single"/>
    </w:rPr>
  </w:style>
  <w:style w:type="character" w:customStyle="1" w:styleId="ListParagraphChar">
    <w:name w:val="List Paragraph Char"/>
    <w:link w:val="ListParagraph"/>
    <w:uiPriority w:val="34"/>
    <w:qFormat/>
    <w:rsid w:val="00D42774"/>
  </w:style>
  <w:style w:type="table" w:styleId="TableGrid">
    <w:name w:val="Table Grid"/>
    <w:basedOn w:val="TableNormal"/>
    <w:uiPriority w:val="39"/>
    <w:rsid w:val="00D42774"/>
    <w:pPr>
      <w:suppressAutoHyphens/>
      <w:spacing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2273</Characters>
  <Application>Microsoft Office Word</Application>
  <DocSecurity>0</DocSecurity>
  <Lines>64</Lines>
  <Paragraphs>26</Paragraphs>
  <ScaleCrop>false</ScaleCrop>
  <Company>Springer Nature</Company>
  <LinksUpToDate>false</LinksUpToDate>
  <CharactersWithSpaces>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2026-02-02T11:44:00Z</dcterms:created>
  <dcterms:modified xsi:type="dcterms:W3CDTF">2026-02-02T11:44:00Z</dcterms:modified>
</cp:coreProperties>
</file>