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7AA2C1" w14:textId="7B5D1FAB" w:rsidR="00976D97" w:rsidRDefault="00E85AAE" w:rsidP="00AD500B">
      <w:pPr>
        <w:rPr>
          <w:rFonts w:eastAsiaTheme="minorHAnsi"/>
          <w:b/>
          <w:bCs/>
        </w:rPr>
      </w:pPr>
      <w:r>
        <w:rPr>
          <w:rFonts w:eastAsiaTheme="minorHAnsi"/>
          <w:b/>
          <w:bCs/>
        </w:rPr>
        <w:t>Supplement</w:t>
      </w:r>
      <w:r w:rsidR="002C1F35">
        <w:rPr>
          <w:rFonts w:eastAsiaTheme="minorHAnsi"/>
          <w:b/>
          <w:bCs/>
        </w:rPr>
        <w:t xml:space="preserve">al </w:t>
      </w:r>
      <w:r>
        <w:rPr>
          <w:rFonts w:eastAsiaTheme="minorHAnsi"/>
          <w:b/>
          <w:bCs/>
        </w:rPr>
        <w:t>Figures</w:t>
      </w:r>
    </w:p>
    <w:p w14:paraId="04C278C5" w14:textId="2716E09F" w:rsidR="00E85AAE" w:rsidRPr="00CC129F" w:rsidRDefault="00976D97" w:rsidP="00CC129F">
      <w:pPr>
        <w:spacing w:after="100" w:afterAutospacing="1"/>
        <w:ind w:firstLine="357"/>
        <w:rPr>
          <w:rFonts w:eastAsiaTheme="minorHAnsi"/>
          <w:b/>
          <w:bCs/>
        </w:rPr>
      </w:pPr>
      <w:r>
        <w:rPr>
          <w:rFonts w:eastAsiaTheme="minorHAnsi"/>
          <w:b/>
          <w:bCs/>
        </w:rPr>
        <w:br w:type="page"/>
      </w:r>
    </w:p>
    <w:p w14:paraId="04252153" w14:textId="08D1D26B" w:rsidR="00E85AAE" w:rsidRPr="00BA0C1E" w:rsidRDefault="00BA0C1E" w:rsidP="00E85AAE">
      <w:pPr>
        <w:pStyle w:val="Sansinterligne"/>
        <w:suppressLineNumbers/>
      </w:pPr>
      <w:r>
        <w:rPr>
          <w:noProof/>
        </w:rPr>
        <w:lastRenderedPageBreak/>
        <w:drawing>
          <wp:anchor distT="0" distB="0" distL="114300" distR="114300" simplePos="0" relativeHeight="251680768" behindDoc="0" locked="0" layoutInCell="1" allowOverlap="1" wp14:anchorId="64BC3185" wp14:editId="3F05E764">
            <wp:simplePos x="0" y="0"/>
            <wp:positionH relativeFrom="margin">
              <wp:align>right</wp:align>
            </wp:positionH>
            <wp:positionV relativeFrom="paragraph">
              <wp:posOffset>501</wp:posOffset>
            </wp:positionV>
            <wp:extent cx="6405134" cy="8841656"/>
            <wp:effectExtent l="0" t="0" r="0" b="0"/>
            <wp:wrapSquare wrapText="bothSides"/>
            <wp:docPr id="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6405134" cy="8841656"/>
                    </a:xfrm>
                    <a:prstGeom prst="rect">
                      <a:avLst/>
                    </a:prstGeom>
                  </pic:spPr>
                </pic:pic>
              </a:graphicData>
            </a:graphic>
            <wp14:sizeRelH relativeFrom="page">
              <wp14:pctWidth>0</wp14:pctWidth>
            </wp14:sizeRelH>
            <wp14:sizeRelV relativeFrom="page">
              <wp14:pctHeight>0</wp14:pctHeight>
            </wp14:sizeRelV>
          </wp:anchor>
        </w:drawing>
      </w:r>
      <w:r w:rsidR="00E85AAE">
        <w:br w:type="page"/>
      </w:r>
    </w:p>
    <w:p w14:paraId="760341A2" w14:textId="6921F0CE" w:rsidR="00746AA2" w:rsidRDefault="00BA0C1E" w:rsidP="00746AA2">
      <w:pPr>
        <w:pStyle w:val="Sansinterligne"/>
        <w:suppressLineNumbers/>
      </w:pPr>
      <w:r>
        <w:rPr>
          <w:noProof/>
        </w:rPr>
        <w:lastRenderedPageBreak/>
        <w:drawing>
          <wp:anchor distT="0" distB="0" distL="114300" distR="114300" simplePos="0" relativeHeight="251679744" behindDoc="0" locked="0" layoutInCell="1" allowOverlap="1" wp14:anchorId="006A900A" wp14:editId="51083C00">
            <wp:simplePos x="0" y="0"/>
            <wp:positionH relativeFrom="margin">
              <wp:align>center</wp:align>
            </wp:positionH>
            <wp:positionV relativeFrom="paragraph">
              <wp:posOffset>454</wp:posOffset>
            </wp:positionV>
            <wp:extent cx="6687185" cy="9230360"/>
            <wp:effectExtent l="0" t="0" r="0" b="8890"/>
            <wp:wrapTopAndBottom/>
            <wp:docPr id="6"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6687185" cy="9230360"/>
                    </a:xfrm>
                    <a:prstGeom prst="rect">
                      <a:avLst/>
                    </a:prstGeom>
                  </pic:spPr>
                </pic:pic>
              </a:graphicData>
            </a:graphic>
            <wp14:sizeRelH relativeFrom="margin">
              <wp14:pctWidth>0</wp14:pctWidth>
            </wp14:sizeRelH>
            <wp14:sizeRelV relativeFrom="margin">
              <wp14:pctHeight>0</wp14:pctHeight>
            </wp14:sizeRelV>
          </wp:anchor>
        </w:drawing>
      </w:r>
    </w:p>
    <w:p w14:paraId="13E8F1E7" w14:textId="4FF529F6" w:rsidR="00BA0C1E" w:rsidRDefault="00BA0C1E">
      <w:pPr>
        <w:spacing w:after="100" w:afterAutospacing="1"/>
        <w:ind w:firstLine="357"/>
        <w:rPr>
          <w:b/>
          <w:bCs/>
          <w:lang w:val="en-US"/>
        </w:rPr>
      </w:pPr>
      <w:r>
        <w:rPr>
          <w:noProof/>
        </w:rPr>
        <w:lastRenderedPageBreak/>
        <w:drawing>
          <wp:anchor distT="0" distB="0" distL="114300" distR="114300" simplePos="0" relativeHeight="251681792" behindDoc="0" locked="0" layoutInCell="1" allowOverlap="1" wp14:anchorId="54582B02" wp14:editId="129144C2">
            <wp:simplePos x="0" y="0"/>
            <wp:positionH relativeFrom="margin">
              <wp:posOffset>-211257</wp:posOffset>
            </wp:positionH>
            <wp:positionV relativeFrom="paragraph">
              <wp:posOffset>215</wp:posOffset>
            </wp:positionV>
            <wp:extent cx="6129655" cy="8461375"/>
            <wp:effectExtent l="0" t="0" r="4445" b="0"/>
            <wp:wrapTopAndBottom/>
            <wp:docPr id="7" name="Graphiqu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129655" cy="8461375"/>
                    </a:xfrm>
                    <a:prstGeom prst="rect">
                      <a:avLst/>
                    </a:prstGeom>
                  </pic:spPr>
                </pic:pic>
              </a:graphicData>
            </a:graphic>
            <wp14:sizeRelH relativeFrom="margin">
              <wp14:pctWidth>0</wp14:pctWidth>
            </wp14:sizeRelH>
            <wp14:sizeRelV relativeFrom="margin">
              <wp14:pctHeight>0</wp14:pctHeight>
            </wp14:sizeRelV>
          </wp:anchor>
        </w:drawing>
      </w:r>
      <w:r>
        <w:rPr>
          <w:b/>
          <w:bCs/>
          <w:lang w:val="en-US"/>
        </w:rPr>
        <w:br w:type="page"/>
      </w:r>
    </w:p>
    <w:p w14:paraId="0B57A61A" w14:textId="4FA8A11C" w:rsidR="00BA0C1E" w:rsidRDefault="00BA0C1E">
      <w:pPr>
        <w:spacing w:after="100" w:afterAutospacing="1"/>
        <w:ind w:firstLine="357"/>
        <w:rPr>
          <w:b/>
          <w:bCs/>
          <w:lang w:val="en-US"/>
        </w:rPr>
      </w:pPr>
      <w:r>
        <w:rPr>
          <w:noProof/>
        </w:rPr>
        <w:lastRenderedPageBreak/>
        <w:drawing>
          <wp:anchor distT="0" distB="0" distL="114300" distR="114300" simplePos="0" relativeHeight="251682816" behindDoc="0" locked="0" layoutInCell="1" allowOverlap="1" wp14:anchorId="133997B3" wp14:editId="0F0475C1">
            <wp:simplePos x="0" y="0"/>
            <wp:positionH relativeFrom="page">
              <wp:align>left</wp:align>
            </wp:positionH>
            <wp:positionV relativeFrom="paragraph">
              <wp:posOffset>320</wp:posOffset>
            </wp:positionV>
            <wp:extent cx="7457090" cy="10293774"/>
            <wp:effectExtent l="0" t="0" r="0" b="0"/>
            <wp:wrapTopAndBottom/>
            <wp:docPr id="10" name="Graphiqu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7457090" cy="10293774"/>
                    </a:xfrm>
                    <a:prstGeom prst="rect">
                      <a:avLst/>
                    </a:prstGeom>
                  </pic:spPr>
                </pic:pic>
              </a:graphicData>
            </a:graphic>
            <wp14:sizeRelH relativeFrom="margin">
              <wp14:pctWidth>0</wp14:pctWidth>
            </wp14:sizeRelH>
            <wp14:sizeRelV relativeFrom="margin">
              <wp14:pctHeight>0</wp14:pctHeight>
            </wp14:sizeRelV>
          </wp:anchor>
        </w:drawing>
      </w:r>
      <w:r>
        <w:rPr>
          <w:b/>
          <w:bCs/>
          <w:lang w:val="en-US"/>
        </w:rPr>
        <w:br w:type="page"/>
      </w:r>
    </w:p>
    <w:p w14:paraId="5B233989" w14:textId="5E4D50CE" w:rsidR="00BA0C1E" w:rsidRDefault="00BA0C1E" w:rsidP="00BA0C1E">
      <w:pPr>
        <w:spacing w:after="100" w:afterAutospacing="1"/>
        <w:ind w:firstLine="357"/>
        <w:rPr>
          <w:b/>
          <w:bCs/>
          <w:lang w:val="en-US"/>
        </w:rPr>
      </w:pPr>
      <w:r>
        <w:rPr>
          <w:noProof/>
        </w:rPr>
        <w:lastRenderedPageBreak/>
        <w:drawing>
          <wp:anchor distT="0" distB="0" distL="114300" distR="114300" simplePos="0" relativeHeight="251683840" behindDoc="0" locked="0" layoutInCell="1" allowOverlap="1" wp14:anchorId="5721C873" wp14:editId="4BBE94F4">
            <wp:simplePos x="0" y="0"/>
            <wp:positionH relativeFrom="page">
              <wp:posOffset>47298</wp:posOffset>
            </wp:positionH>
            <wp:positionV relativeFrom="paragraph">
              <wp:posOffset>394</wp:posOffset>
            </wp:positionV>
            <wp:extent cx="7409896" cy="10228630"/>
            <wp:effectExtent l="0" t="0" r="635" b="1270"/>
            <wp:wrapSquare wrapText="bothSides"/>
            <wp:docPr id="12" name="Graphiqu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7420110" cy="10242730"/>
                    </a:xfrm>
                    <a:prstGeom prst="rect">
                      <a:avLst/>
                    </a:prstGeom>
                  </pic:spPr>
                </pic:pic>
              </a:graphicData>
            </a:graphic>
            <wp14:sizeRelH relativeFrom="page">
              <wp14:pctWidth>0</wp14:pctWidth>
            </wp14:sizeRelH>
            <wp14:sizeRelV relativeFrom="page">
              <wp14:pctHeight>0</wp14:pctHeight>
            </wp14:sizeRelV>
          </wp:anchor>
        </w:drawing>
      </w:r>
      <w:r>
        <w:rPr>
          <w:b/>
          <w:bCs/>
          <w:lang w:val="en-US"/>
        </w:rPr>
        <w:br w:type="page"/>
      </w:r>
    </w:p>
    <w:p w14:paraId="69F9F340" w14:textId="53433A25" w:rsidR="00BA0C1E" w:rsidRDefault="00BA0C1E">
      <w:pPr>
        <w:spacing w:after="100" w:afterAutospacing="1"/>
        <w:ind w:firstLine="357"/>
        <w:rPr>
          <w:b/>
          <w:bCs/>
          <w:lang w:val="en-US"/>
        </w:rPr>
      </w:pPr>
      <w:r>
        <w:rPr>
          <w:noProof/>
        </w:rPr>
        <w:lastRenderedPageBreak/>
        <w:drawing>
          <wp:anchor distT="0" distB="0" distL="114300" distR="114300" simplePos="0" relativeHeight="251684864" behindDoc="0" locked="0" layoutInCell="1" allowOverlap="1" wp14:anchorId="551A7495" wp14:editId="6D6CADC2">
            <wp:simplePos x="0" y="0"/>
            <wp:positionH relativeFrom="page">
              <wp:align>right</wp:align>
            </wp:positionH>
            <wp:positionV relativeFrom="paragraph">
              <wp:posOffset>0</wp:posOffset>
            </wp:positionV>
            <wp:extent cx="7343175" cy="10136529"/>
            <wp:effectExtent l="0" t="0" r="0" b="0"/>
            <wp:wrapTopAndBottom/>
            <wp:docPr id="13" name="Graphiqu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7343175" cy="10136529"/>
                    </a:xfrm>
                    <a:prstGeom prst="rect">
                      <a:avLst/>
                    </a:prstGeom>
                  </pic:spPr>
                </pic:pic>
              </a:graphicData>
            </a:graphic>
            <wp14:sizeRelH relativeFrom="margin">
              <wp14:pctWidth>0</wp14:pctWidth>
            </wp14:sizeRelH>
            <wp14:sizeRelV relativeFrom="margin">
              <wp14:pctHeight>0</wp14:pctHeight>
            </wp14:sizeRelV>
          </wp:anchor>
        </w:drawing>
      </w:r>
      <w:r>
        <w:rPr>
          <w:b/>
          <w:bCs/>
          <w:lang w:val="en-US"/>
        </w:rPr>
        <w:br w:type="page"/>
      </w:r>
    </w:p>
    <w:p w14:paraId="70E906CD" w14:textId="0622790F" w:rsidR="00BA0C1E" w:rsidRDefault="00BA0C1E">
      <w:pPr>
        <w:spacing w:after="100" w:afterAutospacing="1"/>
        <w:ind w:firstLine="357"/>
        <w:rPr>
          <w:b/>
          <w:bCs/>
          <w:lang w:val="en-US"/>
        </w:rPr>
      </w:pPr>
      <w:r>
        <w:rPr>
          <w:noProof/>
        </w:rPr>
        <w:lastRenderedPageBreak/>
        <w:drawing>
          <wp:anchor distT="0" distB="0" distL="114300" distR="114300" simplePos="0" relativeHeight="251685888" behindDoc="0" locked="0" layoutInCell="1" allowOverlap="1" wp14:anchorId="738AD843" wp14:editId="45761DFF">
            <wp:simplePos x="0" y="0"/>
            <wp:positionH relativeFrom="page">
              <wp:posOffset>131082</wp:posOffset>
            </wp:positionH>
            <wp:positionV relativeFrom="paragraph">
              <wp:posOffset>182</wp:posOffset>
            </wp:positionV>
            <wp:extent cx="7430101" cy="10256520"/>
            <wp:effectExtent l="0" t="0" r="0" b="0"/>
            <wp:wrapTopAndBottom/>
            <wp:docPr id="17" name="Graphiqu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7430101" cy="10256520"/>
                    </a:xfrm>
                    <a:prstGeom prst="rect">
                      <a:avLst/>
                    </a:prstGeom>
                  </pic:spPr>
                </pic:pic>
              </a:graphicData>
            </a:graphic>
            <wp14:sizeRelH relativeFrom="margin">
              <wp14:pctWidth>0</wp14:pctWidth>
            </wp14:sizeRelH>
            <wp14:sizeRelV relativeFrom="margin">
              <wp14:pctHeight>0</wp14:pctHeight>
            </wp14:sizeRelV>
          </wp:anchor>
        </w:drawing>
      </w:r>
      <w:r>
        <w:rPr>
          <w:b/>
          <w:bCs/>
          <w:lang w:val="en-US"/>
        </w:rPr>
        <w:br w:type="page"/>
      </w:r>
    </w:p>
    <w:p w14:paraId="135D8F5A" w14:textId="46F9409E" w:rsidR="0018186E" w:rsidRDefault="0018186E">
      <w:pPr>
        <w:spacing w:after="100" w:afterAutospacing="1"/>
        <w:ind w:firstLine="357"/>
        <w:rPr>
          <w:b/>
          <w:bCs/>
          <w:lang w:val="en-US"/>
        </w:rPr>
      </w:pPr>
      <w:r>
        <w:rPr>
          <w:noProof/>
        </w:rPr>
        <w:lastRenderedPageBreak/>
        <w:drawing>
          <wp:anchor distT="0" distB="0" distL="114300" distR="114300" simplePos="0" relativeHeight="251686912" behindDoc="0" locked="0" layoutInCell="1" allowOverlap="1" wp14:anchorId="6330CAC2" wp14:editId="591DF81A">
            <wp:simplePos x="0" y="0"/>
            <wp:positionH relativeFrom="margin">
              <wp:align>center</wp:align>
            </wp:positionH>
            <wp:positionV relativeFrom="paragraph">
              <wp:posOffset>115</wp:posOffset>
            </wp:positionV>
            <wp:extent cx="6686995" cy="9230736"/>
            <wp:effectExtent l="0" t="0" r="0" b="8890"/>
            <wp:wrapTopAndBottom/>
            <wp:docPr id="18" name="Graphiqu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686995" cy="9230736"/>
                    </a:xfrm>
                    <a:prstGeom prst="rect">
                      <a:avLst/>
                    </a:prstGeom>
                  </pic:spPr>
                </pic:pic>
              </a:graphicData>
            </a:graphic>
          </wp:anchor>
        </w:drawing>
      </w:r>
      <w:r>
        <w:rPr>
          <w:b/>
          <w:bCs/>
          <w:lang w:val="en-US"/>
        </w:rPr>
        <w:br w:type="page"/>
      </w:r>
    </w:p>
    <w:p w14:paraId="6EB94B71" w14:textId="308FC4A6" w:rsidR="0018186E" w:rsidRDefault="0018186E">
      <w:pPr>
        <w:spacing w:after="100" w:afterAutospacing="1"/>
        <w:ind w:firstLine="357"/>
        <w:rPr>
          <w:b/>
          <w:bCs/>
          <w:lang w:val="en-US"/>
        </w:rPr>
      </w:pPr>
      <w:r>
        <w:rPr>
          <w:noProof/>
        </w:rPr>
        <w:lastRenderedPageBreak/>
        <w:drawing>
          <wp:anchor distT="0" distB="0" distL="114300" distR="114300" simplePos="0" relativeHeight="251687936" behindDoc="0" locked="0" layoutInCell="1" allowOverlap="1" wp14:anchorId="1677EB73" wp14:editId="7BD11720">
            <wp:simplePos x="0" y="0"/>
            <wp:positionH relativeFrom="margin">
              <wp:align>center</wp:align>
            </wp:positionH>
            <wp:positionV relativeFrom="paragraph">
              <wp:posOffset>189</wp:posOffset>
            </wp:positionV>
            <wp:extent cx="6627495" cy="9148445"/>
            <wp:effectExtent l="0" t="0" r="1905" b="0"/>
            <wp:wrapTopAndBottom/>
            <wp:docPr id="19" name="Graphiqu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6627495" cy="9148445"/>
                    </a:xfrm>
                    <a:prstGeom prst="rect">
                      <a:avLst/>
                    </a:prstGeom>
                  </pic:spPr>
                </pic:pic>
              </a:graphicData>
            </a:graphic>
            <wp14:sizeRelH relativeFrom="margin">
              <wp14:pctWidth>0</wp14:pctWidth>
            </wp14:sizeRelH>
            <wp14:sizeRelV relativeFrom="margin">
              <wp14:pctHeight>0</wp14:pctHeight>
            </wp14:sizeRelV>
          </wp:anchor>
        </w:drawing>
      </w:r>
      <w:r>
        <w:rPr>
          <w:b/>
          <w:bCs/>
          <w:lang w:val="en-US"/>
        </w:rPr>
        <w:br w:type="page"/>
      </w:r>
    </w:p>
    <w:p w14:paraId="523621EB" w14:textId="29451677" w:rsidR="0018186E" w:rsidRDefault="00B918F2">
      <w:pPr>
        <w:spacing w:after="100" w:afterAutospacing="1"/>
        <w:ind w:firstLine="357"/>
        <w:rPr>
          <w:b/>
          <w:bCs/>
          <w:lang w:val="en-US"/>
        </w:rPr>
      </w:pPr>
      <w:r>
        <w:rPr>
          <w:noProof/>
        </w:rPr>
        <w:lastRenderedPageBreak/>
        <w:drawing>
          <wp:anchor distT="0" distB="0" distL="114300" distR="114300" simplePos="0" relativeHeight="251688960" behindDoc="0" locked="0" layoutInCell="1" allowOverlap="1" wp14:anchorId="5A7B9AB6" wp14:editId="6685874D">
            <wp:simplePos x="0" y="0"/>
            <wp:positionH relativeFrom="margin">
              <wp:posOffset>-377825</wp:posOffset>
            </wp:positionH>
            <wp:positionV relativeFrom="paragraph">
              <wp:posOffset>0</wp:posOffset>
            </wp:positionV>
            <wp:extent cx="6460490" cy="8918575"/>
            <wp:effectExtent l="0" t="0" r="0" b="0"/>
            <wp:wrapTopAndBottom/>
            <wp:docPr id="3" name="Graphiqu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6460490" cy="8918575"/>
                    </a:xfrm>
                    <a:prstGeom prst="rect">
                      <a:avLst/>
                    </a:prstGeom>
                  </pic:spPr>
                </pic:pic>
              </a:graphicData>
            </a:graphic>
            <wp14:sizeRelH relativeFrom="page">
              <wp14:pctWidth>0</wp14:pctWidth>
            </wp14:sizeRelH>
            <wp14:sizeRelV relativeFrom="page">
              <wp14:pctHeight>0</wp14:pctHeight>
            </wp14:sizeRelV>
          </wp:anchor>
        </w:drawing>
      </w:r>
      <w:r w:rsidR="0018186E">
        <w:rPr>
          <w:b/>
          <w:bCs/>
          <w:lang w:val="en-US"/>
        </w:rPr>
        <w:br w:type="page"/>
      </w:r>
    </w:p>
    <w:p w14:paraId="7482169B" w14:textId="0C2A6A21" w:rsidR="00BA0C1E" w:rsidRPr="00890F46" w:rsidRDefault="00BA0C1E" w:rsidP="00BA0C1E">
      <w:pPr>
        <w:pStyle w:val="Sansinterligne"/>
        <w:suppressLineNumbers/>
        <w:rPr>
          <w:b/>
          <w:bCs/>
          <w:lang w:val="en-US"/>
        </w:rPr>
      </w:pPr>
      <w:r w:rsidRPr="00890F46">
        <w:rPr>
          <w:b/>
          <w:bCs/>
          <w:lang w:val="en-US"/>
        </w:rPr>
        <w:lastRenderedPageBreak/>
        <w:t xml:space="preserve">Figure S1: </w:t>
      </w:r>
      <w:proofErr w:type="spellStart"/>
      <w:r w:rsidRPr="00890F46">
        <w:rPr>
          <w:b/>
          <w:bCs/>
          <w:lang w:val="en-US"/>
        </w:rPr>
        <w:t>Altereted</w:t>
      </w:r>
      <w:proofErr w:type="spellEnd"/>
      <w:r w:rsidRPr="00890F46">
        <w:rPr>
          <w:b/>
          <w:bCs/>
          <w:lang w:val="en-US"/>
        </w:rPr>
        <w:t xml:space="preserve"> gene expression in the 4 astrocytoma cell lines</w:t>
      </w:r>
    </w:p>
    <w:p w14:paraId="1564BA54" w14:textId="77777777" w:rsidR="00BA0C1E" w:rsidRDefault="00BA0C1E" w:rsidP="00BA0C1E">
      <w:pPr>
        <w:pStyle w:val="Sansinterligne"/>
        <w:suppressLineNumbers/>
        <w:rPr>
          <w:lang w:val="en-US"/>
        </w:rPr>
      </w:pPr>
      <w:r w:rsidRPr="00890F46">
        <w:rPr>
          <w:lang w:val="en-US"/>
        </w:rPr>
        <w:t xml:space="preserve">(A)  </w:t>
      </w:r>
      <w:r w:rsidRPr="00890F46">
        <w:rPr>
          <w:i/>
          <w:iCs/>
          <w:lang w:val="en-US"/>
        </w:rPr>
        <w:t>MET</w:t>
      </w:r>
      <w:r w:rsidRPr="00890F46">
        <w:rPr>
          <w:lang w:val="en-US"/>
        </w:rPr>
        <w:t xml:space="preserve"> </w:t>
      </w:r>
      <w:r>
        <w:rPr>
          <w:lang w:val="en-US"/>
        </w:rPr>
        <w:t xml:space="preserve">and </w:t>
      </w:r>
      <w:r w:rsidRPr="00890F46">
        <w:rPr>
          <w:lang w:val="en-US"/>
        </w:rPr>
        <w:t>(</w:t>
      </w:r>
      <w:r>
        <w:rPr>
          <w:lang w:val="en-US"/>
        </w:rPr>
        <w:t>B</w:t>
      </w:r>
      <w:r w:rsidRPr="00890F46">
        <w:rPr>
          <w:lang w:val="en-US"/>
        </w:rPr>
        <w:t xml:space="preserve">) de </w:t>
      </w:r>
      <w:r w:rsidRPr="00890F46">
        <w:rPr>
          <w:i/>
          <w:iCs/>
          <w:lang w:val="en-US"/>
        </w:rPr>
        <w:t>PDGFRA</w:t>
      </w:r>
      <w:r w:rsidRPr="00890F46">
        <w:rPr>
          <w:lang w:val="en-US"/>
        </w:rPr>
        <w:t xml:space="preserve"> mRNA expression (TPM = Transcript Per Million) in </w:t>
      </w:r>
      <w:r>
        <w:rPr>
          <w:lang w:val="en-US"/>
        </w:rPr>
        <w:t xml:space="preserve">LGG275, 336, 85 and </w:t>
      </w:r>
      <w:proofErr w:type="gramStart"/>
      <w:r>
        <w:rPr>
          <w:lang w:val="en-US"/>
        </w:rPr>
        <w:t xml:space="preserve">349 </w:t>
      </w:r>
      <w:r w:rsidRPr="00890F46">
        <w:rPr>
          <w:lang w:val="en-US"/>
        </w:rPr>
        <w:t xml:space="preserve"> (</w:t>
      </w:r>
      <w:proofErr w:type="gramEnd"/>
      <w:r w:rsidRPr="00890F46">
        <w:rPr>
          <w:lang w:val="en-US"/>
        </w:rPr>
        <w:t>n=1) (</w:t>
      </w:r>
      <w:r>
        <w:rPr>
          <w:lang w:val="en-US"/>
        </w:rPr>
        <w:t>C</w:t>
      </w:r>
      <w:r w:rsidRPr="00890F46">
        <w:rPr>
          <w:lang w:val="en-US"/>
        </w:rPr>
        <w:t xml:space="preserve">) </w:t>
      </w:r>
      <w:r>
        <w:rPr>
          <w:lang w:val="en-US"/>
        </w:rPr>
        <w:t xml:space="preserve">IF analysis of </w:t>
      </w:r>
      <w:r w:rsidRPr="00890F46">
        <w:rPr>
          <w:lang w:val="en-US"/>
        </w:rPr>
        <w:t>MET expression in 349 tumor resection and LGG349 cell line</w:t>
      </w:r>
      <w:r>
        <w:rPr>
          <w:lang w:val="en-US"/>
        </w:rPr>
        <w:t>, scale bar = 50µm for tissue, 20µm for cell line</w:t>
      </w:r>
      <w:r w:rsidRPr="00890F46">
        <w:rPr>
          <w:lang w:val="en-US"/>
        </w:rPr>
        <w:t>.</w:t>
      </w:r>
    </w:p>
    <w:p w14:paraId="5907A42D" w14:textId="77777777" w:rsidR="00BA0C1E" w:rsidRDefault="00BA0C1E" w:rsidP="00BA0C1E">
      <w:pPr>
        <w:pStyle w:val="Sansinterligne"/>
        <w:suppressLineNumbers/>
        <w:rPr>
          <w:b/>
          <w:bCs/>
          <w:lang w:val="en-US"/>
        </w:rPr>
      </w:pPr>
    </w:p>
    <w:p w14:paraId="75EE89D3" w14:textId="6945BA1A" w:rsidR="00E85AAE" w:rsidRPr="00890F46" w:rsidRDefault="00E85AAE" w:rsidP="00BA0C1E">
      <w:pPr>
        <w:pStyle w:val="Sansinterligne"/>
        <w:suppressLineNumbers/>
        <w:rPr>
          <w:lang w:val="en-US"/>
        </w:rPr>
      </w:pPr>
      <w:r w:rsidRPr="00C53620">
        <w:rPr>
          <w:b/>
          <w:bCs/>
          <w:lang w:val="en-US"/>
        </w:rPr>
        <w:t xml:space="preserve">Figure S2: </w:t>
      </w:r>
      <w:proofErr w:type="spellStart"/>
      <w:r w:rsidRPr="00C53620">
        <w:rPr>
          <w:b/>
          <w:bCs/>
          <w:lang w:val="en-US"/>
        </w:rPr>
        <w:t>scRNA</w:t>
      </w:r>
      <w:proofErr w:type="spellEnd"/>
      <w:r w:rsidRPr="00C53620">
        <w:rPr>
          <w:b/>
          <w:bCs/>
          <w:lang w:val="en-US"/>
        </w:rPr>
        <w:t xml:space="preserve"> sequencing and RNA sequencing analysis of 4 astrocytoma cell lines </w:t>
      </w:r>
      <w:r w:rsidRPr="00C53620">
        <w:rPr>
          <w:lang w:val="en-US"/>
        </w:rPr>
        <w:t xml:space="preserve">(A) GSEA analysis showing enrichment of astrocyte, oligodendrocyte and NPC signatures in astrocyte-like, oligodendrocyte-like and NPC-like subpopulation, respectively, in LGG275 cell lines, with or without (growth factors. </w:t>
      </w:r>
      <w:proofErr w:type="spellStart"/>
      <w:r w:rsidR="000D4FA0">
        <w:rPr>
          <w:lang w:val="en-US"/>
        </w:rPr>
        <w:t>P</w:t>
      </w:r>
      <w:r w:rsidRPr="00C53620">
        <w:rPr>
          <w:lang w:val="en-US"/>
        </w:rPr>
        <w:t>.value</w:t>
      </w:r>
      <w:proofErr w:type="spellEnd"/>
      <w:r w:rsidRPr="00C53620">
        <w:rPr>
          <w:lang w:val="en-US"/>
        </w:rPr>
        <w:t xml:space="preserve"> was calculated using </w:t>
      </w:r>
      <w:proofErr w:type="spellStart"/>
      <w:r w:rsidRPr="00C53620">
        <w:rPr>
          <w:lang w:val="en-US"/>
        </w:rPr>
        <w:t>Benjamini</w:t>
      </w:r>
      <w:proofErr w:type="spellEnd"/>
      <w:r w:rsidRPr="00C53620">
        <w:rPr>
          <w:lang w:val="en-US"/>
        </w:rPr>
        <w:t xml:space="preserve">-Hochberg methods. NES = Normalized Enrichment Score, FDR = False Discovery Rate </w:t>
      </w:r>
      <w:r w:rsidR="00294045" w:rsidRPr="00C53620">
        <w:rPr>
          <w:lang w:val="en-US"/>
        </w:rPr>
        <w:t>(B</w:t>
      </w:r>
      <w:r w:rsidR="00294045" w:rsidRPr="009058A6">
        <w:rPr>
          <w:lang w:val="en-US"/>
        </w:rPr>
        <w:t>)</w:t>
      </w:r>
      <w:r w:rsidR="009058A6" w:rsidRPr="009058A6">
        <w:t xml:space="preserve"> Stacked bar plots showing, for each glioma cell line (LGG275, 336,</w:t>
      </w:r>
      <w:r w:rsidR="00F27663">
        <w:t xml:space="preserve"> </w:t>
      </w:r>
      <w:r w:rsidR="009058A6" w:rsidRPr="009058A6">
        <w:t>85, 349), the proportion of reference signature genes (light blue; astrocyte-like, NPC-like, and oligodendrocyte-like gene sets) that are recovered among significant differentially expressed marker genes (dark blue). The y-axis indicates the number of genes in each list (total reference set in light blue, with the overlapping significant DEGs highlighted in dark blue). Reference signature gene lists were curated in-house as described in the Materials and Methods. Percentages indicate the fraction of each reference gene set overlapping with the significant DEG.</w:t>
      </w:r>
      <w:r w:rsidR="009058A6">
        <w:rPr>
          <w:lang w:val="en-US"/>
        </w:rPr>
        <w:t xml:space="preserve"> </w:t>
      </w:r>
      <w:r w:rsidRPr="00C53620">
        <w:rPr>
          <w:lang w:val="en-US"/>
        </w:rPr>
        <w:t>(C) Dot Plot of astrocyte, oligodendrocyte and proliferative markers expression in each subpopulation of LGG336 (E) LGG85 and (F) LGG349 with growth factors.</w:t>
      </w:r>
    </w:p>
    <w:p w14:paraId="5B2A564B" w14:textId="77777777" w:rsidR="00E85AAE" w:rsidRDefault="00E85AAE" w:rsidP="00E85AAE">
      <w:pPr>
        <w:pStyle w:val="Sansinterligne"/>
        <w:suppressLineNumbers/>
      </w:pPr>
    </w:p>
    <w:p w14:paraId="0DBE76A8" w14:textId="77777777" w:rsidR="00222C7A" w:rsidRDefault="00BA0C1E" w:rsidP="00BA0C1E">
      <w:pPr>
        <w:pStyle w:val="Sansinterligne"/>
        <w:suppressLineNumbers/>
        <w:rPr>
          <w:lang w:val="en-US"/>
        </w:rPr>
      </w:pPr>
      <w:r w:rsidRPr="00A76F3C">
        <w:rPr>
          <w:b/>
          <w:bCs/>
          <w:lang w:val="en-US"/>
        </w:rPr>
        <w:t xml:space="preserve">Figure S3: </w:t>
      </w:r>
      <w:r w:rsidR="00222C7A">
        <w:rPr>
          <w:b/>
          <w:bCs/>
          <w:color w:val="000000"/>
        </w:rPr>
        <w:t> Growth factor withdrawal differentially reduces proliferation across astrocytoma cell lines and identification of distinct cellular states</w:t>
      </w:r>
      <w:r w:rsidR="00222C7A" w:rsidRPr="00A76F3C">
        <w:rPr>
          <w:lang w:val="en-US"/>
        </w:rPr>
        <w:t xml:space="preserve"> </w:t>
      </w:r>
    </w:p>
    <w:p w14:paraId="0F3799A5" w14:textId="1F4155D5" w:rsidR="00BA0C1E" w:rsidRPr="00222C7A" w:rsidRDefault="00BA0C1E" w:rsidP="00222C7A">
      <w:pPr>
        <w:pStyle w:val="NormalWeb"/>
        <w:spacing w:before="0" w:beforeAutospacing="0" w:after="0" w:afterAutospacing="0"/>
        <w:jc w:val="both"/>
        <w:rPr>
          <w:lang w:val="en-US"/>
        </w:rPr>
      </w:pPr>
      <w:r w:rsidRPr="00A76F3C">
        <w:rPr>
          <w:lang w:val="en-US"/>
        </w:rPr>
        <w:t xml:space="preserve">(A) </w:t>
      </w:r>
      <w:r w:rsidR="00222C7A" w:rsidRPr="00B918F2">
        <w:rPr>
          <w:color w:val="000000"/>
          <w:lang w:val="en-US"/>
        </w:rPr>
        <w:t> mRNA expression (TPM) of proliferation-associated genes in four astrocytoma cell lines cultured with growth factors (GF) or without growth factors (</w:t>
      </w:r>
      <w:proofErr w:type="spellStart"/>
      <w:r w:rsidR="00222C7A" w:rsidRPr="00B918F2">
        <w:rPr>
          <w:color w:val="000000"/>
          <w:lang w:val="en-US"/>
        </w:rPr>
        <w:t>noGF</w:t>
      </w:r>
      <w:proofErr w:type="spellEnd"/>
      <w:r w:rsidR="00222C7A" w:rsidRPr="00B918F2">
        <w:rPr>
          <w:color w:val="000000"/>
          <w:lang w:val="en-US"/>
        </w:rPr>
        <w:t xml:space="preserve">). Bars show the mean across cell lines; dots represent individual cell lines (LGG275, LGG336, LGG349, LGG85; </w:t>
      </w:r>
      <w:r w:rsidR="00222C7A" w:rsidRPr="00B918F2">
        <w:rPr>
          <w:i/>
          <w:iCs/>
          <w:color w:val="000000"/>
          <w:lang w:val="en-US"/>
        </w:rPr>
        <w:t>n</w:t>
      </w:r>
      <w:r w:rsidR="00222C7A" w:rsidRPr="00B918F2">
        <w:rPr>
          <w:color w:val="000000"/>
          <w:lang w:val="en-US"/>
        </w:rPr>
        <w:t xml:space="preserve"> = 4). Lines connect matched GF and </w:t>
      </w:r>
      <w:proofErr w:type="spellStart"/>
      <w:r w:rsidR="00222C7A" w:rsidRPr="00B918F2">
        <w:rPr>
          <w:color w:val="000000"/>
          <w:lang w:val="en-US"/>
        </w:rPr>
        <w:t>noGF</w:t>
      </w:r>
      <w:proofErr w:type="spellEnd"/>
      <w:r w:rsidR="00222C7A" w:rsidRPr="00B918F2">
        <w:rPr>
          <w:color w:val="000000"/>
          <w:lang w:val="en-US"/>
        </w:rPr>
        <w:t xml:space="preserve"> values for each cell line</w:t>
      </w:r>
      <w:r w:rsidR="00222C7A" w:rsidRPr="00A76F3C">
        <w:rPr>
          <w:lang w:val="en-US"/>
        </w:rPr>
        <w:t xml:space="preserve"> </w:t>
      </w:r>
      <w:r w:rsidRPr="00A76F3C">
        <w:rPr>
          <w:lang w:val="en-US"/>
        </w:rPr>
        <w:t xml:space="preserve">(B) </w:t>
      </w:r>
      <w:r w:rsidR="00222C7A" w:rsidRPr="00B918F2">
        <w:rPr>
          <w:color w:val="000000"/>
          <w:lang w:val="en-US"/>
        </w:rPr>
        <w:t>Gene set enrichment analysis (GSEA) of RNA-seq data from four astrocytoma cell lines cultured with growth factors (GF) versus without growth factors (</w:t>
      </w:r>
      <w:proofErr w:type="spellStart"/>
      <w:r w:rsidR="00222C7A" w:rsidRPr="00B918F2">
        <w:rPr>
          <w:color w:val="000000"/>
          <w:lang w:val="en-US"/>
        </w:rPr>
        <w:t>noGF</w:t>
      </w:r>
      <w:proofErr w:type="spellEnd"/>
      <w:r w:rsidR="00222C7A" w:rsidRPr="00B918F2">
        <w:rPr>
          <w:color w:val="000000"/>
          <w:lang w:val="en-US"/>
        </w:rPr>
        <w:t xml:space="preserve">) shows reduced enrichment of proliferation-associated programs upon GF withdrawal (HALLMARK_E2F_TARGETS and HALLMARK_MYC_TARGETS_V1). </w:t>
      </w:r>
      <w:r w:rsidR="00222C7A" w:rsidRPr="00222C7A">
        <w:rPr>
          <w:color w:val="000000"/>
          <w:lang w:val="en-US"/>
        </w:rPr>
        <w:t>NES, normalized enrichment score; FDR, false discovery rate</w:t>
      </w:r>
      <w:r w:rsidR="00222C7A" w:rsidRPr="00222C7A">
        <w:rPr>
          <w:lang w:val="en-US"/>
        </w:rPr>
        <w:t xml:space="preserve"> </w:t>
      </w:r>
      <w:r w:rsidRPr="00222C7A">
        <w:rPr>
          <w:lang w:val="en-US"/>
        </w:rPr>
        <w:t>(C)</w:t>
      </w:r>
      <w:r w:rsidR="00EC5CF3">
        <w:rPr>
          <w:color w:val="000000"/>
          <w:lang w:val="en-US"/>
        </w:rPr>
        <w:t xml:space="preserve"> IF </w:t>
      </w:r>
      <w:r w:rsidR="00222C7A" w:rsidRPr="00222C7A">
        <w:rPr>
          <w:color w:val="000000"/>
          <w:lang w:val="en-US"/>
        </w:rPr>
        <w:t>analysis of astrocytic markers (GFAP, FABP7) and oligodendrocyte/NPC-associated markers (MASH1, OLIG1) in the LGG275 cell line cultured with (GF) or without growth factors (</w:t>
      </w:r>
      <w:proofErr w:type="spellStart"/>
      <w:r w:rsidR="00222C7A" w:rsidRPr="00222C7A">
        <w:rPr>
          <w:color w:val="000000"/>
          <w:lang w:val="en-US"/>
        </w:rPr>
        <w:t>noGF</w:t>
      </w:r>
      <w:proofErr w:type="spellEnd"/>
      <w:r w:rsidR="00222C7A" w:rsidRPr="00222C7A">
        <w:rPr>
          <w:color w:val="000000"/>
          <w:lang w:val="en-US"/>
        </w:rPr>
        <w:t>). Representative images (scale bar, 20 µm) and quantification of marker-defined subpopulations are shown (right). Cell counts were performed on 500 cells per condition (</w:t>
      </w:r>
      <w:r w:rsidR="00222C7A" w:rsidRPr="00222C7A">
        <w:rPr>
          <w:i/>
          <w:iCs/>
          <w:color w:val="000000"/>
          <w:lang w:val="en-US"/>
        </w:rPr>
        <w:t>n</w:t>
      </w:r>
      <w:r w:rsidR="00222C7A" w:rsidRPr="00222C7A">
        <w:rPr>
          <w:color w:val="000000"/>
          <w:lang w:val="en-US"/>
        </w:rPr>
        <w:t xml:space="preserve"> = 1).</w:t>
      </w:r>
      <w:r w:rsidRPr="00890F46">
        <w:rPr>
          <w:lang w:val="en-US"/>
        </w:rPr>
        <w:t xml:space="preserve"> </w:t>
      </w:r>
      <w:r w:rsidRPr="00A76F3C">
        <w:rPr>
          <w:lang w:val="en-US"/>
        </w:rPr>
        <w:t>(</w:t>
      </w:r>
      <w:r>
        <w:rPr>
          <w:lang w:val="en-US"/>
        </w:rPr>
        <w:t>D</w:t>
      </w:r>
      <w:r w:rsidRPr="00A76F3C">
        <w:rPr>
          <w:lang w:val="en-US"/>
        </w:rPr>
        <w:t xml:space="preserve">) </w:t>
      </w:r>
      <w:r w:rsidR="00222C7A" w:rsidRPr="00222C7A">
        <w:rPr>
          <w:color w:val="000000"/>
          <w:lang w:val="en-US"/>
        </w:rPr>
        <w:t>Flow cytometry analysis of CD44 and OLIG1 expression in the four astrocytoma cell lines cultured without growth factors (</w:t>
      </w:r>
      <w:proofErr w:type="spellStart"/>
      <w:r w:rsidR="00222C7A" w:rsidRPr="00222C7A">
        <w:rPr>
          <w:color w:val="000000"/>
          <w:lang w:val="en-US"/>
        </w:rPr>
        <w:t>noGF</w:t>
      </w:r>
      <w:proofErr w:type="spellEnd"/>
      <w:r w:rsidR="00222C7A" w:rsidRPr="00222C7A">
        <w:rPr>
          <w:color w:val="000000"/>
          <w:lang w:val="en-US"/>
        </w:rPr>
        <w:t xml:space="preserve">), identifying astrocyte-like (CD44⁺OLIG1⁻; purple) and oligodendrocyte/NPC-like (CD44⁻OLIG1⁺; orange) populations (representative density plots shown). </w:t>
      </w:r>
      <w:proofErr w:type="spellStart"/>
      <w:r w:rsidR="005200BC">
        <w:rPr>
          <w:lang w:val="en-US"/>
        </w:rPr>
        <w:t>Barplot</w:t>
      </w:r>
      <w:proofErr w:type="spellEnd"/>
      <w:r w:rsidR="005200BC">
        <w:rPr>
          <w:lang w:val="en-US"/>
        </w:rPr>
        <w:t xml:space="preserve"> show</w:t>
      </w:r>
      <w:r w:rsidR="00222C7A">
        <w:rPr>
          <w:lang w:val="en-US"/>
        </w:rPr>
        <w:t>s</w:t>
      </w:r>
      <w:r w:rsidR="005200BC">
        <w:rPr>
          <w:lang w:val="en-US"/>
        </w:rPr>
        <w:t xml:space="preserve"> quantification </w:t>
      </w:r>
      <w:r>
        <w:rPr>
          <w:lang w:val="en-US"/>
        </w:rPr>
        <w:t>as % of cells (</w:t>
      </w:r>
      <w:r w:rsidR="005200BC">
        <w:rPr>
          <w:lang w:val="en-US"/>
        </w:rPr>
        <w:t>Bars</w:t>
      </w:r>
      <w:r w:rsidRPr="00A76F3C">
        <w:rPr>
          <w:lang w:val="en-US"/>
        </w:rPr>
        <w:t xml:space="preserve"> </w:t>
      </w:r>
      <w:r>
        <w:rPr>
          <w:lang w:val="en-US"/>
        </w:rPr>
        <w:t xml:space="preserve">= </w:t>
      </w:r>
      <w:r w:rsidRPr="00A76F3C">
        <w:rPr>
          <w:lang w:val="en-US"/>
        </w:rPr>
        <w:t>mean</w:t>
      </w:r>
      <w:r>
        <w:rPr>
          <w:lang w:val="en-US"/>
        </w:rPr>
        <w:t xml:space="preserve">, </w:t>
      </w:r>
      <w:r>
        <w:rPr>
          <w:color w:val="000000"/>
          <w:szCs w:val="21"/>
          <w:lang w:val="en-US"/>
        </w:rPr>
        <w:t xml:space="preserve">dots = </w:t>
      </w:r>
      <w:r w:rsidRPr="00A76F3C">
        <w:rPr>
          <w:color w:val="000000"/>
          <w:szCs w:val="21"/>
          <w:lang w:val="en-US"/>
        </w:rPr>
        <w:t>n</w:t>
      </w:r>
      <w:r>
        <w:rPr>
          <w:color w:val="000000"/>
          <w:szCs w:val="21"/>
          <w:lang w:val="en-US"/>
        </w:rPr>
        <w:t xml:space="preserve"> </w:t>
      </w:r>
      <w:r w:rsidRPr="00A76F3C">
        <w:rPr>
          <w:color w:val="000000"/>
          <w:szCs w:val="21"/>
          <w:lang w:val="en-US"/>
        </w:rPr>
        <w:t>=</w:t>
      </w:r>
      <w:r>
        <w:rPr>
          <w:color w:val="000000"/>
          <w:szCs w:val="21"/>
          <w:lang w:val="en-US"/>
        </w:rPr>
        <w:t xml:space="preserve"> </w:t>
      </w:r>
      <w:r w:rsidRPr="00A76F3C">
        <w:rPr>
          <w:color w:val="000000"/>
          <w:szCs w:val="21"/>
          <w:lang w:val="en-US"/>
        </w:rPr>
        <w:t>3).</w:t>
      </w:r>
    </w:p>
    <w:p w14:paraId="630E0CD5" w14:textId="77777777" w:rsidR="00BA0C1E" w:rsidRDefault="00BA0C1E" w:rsidP="00BA0C1E">
      <w:pPr>
        <w:pStyle w:val="Sansinterligne"/>
        <w:suppressLineNumbers/>
      </w:pPr>
    </w:p>
    <w:p w14:paraId="74D70069" w14:textId="3B494EBC" w:rsidR="00BA0C1E" w:rsidRPr="00890F46" w:rsidRDefault="00BA0C1E" w:rsidP="00BA0C1E">
      <w:pPr>
        <w:pStyle w:val="Sansinterligne"/>
        <w:suppressLineNumbers/>
        <w:rPr>
          <w:b/>
          <w:bCs/>
          <w:lang w:val="en-US"/>
        </w:rPr>
      </w:pPr>
      <w:r w:rsidRPr="00890F46">
        <w:rPr>
          <w:b/>
          <w:bCs/>
          <w:lang w:val="en-US"/>
        </w:rPr>
        <w:t xml:space="preserve">Figure S4: </w:t>
      </w:r>
      <w:r w:rsidR="00222C7A">
        <w:rPr>
          <w:b/>
          <w:bCs/>
          <w:color w:val="000000"/>
        </w:rPr>
        <w:t xml:space="preserve">Identification of a </w:t>
      </w:r>
      <w:r w:rsidRPr="00890F46">
        <w:rPr>
          <w:b/>
          <w:bCs/>
          <w:lang w:val="en-US"/>
        </w:rPr>
        <w:t>subpopulation of quiescent cells within LGG275 cell line</w:t>
      </w:r>
    </w:p>
    <w:p w14:paraId="7737B36D" w14:textId="4ACCC744" w:rsidR="00BA0C1E" w:rsidRPr="00890F46" w:rsidRDefault="00BA0C1E" w:rsidP="00BA0C1E">
      <w:pPr>
        <w:pStyle w:val="Sansinterligne"/>
        <w:suppressLineNumbers/>
        <w:rPr>
          <w:color w:val="000000"/>
          <w:szCs w:val="21"/>
          <w:lang w:val="en-US"/>
        </w:rPr>
      </w:pPr>
      <w:r w:rsidRPr="00890F46">
        <w:rPr>
          <w:lang w:val="en-US"/>
        </w:rPr>
        <w:t xml:space="preserve">(A) Cell cycle analysis by flow cytometry using propidium iodide in LGG275 cell line after 20 days with (GF) or without (no GF) </w:t>
      </w:r>
      <w:r>
        <w:rPr>
          <w:lang w:val="en-US"/>
        </w:rPr>
        <w:t>GF</w:t>
      </w:r>
      <w:r w:rsidRPr="00890F46">
        <w:rPr>
          <w:lang w:val="en-US"/>
        </w:rPr>
        <w:t xml:space="preserve"> or 10 days without </w:t>
      </w:r>
      <w:r>
        <w:rPr>
          <w:lang w:val="en-US"/>
        </w:rPr>
        <w:t xml:space="preserve">GF </w:t>
      </w:r>
      <w:r w:rsidRPr="00890F46">
        <w:rPr>
          <w:lang w:val="en-US"/>
        </w:rPr>
        <w:t xml:space="preserve">following by 10 days </w:t>
      </w:r>
      <w:r>
        <w:rPr>
          <w:lang w:val="en-US"/>
        </w:rPr>
        <w:t xml:space="preserve">with GF </w:t>
      </w:r>
      <w:r w:rsidRPr="00890F46">
        <w:rPr>
          <w:lang w:val="en-US"/>
        </w:rPr>
        <w:t xml:space="preserve">(no GF + GF). </w:t>
      </w:r>
      <w:r>
        <w:rPr>
          <w:lang w:val="en-US"/>
        </w:rPr>
        <w:t xml:space="preserve">Right Panel: </w:t>
      </w:r>
      <w:proofErr w:type="spellStart"/>
      <w:r w:rsidR="005200BC">
        <w:rPr>
          <w:lang w:val="en-US"/>
        </w:rPr>
        <w:t>Barplot</w:t>
      </w:r>
      <w:proofErr w:type="spellEnd"/>
      <w:r w:rsidR="005200BC">
        <w:rPr>
          <w:lang w:val="en-US"/>
        </w:rPr>
        <w:t xml:space="preserve"> show</w:t>
      </w:r>
      <w:r w:rsidR="00EC5CF3">
        <w:rPr>
          <w:lang w:val="en-US"/>
        </w:rPr>
        <w:t>s</w:t>
      </w:r>
      <w:r w:rsidR="005200BC">
        <w:rPr>
          <w:lang w:val="en-US"/>
        </w:rPr>
        <w:t xml:space="preserve"> quantification </w:t>
      </w:r>
      <w:r>
        <w:rPr>
          <w:lang w:val="en-US"/>
        </w:rPr>
        <w:t>as % of cells (</w:t>
      </w:r>
      <w:r w:rsidR="005200BC">
        <w:rPr>
          <w:lang w:val="en-US"/>
        </w:rPr>
        <w:t>bars</w:t>
      </w:r>
      <w:r w:rsidRPr="00890F46">
        <w:rPr>
          <w:lang w:val="en-US"/>
        </w:rPr>
        <w:t xml:space="preserve"> </w:t>
      </w:r>
      <w:r>
        <w:rPr>
          <w:lang w:val="en-US"/>
        </w:rPr>
        <w:t>=</w:t>
      </w:r>
      <w:r w:rsidRPr="00890F46">
        <w:rPr>
          <w:lang w:val="en-US"/>
        </w:rPr>
        <w:t xml:space="preserve"> mean</w:t>
      </w:r>
      <w:r>
        <w:rPr>
          <w:lang w:val="en-US"/>
        </w:rPr>
        <w:t xml:space="preserve">, </w:t>
      </w:r>
      <w:r w:rsidRPr="00890F46">
        <w:rPr>
          <w:lang w:val="en-US"/>
        </w:rPr>
        <w:t xml:space="preserve">dots </w:t>
      </w:r>
      <w:r>
        <w:rPr>
          <w:lang w:val="en-US"/>
        </w:rPr>
        <w:t xml:space="preserve">= </w:t>
      </w:r>
      <w:r w:rsidRPr="00890F46">
        <w:rPr>
          <w:lang w:val="en-US"/>
        </w:rPr>
        <w:t>n</w:t>
      </w:r>
      <w:r>
        <w:rPr>
          <w:lang w:val="en-US"/>
        </w:rPr>
        <w:t xml:space="preserve"> </w:t>
      </w:r>
      <w:r w:rsidRPr="00890F46">
        <w:rPr>
          <w:lang w:val="en-US"/>
        </w:rPr>
        <w:t>=</w:t>
      </w:r>
      <w:r>
        <w:rPr>
          <w:lang w:val="en-US"/>
        </w:rPr>
        <w:t xml:space="preserve"> </w:t>
      </w:r>
      <w:r w:rsidRPr="00890F46">
        <w:rPr>
          <w:lang w:val="en-US"/>
        </w:rPr>
        <w:t>3) (ns = non-significant, * p&lt;0, 05, **&lt;0,01</w:t>
      </w:r>
      <w:r>
        <w:rPr>
          <w:lang w:val="en-US"/>
        </w:rPr>
        <w:t xml:space="preserve">, </w:t>
      </w:r>
      <w:r w:rsidRPr="00890F46">
        <w:rPr>
          <w:lang w:val="en-US"/>
        </w:rPr>
        <w:t>multiple comparison Turkey test</w:t>
      </w:r>
      <w:r>
        <w:rPr>
          <w:lang w:val="en-US"/>
        </w:rPr>
        <w:t>)</w:t>
      </w:r>
      <w:r w:rsidRPr="00890F46">
        <w:rPr>
          <w:lang w:val="en-US"/>
        </w:rPr>
        <w:t xml:space="preserve"> (B) GSEA analysis </w:t>
      </w:r>
      <w:r>
        <w:rPr>
          <w:lang w:val="en-US"/>
        </w:rPr>
        <w:t xml:space="preserve">of RNA sequencing comparing </w:t>
      </w:r>
      <w:proofErr w:type="spellStart"/>
      <w:r w:rsidRPr="00890F46">
        <w:rPr>
          <w:lang w:val="en-US"/>
        </w:rPr>
        <w:t>mVenus</w:t>
      </w:r>
      <w:proofErr w:type="spellEnd"/>
      <w:r w:rsidRPr="00890F46">
        <w:rPr>
          <w:lang w:val="en-US"/>
        </w:rPr>
        <w:t>/P27</w:t>
      </w:r>
      <w:r w:rsidRPr="00890F46">
        <w:rPr>
          <w:vertAlign w:val="superscript"/>
          <w:lang w:val="en-US"/>
        </w:rPr>
        <w:t>+</w:t>
      </w:r>
      <w:r w:rsidRPr="00890F46">
        <w:rPr>
          <w:lang w:val="en-US"/>
        </w:rPr>
        <w:t xml:space="preserve"> cells versus</w:t>
      </w:r>
      <w:r w:rsidRPr="00890F46">
        <w:rPr>
          <w:vertAlign w:val="superscript"/>
          <w:lang w:val="en-US"/>
        </w:rPr>
        <w:t xml:space="preserve"> </w:t>
      </w:r>
      <w:proofErr w:type="spellStart"/>
      <w:r w:rsidRPr="00890F46">
        <w:rPr>
          <w:lang w:val="en-US"/>
        </w:rPr>
        <w:t>mVenus</w:t>
      </w:r>
      <w:proofErr w:type="spellEnd"/>
      <w:r w:rsidRPr="00890F46">
        <w:rPr>
          <w:lang w:val="en-US"/>
        </w:rPr>
        <w:t>/P27</w:t>
      </w:r>
      <w:r w:rsidRPr="00890F46">
        <w:rPr>
          <w:vertAlign w:val="superscript"/>
          <w:lang w:val="en-US"/>
        </w:rPr>
        <w:t>-</w:t>
      </w:r>
      <w:r w:rsidRPr="00890F46">
        <w:rPr>
          <w:lang w:val="en-US"/>
        </w:rPr>
        <w:t xml:space="preserve"> cells show</w:t>
      </w:r>
      <w:r>
        <w:rPr>
          <w:lang w:val="en-US"/>
        </w:rPr>
        <w:t>s</w:t>
      </w:r>
      <w:r w:rsidRPr="00890F46">
        <w:rPr>
          <w:lang w:val="en-US"/>
        </w:rPr>
        <w:t xml:space="preserve"> </w:t>
      </w:r>
      <w:proofErr w:type="gramStart"/>
      <w:r w:rsidRPr="00890F46">
        <w:rPr>
          <w:lang w:val="en-US"/>
        </w:rPr>
        <w:t>a</w:t>
      </w:r>
      <w:proofErr w:type="gramEnd"/>
      <w:r w:rsidRPr="00890F46">
        <w:rPr>
          <w:lang w:val="en-US"/>
        </w:rPr>
        <w:t xml:space="preserve"> </w:t>
      </w:r>
      <w:r>
        <w:rPr>
          <w:lang w:val="en-US"/>
        </w:rPr>
        <w:t>enrichment</w:t>
      </w:r>
      <w:r w:rsidRPr="00890F46">
        <w:rPr>
          <w:lang w:val="en-US"/>
        </w:rPr>
        <w:t xml:space="preserve"> of cell cycle </w:t>
      </w:r>
      <w:r>
        <w:rPr>
          <w:lang w:val="en-US"/>
        </w:rPr>
        <w:t xml:space="preserve">gene signatures in </w:t>
      </w:r>
      <w:proofErr w:type="spellStart"/>
      <w:r w:rsidRPr="00890F46">
        <w:rPr>
          <w:lang w:val="en-US"/>
        </w:rPr>
        <w:t>mVenus</w:t>
      </w:r>
      <w:proofErr w:type="spellEnd"/>
      <w:r w:rsidRPr="00890F46">
        <w:rPr>
          <w:lang w:val="en-US"/>
        </w:rPr>
        <w:t>/P27</w:t>
      </w:r>
      <w:r>
        <w:rPr>
          <w:vertAlign w:val="superscript"/>
          <w:lang w:val="en-US"/>
        </w:rPr>
        <w:t>-</w:t>
      </w:r>
      <w:r w:rsidRPr="00890F46">
        <w:rPr>
          <w:lang w:val="en-US"/>
        </w:rPr>
        <w:t xml:space="preserve"> cells in LGG275 line. </w:t>
      </w:r>
      <w:proofErr w:type="spellStart"/>
      <w:r w:rsidR="00222C7A">
        <w:rPr>
          <w:color w:val="000000"/>
        </w:rPr>
        <w:t>q.value</w:t>
      </w:r>
      <w:proofErr w:type="spellEnd"/>
      <w:r w:rsidR="00222C7A">
        <w:rPr>
          <w:color w:val="000000"/>
        </w:rPr>
        <w:t xml:space="preserve"> was</w:t>
      </w:r>
      <w:r w:rsidRPr="00890F46">
        <w:rPr>
          <w:lang w:val="en-US"/>
        </w:rPr>
        <w:t xml:space="preserve"> calculated using </w:t>
      </w:r>
      <w:proofErr w:type="spellStart"/>
      <w:r w:rsidRPr="00890F46">
        <w:rPr>
          <w:lang w:val="en-US"/>
        </w:rPr>
        <w:t>Benjamini</w:t>
      </w:r>
      <w:proofErr w:type="spellEnd"/>
      <w:r w:rsidRPr="00890F46">
        <w:rPr>
          <w:lang w:val="en-US"/>
        </w:rPr>
        <w:t xml:space="preserve">-Hochberg method. NES = Normalized Enrichment Score, FDR = False Discovery Rate. (C) </w:t>
      </w:r>
      <w:r w:rsidR="00222C7A">
        <w:rPr>
          <w:color w:val="000000"/>
        </w:rPr>
        <w:t xml:space="preserve">Flow-cytometry analysis of </w:t>
      </w:r>
      <w:proofErr w:type="spellStart"/>
      <w:r w:rsidR="00222C7A">
        <w:rPr>
          <w:color w:val="000000"/>
        </w:rPr>
        <w:t>mVenus</w:t>
      </w:r>
      <w:proofErr w:type="spellEnd"/>
      <w:r w:rsidR="00222C7A">
        <w:rPr>
          <w:color w:val="000000"/>
        </w:rPr>
        <w:t xml:space="preserve">–P27 fusion protein expression at 0, 4, 7, 11, and 15 days in sorted </w:t>
      </w:r>
      <w:proofErr w:type="spellStart"/>
      <w:r w:rsidR="00222C7A">
        <w:rPr>
          <w:color w:val="000000"/>
        </w:rPr>
        <w:t>mVenus</w:t>
      </w:r>
      <w:proofErr w:type="spellEnd"/>
      <w:r w:rsidR="00222C7A">
        <w:rPr>
          <w:color w:val="000000"/>
        </w:rPr>
        <w:t xml:space="preserve">/P27⁻ and </w:t>
      </w:r>
      <w:proofErr w:type="spellStart"/>
      <w:r w:rsidR="00222C7A">
        <w:rPr>
          <w:color w:val="000000"/>
        </w:rPr>
        <w:t>mVenus</w:t>
      </w:r>
      <w:proofErr w:type="spellEnd"/>
      <w:r w:rsidR="00222C7A">
        <w:rPr>
          <w:color w:val="000000"/>
        </w:rPr>
        <w:t xml:space="preserve">/P27⁺ populations. Representative </w:t>
      </w:r>
      <w:r w:rsidR="00222C7A">
        <w:rPr>
          <w:color w:val="000000"/>
        </w:rPr>
        <w:lastRenderedPageBreak/>
        <w:t xml:space="preserve">density plots (FSC vs </w:t>
      </w:r>
      <w:proofErr w:type="spellStart"/>
      <w:r w:rsidR="00222C7A">
        <w:rPr>
          <w:color w:val="000000"/>
        </w:rPr>
        <w:t>mVenus</w:t>
      </w:r>
      <w:proofErr w:type="spellEnd"/>
      <w:r w:rsidR="00222C7A">
        <w:rPr>
          <w:color w:val="000000"/>
        </w:rPr>
        <w:t xml:space="preserve">/P27) are shown. Right, quantification of </w:t>
      </w:r>
      <w:proofErr w:type="spellStart"/>
      <w:r w:rsidR="00222C7A">
        <w:rPr>
          <w:color w:val="000000"/>
        </w:rPr>
        <w:t>mVenus</w:t>
      </w:r>
      <w:proofErr w:type="spellEnd"/>
      <w:r w:rsidR="00222C7A">
        <w:rPr>
          <w:color w:val="000000"/>
        </w:rPr>
        <w:t xml:space="preserve">/P27-negative, -low, and -high fractions as % of total cells. </w:t>
      </w:r>
      <w:r>
        <w:rPr>
          <w:lang w:val="en-US"/>
        </w:rPr>
        <w:t>(</w:t>
      </w:r>
      <w:r w:rsidR="005200BC">
        <w:rPr>
          <w:lang w:val="en-US"/>
        </w:rPr>
        <w:t>bars</w:t>
      </w:r>
      <w:r>
        <w:rPr>
          <w:lang w:val="en-US"/>
        </w:rPr>
        <w:t xml:space="preserve"> =</w:t>
      </w:r>
      <w:r w:rsidRPr="00890F46">
        <w:rPr>
          <w:lang w:val="en-US"/>
        </w:rPr>
        <w:t xml:space="preserve"> mean </w:t>
      </w:r>
      <w:r w:rsidRPr="00890F46">
        <w:rPr>
          <w:color w:val="000000"/>
          <w:szCs w:val="21"/>
          <w:lang w:val="en-US"/>
        </w:rPr>
        <w:t>± S.E.M</w:t>
      </w:r>
      <w:r>
        <w:rPr>
          <w:color w:val="000000"/>
          <w:szCs w:val="21"/>
          <w:lang w:val="en-US"/>
        </w:rPr>
        <w:t xml:space="preserve">, </w:t>
      </w:r>
      <w:r w:rsidRPr="00890F46">
        <w:rPr>
          <w:color w:val="000000"/>
          <w:szCs w:val="21"/>
          <w:lang w:val="en-US"/>
        </w:rPr>
        <w:t>n=3).</w:t>
      </w:r>
    </w:p>
    <w:p w14:paraId="2EEB6365" w14:textId="77777777" w:rsidR="00BA0C1E" w:rsidRPr="00890F46" w:rsidRDefault="00BA0C1E" w:rsidP="00BA0C1E">
      <w:pPr>
        <w:pStyle w:val="Sansinterligne"/>
        <w:suppressLineNumbers/>
        <w:rPr>
          <w:color w:val="000000"/>
          <w:szCs w:val="21"/>
          <w:lang w:val="en-US"/>
        </w:rPr>
      </w:pPr>
    </w:p>
    <w:p w14:paraId="2988E0D1" w14:textId="45AE6835" w:rsidR="00BA0C1E" w:rsidRPr="00222C7A" w:rsidRDefault="00BA0C1E" w:rsidP="00222C7A">
      <w:pPr>
        <w:pStyle w:val="NormalWeb"/>
        <w:spacing w:before="0" w:beforeAutospacing="0" w:after="0" w:afterAutospacing="0"/>
        <w:jc w:val="both"/>
        <w:rPr>
          <w:lang w:val="en-US"/>
        </w:rPr>
      </w:pPr>
      <w:r w:rsidRPr="00073801">
        <w:rPr>
          <w:b/>
          <w:bCs/>
          <w:lang w:val="en-US"/>
        </w:rPr>
        <w:t xml:space="preserve">Figure S5: </w:t>
      </w:r>
      <w:r w:rsidR="00222C7A" w:rsidRPr="00222C7A">
        <w:rPr>
          <w:b/>
          <w:bCs/>
          <w:color w:val="000000"/>
          <w:lang w:val="en-US"/>
        </w:rPr>
        <w:t>Link between cellular state and quiescence in astrocytoma cell lines</w:t>
      </w:r>
    </w:p>
    <w:p w14:paraId="032577EA" w14:textId="664FA0D3" w:rsidR="00BA0C1E" w:rsidRPr="00890F46" w:rsidRDefault="00BA0C1E" w:rsidP="00BA0C1E">
      <w:pPr>
        <w:pStyle w:val="Sansinterligne"/>
        <w:suppressLineNumbers/>
        <w:rPr>
          <w:color w:val="000000"/>
          <w:szCs w:val="21"/>
          <w:lang w:val="en-US"/>
        </w:rPr>
      </w:pPr>
      <w:r w:rsidRPr="00073801">
        <w:rPr>
          <w:lang w:val="en-US"/>
        </w:rPr>
        <w:t xml:space="preserve">(A) </w:t>
      </w:r>
      <w:r>
        <w:rPr>
          <w:lang w:val="en-US"/>
        </w:rPr>
        <w:t xml:space="preserve">IF analysis of </w:t>
      </w:r>
      <w:r w:rsidRPr="00073801">
        <w:rPr>
          <w:lang w:val="en-US"/>
        </w:rPr>
        <w:t>APOE, OLIG2 and KI67 expression in LGG275 line</w:t>
      </w:r>
      <w:r>
        <w:rPr>
          <w:lang w:val="en-US"/>
        </w:rPr>
        <w:t>, identifying</w:t>
      </w:r>
      <w:r w:rsidRPr="00073801">
        <w:rPr>
          <w:lang w:val="en-US"/>
        </w:rPr>
        <w:t xml:space="preserve"> KI67</w:t>
      </w:r>
      <w:r>
        <w:rPr>
          <w:lang w:val="en-US"/>
        </w:rPr>
        <w:t xml:space="preserve"> preferential expression</w:t>
      </w:r>
      <w:r w:rsidRPr="00073801">
        <w:rPr>
          <w:lang w:val="en-US"/>
        </w:rPr>
        <w:t xml:space="preserve"> in oligodendrocyte/NPC-like </w:t>
      </w:r>
      <w:r>
        <w:rPr>
          <w:lang w:val="en-US"/>
        </w:rPr>
        <w:t>(APOE</w:t>
      </w:r>
      <w:r>
        <w:rPr>
          <w:vertAlign w:val="superscript"/>
          <w:lang w:val="en-US"/>
        </w:rPr>
        <w:t>-</w:t>
      </w:r>
      <w:r w:rsidRPr="00073801">
        <w:rPr>
          <w:lang w:val="en-US"/>
        </w:rPr>
        <w:t>OLIG2</w:t>
      </w:r>
      <w:r w:rsidRPr="00D57A63">
        <w:rPr>
          <w:vertAlign w:val="superscript"/>
          <w:lang w:val="en-US"/>
        </w:rPr>
        <w:t>+</w:t>
      </w:r>
      <w:r>
        <w:rPr>
          <w:lang w:val="en-US"/>
        </w:rPr>
        <w:t>) rather</w:t>
      </w:r>
      <w:r w:rsidRPr="00073801">
        <w:rPr>
          <w:lang w:val="en-US"/>
        </w:rPr>
        <w:t xml:space="preserve"> than in astrocyte-like cells </w:t>
      </w:r>
      <w:r>
        <w:rPr>
          <w:lang w:val="en-US"/>
        </w:rPr>
        <w:t>(APOE</w:t>
      </w:r>
      <w:r w:rsidRPr="00D57A63">
        <w:rPr>
          <w:vertAlign w:val="superscript"/>
          <w:lang w:val="en-US"/>
        </w:rPr>
        <w:t>+</w:t>
      </w:r>
      <w:r w:rsidRPr="00073801">
        <w:rPr>
          <w:lang w:val="en-US"/>
        </w:rPr>
        <w:t>OLIG2</w:t>
      </w:r>
      <w:r>
        <w:rPr>
          <w:vertAlign w:val="superscript"/>
          <w:lang w:val="en-US"/>
        </w:rPr>
        <w:t>-</w:t>
      </w:r>
      <w:r>
        <w:rPr>
          <w:lang w:val="en-US"/>
        </w:rPr>
        <w:t xml:space="preserve">) </w:t>
      </w:r>
      <w:r w:rsidRPr="00073801">
        <w:rPr>
          <w:lang w:val="en-US"/>
        </w:rPr>
        <w:t xml:space="preserve">with </w:t>
      </w:r>
      <w:r>
        <w:rPr>
          <w:lang w:val="en-US"/>
        </w:rPr>
        <w:t>and</w:t>
      </w:r>
      <w:r w:rsidRPr="00073801">
        <w:rPr>
          <w:lang w:val="en-US"/>
        </w:rPr>
        <w:t xml:space="preserve"> without </w:t>
      </w:r>
      <w:r>
        <w:rPr>
          <w:lang w:val="en-US"/>
        </w:rPr>
        <w:t>GF, scale bar = 50µm</w:t>
      </w:r>
      <w:r w:rsidRPr="00073801">
        <w:rPr>
          <w:lang w:val="en-US"/>
        </w:rPr>
        <w:t xml:space="preserve">. </w:t>
      </w:r>
      <w:r>
        <w:rPr>
          <w:lang w:val="en-US"/>
        </w:rPr>
        <w:t xml:space="preserve">Right panels: </w:t>
      </w:r>
      <w:proofErr w:type="spellStart"/>
      <w:r w:rsidR="005200BC">
        <w:rPr>
          <w:lang w:val="en-US"/>
        </w:rPr>
        <w:t>Barplot</w:t>
      </w:r>
      <w:proofErr w:type="spellEnd"/>
      <w:r w:rsidR="005200BC">
        <w:rPr>
          <w:lang w:val="en-US"/>
        </w:rPr>
        <w:t xml:space="preserve"> show</w:t>
      </w:r>
      <w:r w:rsidR="00F8566F">
        <w:rPr>
          <w:lang w:val="en-US"/>
        </w:rPr>
        <w:t>s</w:t>
      </w:r>
      <w:r w:rsidR="005200BC">
        <w:rPr>
          <w:lang w:val="en-US"/>
        </w:rPr>
        <w:t xml:space="preserve"> quantification </w:t>
      </w:r>
      <w:r>
        <w:rPr>
          <w:lang w:val="en-US"/>
        </w:rPr>
        <w:t xml:space="preserve">as % of </w:t>
      </w:r>
      <w:proofErr w:type="spellStart"/>
      <w:r w:rsidR="00787E34" w:rsidRPr="00B06916">
        <w:rPr>
          <w:rFonts w:cs="Times New Roman"/>
          <w:szCs w:val="24"/>
          <w:lang w:val="en-US"/>
        </w:rPr>
        <w:t>Hœchst</w:t>
      </w:r>
      <w:proofErr w:type="spellEnd"/>
      <w:r w:rsidR="00787E34">
        <w:rPr>
          <w:rFonts w:cs="Times New Roman"/>
          <w:szCs w:val="24"/>
          <w:vertAlign w:val="superscript"/>
          <w:lang w:val="en-US"/>
        </w:rPr>
        <w:t>+</w:t>
      </w:r>
      <w:r>
        <w:rPr>
          <w:lang w:val="en-US"/>
        </w:rPr>
        <w:t xml:space="preserve"> cells (</w:t>
      </w:r>
      <w:r w:rsidR="005200BC">
        <w:rPr>
          <w:lang w:val="en-US"/>
        </w:rPr>
        <w:t>bars</w:t>
      </w:r>
      <w:r w:rsidRPr="00073801">
        <w:rPr>
          <w:lang w:val="en-US"/>
        </w:rPr>
        <w:t xml:space="preserve"> </w:t>
      </w:r>
      <w:r>
        <w:rPr>
          <w:lang w:val="en-US"/>
        </w:rPr>
        <w:t>=</w:t>
      </w:r>
      <w:r w:rsidRPr="00073801">
        <w:rPr>
          <w:lang w:val="en-US"/>
        </w:rPr>
        <w:t xml:space="preserve"> mean</w:t>
      </w:r>
      <w:r>
        <w:rPr>
          <w:lang w:val="en-US"/>
        </w:rPr>
        <w:t xml:space="preserve">, </w:t>
      </w:r>
      <w:r w:rsidRPr="00073801">
        <w:rPr>
          <w:color w:val="000000"/>
          <w:szCs w:val="21"/>
          <w:lang w:val="en-US"/>
        </w:rPr>
        <w:t>dots</w:t>
      </w:r>
      <w:r>
        <w:rPr>
          <w:color w:val="000000"/>
          <w:szCs w:val="21"/>
          <w:lang w:val="en-US"/>
        </w:rPr>
        <w:t xml:space="preserve"> =</w:t>
      </w:r>
      <w:r w:rsidRPr="00073801">
        <w:rPr>
          <w:color w:val="000000"/>
          <w:szCs w:val="21"/>
          <w:lang w:val="en-US"/>
        </w:rPr>
        <w:t xml:space="preserve"> n</w:t>
      </w:r>
      <w:r>
        <w:rPr>
          <w:color w:val="000000"/>
          <w:szCs w:val="21"/>
          <w:lang w:val="en-US"/>
        </w:rPr>
        <w:t xml:space="preserve"> </w:t>
      </w:r>
      <w:r w:rsidRPr="00073801">
        <w:rPr>
          <w:color w:val="000000"/>
          <w:szCs w:val="21"/>
          <w:lang w:val="en-US"/>
        </w:rPr>
        <w:t>=</w:t>
      </w:r>
      <w:r>
        <w:rPr>
          <w:color w:val="000000"/>
          <w:szCs w:val="21"/>
          <w:lang w:val="en-US"/>
        </w:rPr>
        <w:t xml:space="preserve"> </w:t>
      </w:r>
      <w:r w:rsidRPr="00073801">
        <w:rPr>
          <w:color w:val="000000"/>
          <w:szCs w:val="21"/>
          <w:lang w:val="en-US"/>
        </w:rPr>
        <w:t>3)</w:t>
      </w:r>
      <w:r>
        <w:rPr>
          <w:color w:val="000000"/>
          <w:szCs w:val="21"/>
          <w:lang w:val="en-US"/>
        </w:rPr>
        <w:t xml:space="preserve"> (</w:t>
      </w:r>
      <w:r w:rsidRPr="00890F46">
        <w:rPr>
          <w:lang w:val="en-US"/>
        </w:rPr>
        <w:t>* p&lt;0, 05, multiple comparison Turkey test</w:t>
      </w:r>
      <w:r>
        <w:rPr>
          <w:color w:val="000000"/>
          <w:szCs w:val="21"/>
          <w:lang w:val="en-US"/>
        </w:rPr>
        <w:t>)</w:t>
      </w:r>
      <w:r w:rsidRPr="00073801">
        <w:rPr>
          <w:lang w:val="en-US"/>
        </w:rPr>
        <w:t xml:space="preserve"> (B)</w:t>
      </w:r>
      <w:r w:rsidR="00222C7A">
        <w:rPr>
          <w:color w:val="000000"/>
        </w:rPr>
        <w:t xml:space="preserve"> left corner: </w:t>
      </w:r>
      <w:r w:rsidRPr="00073801">
        <w:rPr>
          <w:lang w:val="en-US"/>
        </w:rPr>
        <w:t xml:space="preserve"> </w:t>
      </w:r>
      <w:r>
        <w:rPr>
          <w:szCs w:val="24"/>
          <w:lang w:val="en-US"/>
        </w:rPr>
        <w:t>UMAP colored by ccAFv2 cell-cycle state classifier, including Neural G0. Right, dot plot showing the association between phenotypic states (astrocyte-like, NPC-like, oligodendrocyte-like, unknown) and ccAFv2 cell-cycle classes (Pearson residual</w:t>
      </w:r>
      <w:r>
        <w:rPr>
          <w:lang w:val="en-US"/>
        </w:rPr>
        <w:t xml:space="preserve">) in </w:t>
      </w:r>
      <w:r w:rsidRPr="00073801">
        <w:rPr>
          <w:lang w:val="en-US"/>
        </w:rPr>
        <w:t xml:space="preserve">LGG336, LGG85 and LGG349 </w:t>
      </w:r>
      <w:r>
        <w:rPr>
          <w:lang w:val="en-US"/>
        </w:rPr>
        <w:t>lines</w:t>
      </w:r>
      <w:r>
        <w:rPr>
          <w:szCs w:val="24"/>
          <w:lang w:val="en-US"/>
        </w:rPr>
        <w:t xml:space="preserve">. Significance was assessed by a </w:t>
      </w:r>
      <w:r>
        <w:rPr>
          <w:szCs w:val="24"/>
        </w:rPr>
        <w:t>χ</w:t>
      </w:r>
      <w:r>
        <w:rPr>
          <w:szCs w:val="24"/>
          <w:lang w:val="en-US"/>
        </w:rPr>
        <w:t>² test (p &lt; 0.01)</w:t>
      </w:r>
      <w:r w:rsidRPr="00073801">
        <w:rPr>
          <w:lang w:val="en-US"/>
        </w:rPr>
        <w:t xml:space="preserve"> (C) </w:t>
      </w:r>
      <w:r w:rsidR="00222C7A">
        <w:rPr>
          <w:color w:val="000000"/>
        </w:rPr>
        <w:t>IF staining of GFAP and KI67 in LGG85, LGG336, and LGG349 cells cultured with growth factors (GF), illustrating largely non-overlapping astrocyte-like (GFAP⁺; yellow arrows) and mitotic (KI67⁺; white arrows) populations. Representative images are shown; scale bar, 20 µm. Bottom: quantification of GFAP⁺KI67⁻, GFAP⁻KI67⁺, and GFAP⁻KI67⁻ fractions expressed as % of Hoechst⁺ nuclei</w:t>
      </w:r>
      <w:r w:rsidR="00222C7A" w:rsidRPr="00890F46">
        <w:rPr>
          <w:lang w:val="en-US"/>
        </w:rPr>
        <w:t xml:space="preserve"> </w:t>
      </w:r>
      <w:r w:rsidRPr="00890F46">
        <w:rPr>
          <w:lang w:val="en-US"/>
        </w:rPr>
        <w:t>(n=1</w:t>
      </w:r>
      <w:r>
        <w:rPr>
          <w:lang w:val="en-US"/>
        </w:rPr>
        <w:t>, count = 500 cells</w:t>
      </w:r>
      <w:r w:rsidRPr="00890F46">
        <w:rPr>
          <w:lang w:val="en-US"/>
        </w:rPr>
        <w:t>)</w:t>
      </w:r>
      <w:r>
        <w:rPr>
          <w:lang w:val="en-US"/>
        </w:rPr>
        <w:t>.</w:t>
      </w:r>
    </w:p>
    <w:p w14:paraId="4F75F225" w14:textId="77777777" w:rsidR="00BA0C1E" w:rsidRPr="00890F46" w:rsidRDefault="00BA0C1E" w:rsidP="00BA0C1E">
      <w:pPr>
        <w:pStyle w:val="Sansinterligne"/>
        <w:suppressLineNumbers/>
        <w:rPr>
          <w:color w:val="000000"/>
          <w:szCs w:val="21"/>
          <w:lang w:val="en-US"/>
        </w:rPr>
      </w:pPr>
    </w:p>
    <w:p w14:paraId="7CFFE7DE" w14:textId="615F1D22" w:rsidR="00222C7A" w:rsidRDefault="00BA0C1E" w:rsidP="00BA0C1E">
      <w:pPr>
        <w:pStyle w:val="Sansinterligne"/>
        <w:suppressLineNumbers/>
        <w:rPr>
          <w:lang w:val="en-US"/>
        </w:rPr>
      </w:pPr>
      <w:r w:rsidRPr="00890F46">
        <w:rPr>
          <w:b/>
          <w:bCs/>
          <w:lang w:val="en-US"/>
        </w:rPr>
        <w:t xml:space="preserve">Figure S6: </w:t>
      </w:r>
      <w:r w:rsidR="00222C7A">
        <w:rPr>
          <w:b/>
          <w:bCs/>
          <w:color w:val="000000"/>
        </w:rPr>
        <w:t>CD44/GLAST-based cell sorting enables efficient isolation of astrocyte-like and oligodendrocyte-like states</w:t>
      </w:r>
      <w:r w:rsidR="00222C7A" w:rsidRPr="00890F46">
        <w:rPr>
          <w:lang w:val="en-US"/>
        </w:rPr>
        <w:t xml:space="preserve"> </w:t>
      </w:r>
    </w:p>
    <w:p w14:paraId="30B5F1C6" w14:textId="20FF4A07" w:rsidR="00BA0C1E" w:rsidRPr="00890F46" w:rsidRDefault="00BA0C1E" w:rsidP="00BA0C1E">
      <w:pPr>
        <w:pStyle w:val="Sansinterligne"/>
        <w:suppressLineNumbers/>
        <w:rPr>
          <w:color w:val="000000"/>
          <w:szCs w:val="21"/>
          <w:lang w:val="en-US"/>
        </w:rPr>
      </w:pPr>
      <w:r w:rsidRPr="00890F46">
        <w:rPr>
          <w:lang w:val="en-US"/>
        </w:rPr>
        <w:t xml:space="preserve">(A) </w:t>
      </w:r>
      <w:r>
        <w:rPr>
          <w:lang w:val="en-US"/>
        </w:rPr>
        <w:t>Log2(</w:t>
      </w:r>
      <w:proofErr w:type="spellStart"/>
      <w:r>
        <w:rPr>
          <w:lang w:val="en-US"/>
        </w:rPr>
        <w:t>FoldChange</w:t>
      </w:r>
      <w:proofErr w:type="spellEnd"/>
      <w:r>
        <w:rPr>
          <w:lang w:val="en-US"/>
        </w:rPr>
        <w:t>) of</w:t>
      </w:r>
      <w:r w:rsidRPr="00890F46">
        <w:rPr>
          <w:lang w:val="en-US"/>
        </w:rPr>
        <w:t xml:space="preserve"> </w:t>
      </w:r>
      <w:r>
        <w:rPr>
          <w:lang w:val="en-US"/>
        </w:rPr>
        <w:t>a</w:t>
      </w:r>
      <w:r w:rsidRPr="00890F46">
        <w:rPr>
          <w:lang w:val="en-US"/>
        </w:rPr>
        <w:t>strocyte and oligodendrocyte</w:t>
      </w:r>
      <w:r w:rsidR="00222C7A">
        <w:rPr>
          <w:lang w:val="en-US"/>
        </w:rPr>
        <w:t xml:space="preserve"> gene</w:t>
      </w:r>
      <w:r>
        <w:rPr>
          <w:lang w:val="en-US"/>
        </w:rPr>
        <w:t xml:space="preserve"> markers expression</w:t>
      </w:r>
      <w:r w:rsidRPr="00890F46">
        <w:rPr>
          <w:lang w:val="en-US"/>
        </w:rPr>
        <w:t xml:space="preserve"> in CD44</w:t>
      </w:r>
      <w:r w:rsidRPr="00890F46">
        <w:rPr>
          <w:vertAlign w:val="superscript"/>
          <w:lang w:val="en-US"/>
        </w:rPr>
        <w:t>+</w:t>
      </w:r>
      <w:r w:rsidRPr="00890F46">
        <w:rPr>
          <w:lang w:val="en-US"/>
        </w:rPr>
        <w:t>GLAST</w:t>
      </w:r>
      <w:r w:rsidRPr="00890F46">
        <w:rPr>
          <w:vertAlign w:val="superscript"/>
          <w:lang w:val="en-US"/>
        </w:rPr>
        <w:t xml:space="preserve">+ </w:t>
      </w:r>
      <w:r w:rsidRPr="00890F46">
        <w:rPr>
          <w:lang w:val="en-US"/>
        </w:rPr>
        <w:t>(purple) and CD44</w:t>
      </w:r>
      <w:r w:rsidRPr="00890F46">
        <w:rPr>
          <w:vertAlign w:val="superscript"/>
          <w:lang w:val="en-US"/>
        </w:rPr>
        <w:t>-</w:t>
      </w:r>
      <w:r w:rsidRPr="00890F46">
        <w:rPr>
          <w:lang w:val="en-US"/>
        </w:rPr>
        <w:t>GLAST</w:t>
      </w:r>
      <w:r w:rsidRPr="00890F46">
        <w:rPr>
          <w:vertAlign w:val="superscript"/>
          <w:lang w:val="en-US"/>
        </w:rPr>
        <w:t>-</w:t>
      </w:r>
      <w:r w:rsidRPr="00890F46">
        <w:rPr>
          <w:lang w:val="en-US"/>
        </w:rPr>
        <w:t xml:space="preserve"> (orange)</w:t>
      </w:r>
      <w:r>
        <w:rPr>
          <w:lang w:val="en-US"/>
        </w:rPr>
        <w:t xml:space="preserve"> populations.</w:t>
      </w:r>
      <w:r w:rsidRPr="00890F46">
        <w:rPr>
          <w:lang w:val="en-US"/>
        </w:rPr>
        <w:t xml:space="preserve"> </w:t>
      </w:r>
      <w:r>
        <w:rPr>
          <w:lang w:val="en-US"/>
        </w:rPr>
        <w:t>Unsorted cells were used as control to calculate the Log2(</w:t>
      </w:r>
      <w:proofErr w:type="spellStart"/>
      <w:r>
        <w:rPr>
          <w:lang w:val="en-US"/>
        </w:rPr>
        <w:t>FoldChange</w:t>
      </w:r>
      <w:proofErr w:type="spellEnd"/>
      <w:r>
        <w:rPr>
          <w:lang w:val="en-US"/>
        </w:rPr>
        <w:t>) (</w:t>
      </w:r>
      <w:r w:rsidR="005200BC">
        <w:rPr>
          <w:lang w:val="en-US"/>
        </w:rPr>
        <w:t>bars</w:t>
      </w:r>
      <w:r w:rsidRPr="00890F46">
        <w:rPr>
          <w:lang w:val="en-US"/>
        </w:rPr>
        <w:t xml:space="preserve"> </w:t>
      </w:r>
      <w:r>
        <w:rPr>
          <w:lang w:val="en-US"/>
        </w:rPr>
        <w:t>=</w:t>
      </w:r>
      <w:r w:rsidRPr="00890F46">
        <w:rPr>
          <w:lang w:val="en-US"/>
        </w:rPr>
        <w:t xml:space="preserve"> mean</w:t>
      </w:r>
      <w:r>
        <w:rPr>
          <w:lang w:val="en-US"/>
        </w:rPr>
        <w:t xml:space="preserve">, </w:t>
      </w:r>
      <w:r w:rsidRPr="00890F46">
        <w:rPr>
          <w:color w:val="000000"/>
          <w:szCs w:val="21"/>
          <w:lang w:val="en-US"/>
        </w:rPr>
        <w:t>dot</w:t>
      </w:r>
      <w:r>
        <w:rPr>
          <w:color w:val="000000"/>
          <w:szCs w:val="21"/>
          <w:lang w:val="en-US"/>
        </w:rPr>
        <w:t>s</w:t>
      </w:r>
      <w:r w:rsidRPr="00890F46">
        <w:rPr>
          <w:color w:val="000000"/>
          <w:szCs w:val="21"/>
          <w:lang w:val="en-US"/>
        </w:rPr>
        <w:t xml:space="preserve"> </w:t>
      </w:r>
      <w:r>
        <w:rPr>
          <w:color w:val="000000"/>
          <w:szCs w:val="21"/>
          <w:lang w:val="en-US"/>
        </w:rPr>
        <w:t xml:space="preserve">= </w:t>
      </w:r>
      <w:r w:rsidRPr="00890F46">
        <w:rPr>
          <w:color w:val="000000"/>
          <w:szCs w:val="21"/>
          <w:lang w:val="en-US"/>
        </w:rPr>
        <w:t>n</w:t>
      </w:r>
      <w:r>
        <w:rPr>
          <w:color w:val="000000"/>
          <w:szCs w:val="21"/>
          <w:lang w:val="en-US"/>
        </w:rPr>
        <w:t xml:space="preserve"> </w:t>
      </w:r>
      <w:r w:rsidRPr="00890F46">
        <w:rPr>
          <w:color w:val="000000"/>
          <w:szCs w:val="21"/>
          <w:lang w:val="en-US"/>
        </w:rPr>
        <w:t>=</w:t>
      </w:r>
      <w:r>
        <w:rPr>
          <w:color w:val="000000"/>
          <w:szCs w:val="21"/>
          <w:lang w:val="en-US"/>
        </w:rPr>
        <w:t xml:space="preserve"> </w:t>
      </w:r>
      <w:r w:rsidRPr="00890F46">
        <w:rPr>
          <w:color w:val="000000"/>
          <w:szCs w:val="21"/>
          <w:lang w:val="en-US"/>
        </w:rPr>
        <w:t>3) (* p&lt;0,05</w:t>
      </w:r>
      <w:r>
        <w:rPr>
          <w:color w:val="000000"/>
          <w:szCs w:val="21"/>
          <w:lang w:val="en-US"/>
        </w:rPr>
        <w:t xml:space="preserve">, </w:t>
      </w:r>
      <w:r w:rsidRPr="00890F46">
        <w:rPr>
          <w:color w:val="000000"/>
          <w:szCs w:val="21"/>
          <w:lang w:val="en-US"/>
        </w:rPr>
        <w:t>multiple Student test</w:t>
      </w:r>
      <w:r>
        <w:rPr>
          <w:color w:val="000000"/>
          <w:szCs w:val="21"/>
          <w:lang w:val="en-US"/>
        </w:rPr>
        <w:t>)</w:t>
      </w:r>
      <w:r w:rsidRPr="00890F46">
        <w:rPr>
          <w:color w:val="000000"/>
          <w:szCs w:val="21"/>
          <w:lang w:val="en-US"/>
        </w:rPr>
        <w:t xml:space="preserve"> (B) </w:t>
      </w:r>
      <w:r w:rsidRPr="00890F46">
        <w:rPr>
          <w:lang w:val="en-US"/>
        </w:rPr>
        <w:t>GSEA analysis</w:t>
      </w:r>
      <w:r>
        <w:rPr>
          <w:lang w:val="en-US"/>
        </w:rPr>
        <w:t xml:space="preserve"> of RNA sequencing comparing </w:t>
      </w:r>
      <w:r w:rsidRPr="00890F46">
        <w:rPr>
          <w:lang w:val="en-US"/>
        </w:rPr>
        <w:t>CD44</w:t>
      </w:r>
      <w:r w:rsidRPr="00890F46">
        <w:rPr>
          <w:vertAlign w:val="superscript"/>
          <w:lang w:val="en-US"/>
        </w:rPr>
        <w:t>+</w:t>
      </w:r>
      <w:r w:rsidRPr="00890F46">
        <w:rPr>
          <w:lang w:val="en-US"/>
        </w:rPr>
        <w:t>GLAST</w:t>
      </w:r>
      <w:r w:rsidRPr="00890F46">
        <w:rPr>
          <w:vertAlign w:val="superscript"/>
          <w:lang w:val="en-US"/>
        </w:rPr>
        <w:t>+</w:t>
      </w:r>
      <w:r>
        <w:rPr>
          <w:vertAlign w:val="superscript"/>
          <w:lang w:val="en-US"/>
        </w:rPr>
        <w:t xml:space="preserve"> </w:t>
      </w:r>
      <w:r>
        <w:rPr>
          <w:lang w:val="en-US"/>
        </w:rPr>
        <w:t xml:space="preserve">versus </w:t>
      </w:r>
      <w:r w:rsidRPr="00890F46">
        <w:rPr>
          <w:lang w:val="en-US"/>
        </w:rPr>
        <w:t>CD44</w:t>
      </w:r>
      <w:r w:rsidRPr="00890F46">
        <w:rPr>
          <w:vertAlign w:val="superscript"/>
          <w:lang w:val="en-US"/>
        </w:rPr>
        <w:t>-</w:t>
      </w:r>
      <w:r w:rsidRPr="00890F46">
        <w:rPr>
          <w:lang w:val="en-US"/>
        </w:rPr>
        <w:t>GLAST</w:t>
      </w:r>
      <w:r w:rsidRPr="00890F46">
        <w:rPr>
          <w:vertAlign w:val="superscript"/>
          <w:lang w:val="en-US"/>
        </w:rPr>
        <w:t>-</w:t>
      </w:r>
      <w:r w:rsidRPr="00890F46">
        <w:rPr>
          <w:lang w:val="en-US"/>
        </w:rPr>
        <w:t xml:space="preserve"> </w:t>
      </w:r>
      <w:r>
        <w:rPr>
          <w:lang w:val="en-US"/>
        </w:rPr>
        <w:t>populations</w:t>
      </w:r>
      <w:r w:rsidRPr="00890F46">
        <w:rPr>
          <w:lang w:val="en-US"/>
        </w:rPr>
        <w:t xml:space="preserve"> show</w:t>
      </w:r>
      <w:r>
        <w:rPr>
          <w:lang w:val="en-US"/>
        </w:rPr>
        <w:t>s</w:t>
      </w:r>
      <w:r w:rsidRPr="00890F46">
        <w:rPr>
          <w:lang w:val="en-US"/>
        </w:rPr>
        <w:t xml:space="preserve"> enrichment of astrocyte</w:t>
      </w:r>
      <w:r>
        <w:rPr>
          <w:lang w:val="en-US"/>
        </w:rPr>
        <w:t xml:space="preserve"> signatures</w:t>
      </w:r>
      <w:r w:rsidRPr="00017840">
        <w:rPr>
          <w:lang w:val="en-US"/>
        </w:rPr>
        <w:t xml:space="preserve"> </w:t>
      </w:r>
      <w:r w:rsidRPr="00890F46">
        <w:rPr>
          <w:lang w:val="en-US"/>
        </w:rPr>
        <w:t>in CD44</w:t>
      </w:r>
      <w:r w:rsidRPr="00890F46">
        <w:rPr>
          <w:vertAlign w:val="superscript"/>
          <w:lang w:val="en-US"/>
        </w:rPr>
        <w:t>+</w:t>
      </w:r>
      <w:r w:rsidRPr="00890F46">
        <w:rPr>
          <w:lang w:val="en-US"/>
        </w:rPr>
        <w:t>GLAST</w:t>
      </w:r>
      <w:r w:rsidRPr="00890F46">
        <w:rPr>
          <w:vertAlign w:val="superscript"/>
          <w:lang w:val="en-US"/>
        </w:rPr>
        <w:t>+</w:t>
      </w:r>
      <w:r>
        <w:rPr>
          <w:vertAlign w:val="superscript"/>
          <w:lang w:val="en-US"/>
        </w:rPr>
        <w:t xml:space="preserve"> </w:t>
      </w:r>
      <w:r>
        <w:rPr>
          <w:lang w:val="en-US"/>
        </w:rPr>
        <w:t>cells</w:t>
      </w:r>
      <w:r w:rsidRPr="00890F46">
        <w:rPr>
          <w:lang w:val="en-US"/>
        </w:rPr>
        <w:t xml:space="preserve">, </w:t>
      </w:r>
      <w:r>
        <w:rPr>
          <w:lang w:val="en-US"/>
        </w:rPr>
        <w:t xml:space="preserve">and </w:t>
      </w:r>
      <w:r w:rsidRPr="00890F46">
        <w:rPr>
          <w:lang w:val="en-US"/>
        </w:rPr>
        <w:t>OPC and NPC metaprogram signatures</w:t>
      </w:r>
      <w:r>
        <w:rPr>
          <w:lang w:val="en-US"/>
        </w:rPr>
        <w:t xml:space="preserve"> in</w:t>
      </w:r>
      <w:r w:rsidRPr="00890F46">
        <w:rPr>
          <w:lang w:val="en-US"/>
        </w:rPr>
        <w:t xml:space="preserve"> CD44</w:t>
      </w:r>
      <w:r w:rsidRPr="00890F46">
        <w:rPr>
          <w:vertAlign w:val="superscript"/>
          <w:lang w:val="en-US"/>
        </w:rPr>
        <w:t>-</w:t>
      </w:r>
      <w:r w:rsidRPr="00890F46">
        <w:rPr>
          <w:lang w:val="en-US"/>
        </w:rPr>
        <w:t>GLAST</w:t>
      </w:r>
      <w:r w:rsidRPr="00890F46">
        <w:rPr>
          <w:vertAlign w:val="superscript"/>
          <w:lang w:val="en-US"/>
        </w:rPr>
        <w:t>-</w:t>
      </w:r>
      <w:r w:rsidRPr="00890F46">
        <w:rPr>
          <w:lang w:val="en-US"/>
        </w:rPr>
        <w:t xml:space="preserve"> </w:t>
      </w:r>
      <w:r>
        <w:rPr>
          <w:lang w:val="en-US"/>
        </w:rPr>
        <w:t xml:space="preserve">cells </w:t>
      </w:r>
      <w:r w:rsidRPr="00890F46">
        <w:rPr>
          <w:lang w:val="en-US"/>
        </w:rPr>
        <w:t>(n=3</w:t>
      </w:r>
      <w:r>
        <w:rPr>
          <w:lang w:val="en-US"/>
        </w:rPr>
        <w:t>)</w:t>
      </w:r>
      <w:r w:rsidRPr="00890F46">
        <w:rPr>
          <w:lang w:val="en-US"/>
        </w:rPr>
        <w:t xml:space="preserve">. NES = Normalized Enrichment Score, FDR = False Discovery Rate. </w:t>
      </w:r>
      <w:bookmarkStart w:id="0" w:name="_Hlk217911116"/>
      <w:proofErr w:type="spellStart"/>
      <w:r w:rsidRPr="00890F46">
        <w:rPr>
          <w:lang w:val="en-US"/>
        </w:rPr>
        <w:t>P.value</w:t>
      </w:r>
      <w:proofErr w:type="spellEnd"/>
      <w:r w:rsidRPr="00890F46">
        <w:rPr>
          <w:lang w:val="en-US"/>
        </w:rPr>
        <w:t xml:space="preserve"> has been calculated using the </w:t>
      </w:r>
      <w:proofErr w:type="spellStart"/>
      <w:r w:rsidRPr="00890F46">
        <w:rPr>
          <w:lang w:val="en-US"/>
        </w:rPr>
        <w:t>Benjamini</w:t>
      </w:r>
      <w:proofErr w:type="spellEnd"/>
      <w:r w:rsidRPr="00890F46">
        <w:rPr>
          <w:lang w:val="en-US"/>
        </w:rPr>
        <w:t>-Hochberg method.</w:t>
      </w:r>
    </w:p>
    <w:bookmarkEnd w:id="0"/>
    <w:p w14:paraId="4F090E0C" w14:textId="77777777" w:rsidR="00BA0C1E" w:rsidRDefault="00BA0C1E" w:rsidP="00BA0C1E">
      <w:pPr>
        <w:pStyle w:val="Sansinterligne"/>
        <w:suppressLineNumbers/>
      </w:pPr>
    </w:p>
    <w:p w14:paraId="35C9D969" w14:textId="77777777" w:rsidR="005B7978" w:rsidRDefault="00BA0C1E" w:rsidP="005B7978">
      <w:pPr>
        <w:pStyle w:val="Sansinterligne"/>
        <w:suppressLineNumbers/>
        <w:rPr>
          <w:lang w:val="en-US"/>
        </w:rPr>
      </w:pPr>
      <w:r w:rsidRPr="00890F46">
        <w:rPr>
          <w:b/>
          <w:bCs/>
          <w:lang w:val="en-US"/>
        </w:rPr>
        <w:t xml:space="preserve">Figure S7: Proteomic analysis of </w:t>
      </w:r>
      <w:r w:rsidR="005B7978">
        <w:rPr>
          <w:b/>
          <w:bCs/>
          <w:color w:val="000000"/>
        </w:rPr>
        <w:t>of astrocyte-like and oligodendrocyte-like states</w:t>
      </w:r>
      <w:r w:rsidR="005B7978" w:rsidRPr="00890F46">
        <w:rPr>
          <w:lang w:val="en-US"/>
        </w:rPr>
        <w:t xml:space="preserve"> </w:t>
      </w:r>
    </w:p>
    <w:p w14:paraId="48308790" w14:textId="71671A4B" w:rsidR="00BA0C1E" w:rsidRPr="009412F5" w:rsidRDefault="00BA0C1E" w:rsidP="00BA0C1E">
      <w:pPr>
        <w:pStyle w:val="Sansinterligne"/>
        <w:suppressLineNumbers/>
      </w:pPr>
      <w:r w:rsidRPr="00890F46">
        <w:rPr>
          <w:lang w:val="en-US"/>
        </w:rPr>
        <w:t>(A) 1D enrichment and fisher analyses in CD44</w:t>
      </w:r>
      <w:r w:rsidRPr="00890F46">
        <w:rPr>
          <w:vertAlign w:val="superscript"/>
          <w:lang w:val="en-US"/>
        </w:rPr>
        <w:t>+</w:t>
      </w:r>
      <w:r w:rsidRPr="00890F46">
        <w:rPr>
          <w:lang w:val="en-US"/>
        </w:rPr>
        <w:t>GLAST</w:t>
      </w:r>
      <w:r w:rsidRPr="00890F46">
        <w:rPr>
          <w:vertAlign w:val="superscript"/>
          <w:lang w:val="en-US"/>
        </w:rPr>
        <w:t>+</w:t>
      </w:r>
      <w:r w:rsidRPr="00890F46">
        <w:rPr>
          <w:lang w:val="en-US"/>
        </w:rPr>
        <w:t xml:space="preserve"> versus CD44</w:t>
      </w:r>
      <w:r w:rsidRPr="00890F46">
        <w:rPr>
          <w:vertAlign w:val="superscript"/>
          <w:lang w:val="en-US"/>
        </w:rPr>
        <w:t>-</w:t>
      </w:r>
      <w:r w:rsidRPr="00890F46">
        <w:rPr>
          <w:lang w:val="en-US"/>
        </w:rPr>
        <w:t>GLAST</w:t>
      </w:r>
      <w:r w:rsidRPr="00890F46">
        <w:rPr>
          <w:vertAlign w:val="superscript"/>
          <w:lang w:val="en-US"/>
        </w:rPr>
        <w:t>-</w:t>
      </w:r>
      <w:r w:rsidRPr="00890F46">
        <w:rPr>
          <w:lang w:val="en-US"/>
        </w:rPr>
        <w:t xml:space="preserve"> cells (n=3). </w:t>
      </w:r>
      <w:r w:rsidR="005200BC">
        <w:rPr>
          <w:lang w:val="en-US"/>
        </w:rPr>
        <w:t>Bars</w:t>
      </w:r>
      <w:r w:rsidRPr="00890F46">
        <w:rPr>
          <w:lang w:val="en-US"/>
        </w:rPr>
        <w:t xml:space="preserve"> represent the median enrichment. All signaling pathways are significant a </w:t>
      </w:r>
      <w:proofErr w:type="spellStart"/>
      <w:r w:rsidRPr="00890F46">
        <w:rPr>
          <w:lang w:val="en-US"/>
        </w:rPr>
        <w:t>p.value</w:t>
      </w:r>
      <w:proofErr w:type="spellEnd"/>
      <w:r w:rsidRPr="00890F46">
        <w:rPr>
          <w:lang w:val="en-US"/>
        </w:rPr>
        <w:t xml:space="preserve"> &lt;0,01 as determined by a </w:t>
      </w:r>
      <w:r w:rsidR="005B7978">
        <w:rPr>
          <w:color w:val="000000"/>
        </w:rPr>
        <w:t xml:space="preserve">Fisher’s exact test </w:t>
      </w:r>
      <w:r w:rsidRPr="00890F46">
        <w:rPr>
          <w:lang w:val="en-US"/>
        </w:rPr>
        <w:t xml:space="preserve">(B) </w:t>
      </w:r>
      <w:r w:rsidR="005B7978">
        <w:rPr>
          <w:color w:val="000000"/>
        </w:rPr>
        <w:t xml:space="preserve">Volcano plots showing proteins differentially expressed between CD44⁺GLAST⁺ and CD44⁻GLAST⁻ cells, focusing on markers associated with quiescent NSC1/NSC2 and active NSC phenotypes. </w:t>
      </w:r>
      <w:proofErr w:type="spellStart"/>
      <w:r w:rsidR="005B7978">
        <w:rPr>
          <w:color w:val="000000"/>
        </w:rPr>
        <w:t>Colored</w:t>
      </w:r>
      <w:proofErr w:type="spellEnd"/>
      <w:r w:rsidR="005B7978">
        <w:rPr>
          <w:color w:val="000000"/>
        </w:rPr>
        <w:t xml:space="preserve"> dots indicate significantly differentially expressed proteins (Student’s </w:t>
      </w:r>
      <w:r w:rsidR="005B7978">
        <w:rPr>
          <w:i/>
          <w:iCs/>
          <w:color w:val="000000"/>
        </w:rPr>
        <w:t>t</w:t>
      </w:r>
      <w:r w:rsidR="005B7978">
        <w:rPr>
          <w:color w:val="000000"/>
        </w:rPr>
        <w:t>-test with permutation-based FDR correction; FDR = 0.05, s₀ = 0.1), with purple indicating proteins enriched in CD44⁺GLAST⁺ cells and orange indicating proteins enriched in CD44⁻GLAST⁻ cells. Black dots represent non-significant proteins.</w:t>
      </w:r>
    </w:p>
    <w:p w14:paraId="023D51CB" w14:textId="77777777" w:rsidR="00E85AAE" w:rsidRDefault="00E85AAE" w:rsidP="00E85AAE">
      <w:pPr>
        <w:pStyle w:val="Sansinterligne"/>
        <w:suppressLineNumbers/>
      </w:pPr>
    </w:p>
    <w:p w14:paraId="1BCC5989" w14:textId="77777777" w:rsidR="005B7978" w:rsidRDefault="00BA0C1E" w:rsidP="00BA0C1E">
      <w:pPr>
        <w:pStyle w:val="Sansinterligne"/>
        <w:suppressLineNumbers/>
        <w:rPr>
          <w:szCs w:val="24"/>
        </w:rPr>
      </w:pPr>
      <w:r w:rsidRPr="00890F46">
        <w:rPr>
          <w:b/>
          <w:bCs/>
          <w:lang w:val="en-US"/>
        </w:rPr>
        <w:t xml:space="preserve">Figure S8: </w:t>
      </w:r>
      <w:r w:rsidR="005B7978">
        <w:rPr>
          <w:b/>
          <w:bCs/>
          <w:color w:val="000000"/>
        </w:rPr>
        <w:t>Astrocyte-like cells display plasticity and can transition toward an oligodendrocyte/NPC-like state in the presence of growth factors</w:t>
      </w:r>
      <w:r w:rsidR="005B7978" w:rsidRPr="00B06916">
        <w:rPr>
          <w:szCs w:val="24"/>
        </w:rPr>
        <w:t xml:space="preserve"> </w:t>
      </w:r>
    </w:p>
    <w:p w14:paraId="4FC1DBA1" w14:textId="3E9EDB6E" w:rsidR="00BA0C1E" w:rsidRDefault="005B7978" w:rsidP="00BA0C1E">
      <w:pPr>
        <w:pStyle w:val="Sansinterligne"/>
        <w:suppressLineNumbers/>
      </w:pPr>
      <w:r>
        <w:rPr>
          <w:color w:val="000000"/>
        </w:rPr>
        <w:t>(A, B) IF analysis of APOE and OLIG2 expression in (A) FACS-sorted CD44</w:t>
      </w:r>
      <w:r>
        <w:rPr>
          <w:color w:val="000000"/>
          <w:sz w:val="14"/>
          <w:szCs w:val="14"/>
          <w:vertAlign w:val="superscript"/>
        </w:rPr>
        <w:t>+</w:t>
      </w:r>
      <w:r>
        <w:rPr>
          <w:color w:val="000000"/>
        </w:rPr>
        <w:t>GLAST</w:t>
      </w:r>
      <w:r>
        <w:rPr>
          <w:color w:val="000000"/>
          <w:sz w:val="14"/>
          <w:szCs w:val="14"/>
          <w:vertAlign w:val="superscript"/>
        </w:rPr>
        <w:t>+</w:t>
      </w:r>
      <w:r>
        <w:rPr>
          <w:color w:val="000000"/>
        </w:rPr>
        <w:t> and (B) CD44</w:t>
      </w:r>
      <w:r>
        <w:rPr>
          <w:color w:val="000000"/>
          <w:sz w:val="14"/>
          <w:szCs w:val="14"/>
          <w:vertAlign w:val="superscript"/>
        </w:rPr>
        <w:t>-</w:t>
      </w:r>
      <w:r>
        <w:rPr>
          <w:color w:val="000000"/>
        </w:rPr>
        <w:t>GLAST</w:t>
      </w:r>
      <w:r>
        <w:rPr>
          <w:color w:val="000000"/>
          <w:sz w:val="14"/>
          <w:szCs w:val="14"/>
          <w:vertAlign w:val="superscript"/>
        </w:rPr>
        <w:t>-</w:t>
      </w:r>
      <w:r>
        <w:rPr>
          <w:color w:val="000000"/>
        </w:rPr>
        <w:t> LGG275 cells grown with GF. Representative images were acquired at days 1, 6, 18, and 30 post-sorting, identifying astrocyte-like (APOE⁺OLIG2⁻; purple arrows) and oligodendrocyte/NPC-like (APOE⁻OLIG2⁺; orange arrows) cells. scale bar = 20µm. Right panels: quantification of each phenotype as a percentage of Hoechst⁺ nuclei;</w:t>
      </w:r>
      <w:r>
        <w:rPr>
          <w:szCs w:val="24"/>
        </w:rPr>
        <w:t xml:space="preserve"> </w:t>
      </w:r>
      <w:r w:rsidR="00BA0C1E">
        <w:rPr>
          <w:szCs w:val="24"/>
        </w:rPr>
        <w:t>(dots on curve =</w:t>
      </w:r>
      <w:r w:rsidR="00BA0C1E" w:rsidRPr="00B06916">
        <w:rPr>
          <w:szCs w:val="24"/>
        </w:rPr>
        <w:t xml:space="preserve"> mean ± S.E.M</w:t>
      </w:r>
      <w:r w:rsidR="00BA0C1E">
        <w:rPr>
          <w:szCs w:val="24"/>
        </w:rPr>
        <w:t>, n=3)</w:t>
      </w:r>
    </w:p>
    <w:p w14:paraId="551D65F6" w14:textId="77777777" w:rsidR="00E85AAE" w:rsidRDefault="00E85AAE" w:rsidP="00E85AAE">
      <w:pPr>
        <w:pStyle w:val="Sansinterligne"/>
        <w:suppressLineNumbers/>
      </w:pPr>
    </w:p>
    <w:p w14:paraId="5D0BB4B2" w14:textId="77777777" w:rsidR="005B7978" w:rsidRDefault="00BA0C1E" w:rsidP="005B7978">
      <w:pPr>
        <w:pStyle w:val="Sansinterligne"/>
        <w:suppressLineNumbers/>
        <w:rPr>
          <w:lang w:val="en-US"/>
        </w:rPr>
      </w:pPr>
      <w:r w:rsidRPr="006474A6">
        <w:rPr>
          <w:b/>
          <w:bCs/>
          <w:lang w:val="en-US"/>
        </w:rPr>
        <w:t xml:space="preserve">Figure S9: </w:t>
      </w:r>
      <w:r w:rsidR="005B7978">
        <w:rPr>
          <w:b/>
          <w:bCs/>
          <w:color w:val="000000"/>
        </w:rPr>
        <w:t>DLL3 expression and overexpression in LGG275 cells</w:t>
      </w:r>
      <w:r w:rsidR="005B7978" w:rsidRPr="00890F46">
        <w:rPr>
          <w:lang w:val="en-US"/>
        </w:rPr>
        <w:t xml:space="preserve"> </w:t>
      </w:r>
    </w:p>
    <w:p w14:paraId="29DB1BFE" w14:textId="1BBDC6C7" w:rsidR="005B7978" w:rsidRPr="00B918F2" w:rsidRDefault="00BA0C1E" w:rsidP="005B7978">
      <w:pPr>
        <w:pStyle w:val="NormalWeb"/>
        <w:spacing w:before="0" w:beforeAutospacing="0" w:after="0" w:afterAutospacing="0"/>
        <w:jc w:val="both"/>
        <w:rPr>
          <w:lang w:val="en-US"/>
        </w:rPr>
      </w:pPr>
      <w:r w:rsidRPr="00890F46">
        <w:rPr>
          <w:lang w:val="en-US"/>
        </w:rPr>
        <w:lastRenderedPageBreak/>
        <w:t xml:space="preserve">(A) </w:t>
      </w:r>
      <w:r w:rsidR="005B7978" w:rsidRPr="00B918F2">
        <w:rPr>
          <w:color w:val="000000"/>
          <w:lang w:val="en-US"/>
        </w:rPr>
        <w:t xml:space="preserve">IF analysis of OLIG2 (green), DLL3 (magenta), and KI67 (yellow) in LGG275 cells cultured with growth factors (GF) or after GF withdrawal (no GF). Images illustrate DLL3 expression in both oligodendrocyte/NPC-like (OLIG2⁺) and OLIG2⁻ populations, as well as KI67 </w:t>
      </w:r>
      <w:r w:rsidR="00F466BC" w:rsidRPr="00B918F2">
        <w:rPr>
          <w:color w:val="000000"/>
          <w:lang w:val="en-US"/>
        </w:rPr>
        <w:t>labelling</w:t>
      </w:r>
      <w:r w:rsidR="005B7978" w:rsidRPr="00B918F2">
        <w:rPr>
          <w:color w:val="000000"/>
          <w:lang w:val="en-US"/>
        </w:rPr>
        <w:t xml:space="preserve"> among DLL3⁺ cells. </w:t>
      </w:r>
      <w:r w:rsidR="005B7978" w:rsidRPr="005B7978">
        <w:rPr>
          <w:color w:val="000000"/>
          <w:lang w:val="en-US"/>
        </w:rPr>
        <w:t>Scale bar, 50 µm. Right panels: quantification of OLIG2/DLL3 and KI67/DLL3 subpopulations</w:t>
      </w:r>
      <w:r w:rsidR="005200BC">
        <w:rPr>
          <w:lang w:val="en-US"/>
        </w:rPr>
        <w:t xml:space="preserve"> </w:t>
      </w:r>
      <w:r>
        <w:rPr>
          <w:lang w:val="en-US"/>
        </w:rPr>
        <w:t xml:space="preserve">as % of </w:t>
      </w:r>
      <w:proofErr w:type="spellStart"/>
      <w:r w:rsidR="00787E34" w:rsidRPr="00B06916">
        <w:rPr>
          <w:lang w:val="en-US"/>
        </w:rPr>
        <w:t>Hœchst</w:t>
      </w:r>
      <w:proofErr w:type="spellEnd"/>
      <w:r w:rsidR="00787E34" w:rsidRPr="0020036F">
        <w:rPr>
          <w:vertAlign w:val="superscript"/>
          <w:lang w:val="en-US"/>
        </w:rPr>
        <w:t xml:space="preserve"> </w:t>
      </w:r>
      <w:r w:rsidRPr="0020036F">
        <w:rPr>
          <w:vertAlign w:val="superscript"/>
          <w:lang w:val="en-US"/>
        </w:rPr>
        <w:t>+</w:t>
      </w:r>
      <w:r>
        <w:rPr>
          <w:lang w:val="en-US"/>
        </w:rPr>
        <w:t xml:space="preserve"> cells </w:t>
      </w:r>
      <w:r w:rsidRPr="00890F46">
        <w:rPr>
          <w:lang w:val="en-US"/>
        </w:rPr>
        <w:t>(n=1</w:t>
      </w:r>
      <w:r>
        <w:rPr>
          <w:lang w:val="en-US"/>
        </w:rPr>
        <w:t>, count = 500 cells</w:t>
      </w:r>
      <w:r w:rsidRPr="00890F46">
        <w:rPr>
          <w:lang w:val="en-US"/>
        </w:rPr>
        <w:t>) (</w:t>
      </w:r>
      <w:proofErr w:type="gramStart"/>
      <w:r w:rsidRPr="00890F46">
        <w:rPr>
          <w:lang w:val="en-US"/>
        </w:rPr>
        <w:t xml:space="preserve">B) </w:t>
      </w:r>
      <w:r w:rsidR="005B7978" w:rsidRPr="005B7978">
        <w:rPr>
          <w:color w:val="000000"/>
          <w:lang w:val="en-US"/>
        </w:rPr>
        <w:t> </w:t>
      </w:r>
      <w:proofErr w:type="spellStart"/>
      <w:r w:rsidR="005B7978" w:rsidRPr="005B7978">
        <w:rPr>
          <w:color w:val="000000"/>
          <w:lang w:val="en-US"/>
        </w:rPr>
        <w:t>scVelo</w:t>
      </w:r>
      <w:proofErr w:type="spellEnd"/>
      <w:proofErr w:type="gramEnd"/>
      <w:r w:rsidR="005B7978" w:rsidRPr="005B7978">
        <w:rPr>
          <w:color w:val="000000"/>
          <w:lang w:val="en-US"/>
        </w:rPr>
        <w:t xml:space="preserve"> embedding of single-cell RNA-seq data from LGG275 cells cultured with growth factors (GF) or after GF withdrawal (no GF), showing DLL3 expression across annotated cell states (astrocyte-like, oligodendrocyte-like, NPC-like, and unknown). DLL3 expression is enriched in, and largely restricted to, the oligodendrocyte-like population</w:t>
      </w:r>
      <w:r w:rsidR="005B7978">
        <w:rPr>
          <w:color w:val="000000"/>
          <w:lang w:val="en-US"/>
        </w:rPr>
        <w:t xml:space="preserve"> </w:t>
      </w:r>
      <w:r w:rsidRPr="00890F46">
        <w:rPr>
          <w:lang w:val="en-US"/>
        </w:rPr>
        <w:t xml:space="preserve">(C) </w:t>
      </w:r>
      <w:r>
        <w:rPr>
          <w:lang w:val="en-US"/>
        </w:rPr>
        <w:t xml:space="preserve">IF analysis of </w:t>
      </w:r>
      <w:r w:rsidRPr="00890F46">
        <w:rPr>
          <w:lang w:val="en-US"/>
        </w:rPr>
        <w:t>P27 and DLL3</w:t>
      </w:r>
      <w:r>
        <w:rPr>
          <w:lang w:val="en-US"/>
        </w:rPr>
        <w:t xml:space="preserve"> </w:t>
      </w:r>
      <w:r w:rsidRPr="00890F46">
        <w:rPr>
          <w:lang w:val="en-US"/>
        </w:rPr>
        <w:t>expressio</w:t>
      </w:r>
      <w:r>
        <w:rPr>
          <w:lang w:val="en-US"/>
        </w:rPr>
        <w:t>n</w:t>
      </w:r>
      <w:r w:rsidRPr="00890F46">
        <w:rPr>
          <w:lang w:val="en-US"/>
        </w:rPr>
        <w:t xml:space="preserve"> </w:t>
      </w:r>
      <w:r>
        <w:rPr>
          <w:lang w:val="en-US"/>
        </w:rPr>
        <w:t xml:space="preserve">in LGG275 </w:t>
      </w:r>
      <w:r w:rsidR="005B7978" w:rsidRPr="005B7978">
        <w:rPr>
          <w:color w:val="000000"/>
          <w:lang w:val="en-US"/>
        </w:rPr>
        <w:t>cells grown</w:t>
      </w:r>
      <w:r>
        <w:rPr>
          <w:lang w:val="en-US"/>
        </w:rPr>
        <w:t xml:space="preserve"> with or without GF,</w:t>
      </w:r>
      <w:r w:rsidRPr="00890F46">
        <w:rPr>
          <w:lang w:val="en-US"/>
        </w:rPr>
        <w:t xml:space="preserve"> showing DLL3</w:t>
      </w:r>
      <w:r w:rsidRPr="00890F46">
        <w:rPr>
          <w:vertAlign w:val="superscript"/>
          <w:lang w:val="en-US"/>
        </w:rPr>
        <w:t>+</w:t>
      </w:r>
      <w:r w:rsidRPr="00890F46">
        <w:rPr>
          <w:lang w:val="en-US"/>
        </w:rPr>
        <w:t xml:space="preserve"> quiescent (P27</w:t>
      </w:r>
      <w:r w:rsidRPr="00890F46">
        <w:rPr>
          <w:vertAlign w:val="superscript"/>
          <w:lang w:val="en-US"/>
        </w:rPr>
        <w:t>+</w:t>
      </w:r>
      <w:r w:rsidRPr="00890F46">
        <w:rPr>
          <w:lang w:val="en-US"/>
        </w:rPr>
        <w:t>) or non-quiescent (P27</w:t>
      </w:r>
      <w:r w:rsidRPr="00890F46">
        <w:rPr>
          <w:vertAlign w:val="superscript"/>
          <w:lang w:val="en-US"/>
        </w:rPr>
        <w:t>-</w:t>
      </w:r>
      <w:r w:rsidRPr="00890F46">
        <w:rPr>
          <w:lang w:val="en-US"/>
        </w:rPr>
        <w:t>) cells</w:t>
      </w:r>
      <w:r>
        <w:rPr>
          <w:lang w:val="en-US"/>
        </w:rPr>
        <w:t xml:space="preserve">, scale bar = 50µm. Right panel: </w:t>
      </w:r>
      <w:proofErr w:type="spellStart"/>
      <w:r w:rsidR="005200BC">
        <w:rPr>
          <w:lang w:val="en-US"/>
        </w:rPr>
        <w:t>Barplot</w:t>
      </w:r>
      <w:proofErr w:type="spellEnd"/>
      <w:r w:rsidR="005200BC">
        <w:rPr>
          <w:lang w:val="en-US"/>
        </w:rPr>
        <w:t xml:space="preserve"> show</w:t>
      </w:r>
      <w:r w:rsidR="00F8566F">
        <w:rPr>
          <w:lang w:val="en-US"/>
        </w:rPr>
        <w:t>s</w:t>
      </w:r>
      <w:r w:rsidR="005200BC">
        <w:rPr>
          <w:lang w:val="en-US"/>
        </w:rPr>
        <w:t xml:space="preserve"> quantification</w:t>
      </w:r>
      <w:r>
        <w:rPr>
          <w:lang w:val="en-US"/>
        </w:rPr>
        <w:t xml:space="preserve"> as % of </w:t>
      </w:r>
      <w:proofErr w:type="spellStart"/>
      <w:r w:rsidR="00787E34" w:rsidRPr="00B06916">
        <w:rPr>
          <w:lang w:val="en-US"/>
        </w:rPr>
        <w:t>Hœchst</w:t>
      </w:r>
      <w:proofErr w:type="spellEnd"/>
      <w:r w:rsidR="00787E34" w:rsidRPr="005E4445">
        <w:rPr>
          <w:vertAlign w:val="superscript"/>
          <w:lang w:val="en-US"/>
        </w:rPr>
        <w:t xml:space="preserve"> </w:t>
      </w:r>
      <w:r w:rsidRPr="005E4445">
        <w:rPr>
          <w:vertAlign w:val="superscript"/>
          <w:lang w:val="en-US"/>
        </w:rPr>
        <w:t>+</w:t>
      </w:r>
      <w:r>
        <w:rPr>
          <w:lang w:val="en-US"/>
        </w:rPr>
        <w:t xml:space="preserve"> cells</w:t>
      </w:r>
      <w:r w:rsidRPr="00890F46">
        <w:rPr>
          <w:lang w:val="en-US"/>
        </w:rPr>
        <w:t xml:space="preserve"> (n=1</w:t>
      </w:r>
      <w:r>
        <w:rPr>
          <w:lang w:val="en-US"/>
        </w:rPr>
        <w:t>, count = 500 cells</w:t>
      </w:r>
      <w:r w:rsidRPr="00890F46">
        <w:rPr>
          <w:lang w:val="en-US"/>
        </w:rPr>
        <w:t xml:space="preserve">) (D) </w:t>
      </w:r>
      <w:r w:rsidR="005B7978" w:rsidRPr="005B7978">
        <w:rPr>
          <w:color w:val="000000"/>
          <w:lang w:val="en-US"/>
        </w:rPr>
        <w:t>Volcano plot of differentially expressed genes comparing DLL3-overexpressing cells versus control (CTL). significantly upregulated genes in DLL3 are highlighted in orange and genes upregulated in CTL in black</w:t>
      </w:r>
      <w:r w:rsidR="005B7978">
        <w:rPr>
          <w:color w:val="000000"/>
          <w:lang w:val="en-US"/>
        </w:rPr>
        <w:t xml:space="preserve"> (n=3)</w:t>
      </w:r>
      <w:r w:rsidRPr="00890F46">
        <w:rPr>
          <w:lang w:val="en-US"/>
        </w:rPr>
        <w:t xml:space="preserve"> (E) </w:t>
      </w:r>
      <w:r w:rsidR="005B7978" w:rsidRPr="005B7978">
        <w:rPr>
          <w:color w:val="000000"/>
          <w:lang w:val="en-US"/>
        </w:rPr>
        <w:t>Heatmap showing log</w:t>
      </w:r>
      <w:r w:rsidR="005B7978" w:rsidRPr="005B7978">
        <w:rPr>
          <w:rFonts w:ascii="Cambria Math" w:hAnsi="Cambria Math"/>
          <w:color w:val="000000"/>
          <w:lang w:val="en-US"/>
        </w:rPr>
        <w:t>2</w:t>
      </w:r>
      <w:r w:rsidR="005B7978" w:rsidRPr="005B7978">
        <w:rPr>
          <w:color w:val="000000"/>
          <w:lang w:val="en-US"/>
        </w:rPr>
        <w:t>(</w:t>
      </w:r>
      <w:r w:rsidR="005B7978">
        <w:rPr>
          <w:color w:val="000000"/>
          <w:lang w:val="en-US"/>
        </w:rPr>
        <w:t>F</w:t>
      </w:r>
      <w:r w:rsidR="005B7978" w:rsidRPr="005B7978">
        <w:rPr>
          <w:color w:val="000000"/>
          <w:lang w:val="en-US"/>
        </w:rPr>
        <w:t>old change) in the expression of selected proliferation-associated genes in DLL3-overexpressing cells relative to control (DLL3 vs Ctrl)</w:t>
      </w:r>
      <w:r w:rsidR="005B7978" w:rsidRPr="00890F46">
        <w:rPr>
          <w:lang w:val="en-US"/>
        </w:rPr>
        <w:t xml:space="preserve"> </w:t>
      </w:r>
      <w:r w:rsidRPr="00890F46">
        <w:rPr>
          <w:lang w:val="en-US"/>
        </w:rPr>
        <w:t xml:space="preserve">(F) </w:t>
      </w:r>
      <w:r w:rsidR="005B7978" w:rsidRPr="005B7978">
        <w:rPr>
          <w:color w:val="000000"/>
          <w:lang w:val="en-US"/>
        </w:rPr>
        <w:t>Heatmap showing log</w:t>
      </w:r>
      <w:r w:rsidR="005B7978" w:rsidRPr="005B7978">
        <w:rPr>
          <w:rFonts w:ascii="Cambria Math" w:hAnsi="Cambria Math"/>
          <w:color w:val="000000"/>
          <w:lang w:val="en-US"/>
        </w:rPr>
        <w:t>2</w:t>
      </w:r>
      <w:r w:rsidR="005B7978" w:rsidRPr="005B7978">
        <w:rPr>
          <w:color w:val="000000"/>
          <w:lang w:val="en-US"/>
        </w:rPr>
        <w:t>(</w:t>
      </w:r>
      <w:r w:rsidR="005B7978">
        <w:rPr>
          <w:color w:val="000000"/>
          <w:lang w:val="en-US"/>
        </w:rPr>
        <w:t>F</w:t>
      </w:r>
      <w:r w:rsidR="005B7978" w:rsidRPr="005B7978">
        <w:rPr>
          <w:color w:val="000000"/>
          <w:lang w:val="en-US"/>
        </w:rPr>
        <w:t>old change) in the expression of selected oligodendrocyte-lineage, stemness, and astrocyte markers in DLL3-overexpressing cells relative to control (DLL3 vs Ctrl)</w:t>
      </w:r>
      <w:r>
        <w:rPr>
          <w:lang w:val="en-US"/>
        </w:rPr>
        <w:t xml:space="preserve">. </w:t>
      </w:r>
      <w:r w:rsidR="005B7978" w:rsidRPr="005B7978">
        <w:rPr>
          <w:color w:val="000000"/>
          <w:lang w:val="en-US"/>
        </w:rPr>
        <w:t> All genes shown are significantly differentially expressed (P &lt; 0.05), except those labeled “ns” (not significant)</w:t>
      </w:r>
      <w:r w:rsidR="005B7978" w:rsidRPr="00890F46">
        <w:rPr>
          <w:lang w:val="en-US"/>
        </w:rPr>
        <w:t xml:space="preserve"> </w:t>
      </w:r>
      <w:r w:rsidRPr="00890F46">
        <w:rPr>
          <w:lang w:val="en-US"/>
        </w:rPr>
        <w:t xml:space="preserve">(G) </w:t>
      </w:r>
      <w:proofErr w:type="spellStart"/>
      <w:r w:rsidRPr="00890F46">
        <w:rPr>
          <w:lang w:val="en-US"/>
        </w:rPr>
        <w:t>Cytoscape</w:t>
      </w:r>
      <w:proofErr w:type="spellEnd"/>
      <w:r w:rsidRPr="00890F46">
        <w:rPr>
          <w:lang w:val="en-US"/>
        </w:rPr>
        <w:t xml:space="preserve"> visualization of enrichment signaling pathways between DLL3 overexpression vs </w:t>
      </w:r>
      <w:r>
        <w:rPr>
          <w:lang w:val="en-US"/>
        </w:rPr>
        <w:t>Ctr</w:t>
      </w:r>
      <w:r w:rsidRPr="00890F46">
        <w:rPr>
          <w:lang w:val="en-US"/>
        </w:rPr>
        <w:t xml:space="preserve">l. </w:t>
      </w:r>
      <w:proofErr w:type="spellStart"/>
      <w:r w:rsidRPr="00890F46">
        <w:rPr>
          <w:lang w:val="en-US"/>
        </w:rPr>
        <w:t>P.value</w:t>
      </w:r>
      <w:proofErr w:type="spellEnd"/>
      <w:r>
        <w:rPr>
          <w:lang w:val="en-US"/>
        </w:rPr>
        <w:t>&lt;</w:t>
      </w:r>
      <w:r w:rsidRPr="00890F46">
        <w:rPr>
          <w:lang w:val="en-US"/>
        </w:rPr>
        <w:t xml:space="preserve">0.05 and FDR </w:t>
      </w:r>
      <w:proofErr w:type="spellStart"/>
      <w:r w:rsidRPr="00890F46">
        <w:rPr>
          <w:lang w:val="en-US"/>
        </w:rPr>
        <w:t>q.value</w:t>
      </w:r>
      <w:proofErr w:type="spellEnd"/>
      <w:r w:rsidRPr="00890F46">
        <w:rPr>
          <w:lang w:val="en-US"/>
        </w:rPr>
        <w:t xml:space="preserve"> &lt; 0.25 as </w:t>
      </w:r>
      <w:r w:rsidR="0095245C" w:rsidRPr="00890F46">
        <w:rPr>
          <w:lang w:val="en-US"/>
        </w:rPr>
        <w:t>determinate</w:t>
      </w:r>
      <w:r w:rsidRPr="00890F46">
        <w:rPr>
          <w:lang w:val="en-US"/>
        </w:rPr>
        <w:t xml:space="preserve"> by the </w:t>
      </w:r>
      <w:proofErr w:type="spellStart"/>
      <w:r w:rsidRPr="00890F46">
        <w:rPr>
          <w:lang w:val="en-US"/>
        </w:rPr>
        <w:t>Benjamini</w:t>
      </w:r>
      <w:proofErr w:type="spellEnd"/>
      <w:r w:rsidRPr="00890F46">
        <w:rPr>
          <w:lang w:val="en-US"/>
        </w:rPr>
        <w:t>-Hochberg method (n=3)</w:t>
      </w:r>
      <w:r w:rsidR="005B7978">
        <w:rPr>
          <w:lang w:val="en-US"/>
        </w:rPr>
        <w:t xml:space="preserve">, </w:t>
      </w:r>
      <w:r w:rsidR="005B7978" w:rsidRPr="005B7978">
        <w:rPr>
          <w:color w:val="000000"/>
          <w:lang w:val="en-US"/>
        </w:rPr>
        <w:t xml:space="preserve">with node size proportional to gene set size and node color intensity reflecting the magnitude of enrichment. </w:t>
      </w:r>
      <w:r w:rsidR="005B7978" w:rsidRPr="00B918F2">
        <w:rPr>
          <w:color w:val="000000"/>
          <w:lang w:val="en-US"/>
        </w:rPr>
        <w:t>Edges indicate gene overlap between gene sets (n = 3).</w:t>
      </w:r>
    </w:p>
    <w:p w14:paraId="0E2F39C4" w14:textId="55CDAABA" w:rsidR="00BA0C1E" w:rsidRPr="00890F46" w:rsidRDefault="00BA0C1E" w:rsidP="005B7978">
      <w:pPr>
        <w:pStyle w:val="NormalWeb"/>
        <w:shd w:val="clear" w:color="auto" w:fill="FFFFFF"/>
        <w:spacing w:before="0" w:beforeAutospacing="0" w:after="0" w:afterAutospacing="0"/>
        <w:jc w:val="both"/>
        <w:rPr>
          <w:lang w:val="en-US"/>
        </w:rPr>
      </w:pPr>
    </w:p>
    <w:p w14:paraId="4159C6E1" w14:textId="77777777" w:rsidR="00E85AAE" w:rsidRDefault="00E85AAE" w:rsidP="00E85AAE">
      <w:pPr>
        <w:pStyle w:val="Sansinterligne"/>
        <w:suppressLineNumbers/>
      </w:pPr>
    </w:p>
    <w:p w14:paraId="74B62F88" w14:textId="77777777" w:rsidR="00BA0C1E" w:rsidRPr="00890F46" w:rsidRDefault="00BA0C1E" w:rsidP="00BA0C1E">
      <w:pPr>
        <w:pStyle w:val="Sansinterligne"/>
        <w:suppressLineNumbers/>
        <w:rPr>
          <w:b/>
          <w:bCs/>
          <w:lang w:val="en-US"/>
        </w:rPr>
      </w:pPr>
      <w:r w:rsidRPr="00890F46">
        <w:rPr>
          <w:b/>
          <w:bCs/>
          <w:lang w:val="en-US"/>
        </w:rPr>
        <w:t>Figure S10: DLL3 overexpression leads a decrease of “astrocyte-like” GFAP</w:t>
      </w:r>
      <w:r w:rsidRPr="00890F46">
        <w:rPr>
          <w:b/>
          <w:bCs/>
          <w:vertAlign w:val="superscript"/>
          <w:lang w:val="en-US"/>
        </w:rPr>
        <w:t>+</w:t>
      </w:r>
      <w:r w:rsidRPr="00890F46">
        <w:rPr>
          <w:b/>
          <w:bCs/>
          <w:lang w:val="en-US"/>
        </w:rPr>
        <w:t xml:space="preserve"> in LGG336 cell lines</w:t>
      </w:r>
    </w:p>
    <w:p w14:paraId="4EDF07C7" w14:textId="5A7F7245" w:rsidR="00E85AAE" w:rsidRDefault="00BA0C1E" w:rsidP="00E85AAE">
      <w:pPr>
        <w:pStyle w:val="Sansinterligne"/>
        <w:suppressLineNumbers/>
      </w:pPr>
      <w:r w:rsidRPr="00890F46">
        <w:rPr>
          <w:lang w:val="en-US"/>
        </w:rPr>
        <w:t xml:space="preserve">(A) </w:t>
      </w:r>
      <w:r w:rsidR="005B7978">
        <w:rPr>
          <w:color w:val="000000"/>
        </w:rPr>
        <w:t xml:space="preserve">IF analysis of DLL3 (magenta) and KI67 (yellow) in the LGG336 cell line transduced with a GFP–DLL3 lentiviral vector and cultured with growth factors (GF). Representative images show DLL3⁺ cells (white arrows) and mitotic KI67⁺ cells (yellow arrows) in the DLL3-overexpression and Ctrl condition. </w:t>
      </w:r>
      <w:r>
        <w:rPr>
          <w:lang w:val="en-US"/>
        </w:rPr>
        <w:t xml:space="preserve">Right panel: </w:t>
      </w:r>
      <w:proofErr w:type="spellStart"/>
      <w:r w:rsidR="005200BC">
        <w:rPr>
          <w:lang w:val="en-US"/>
        </w:rPr>
        <w:t>Barplot</w:t>
      </w:r>
      <w:proofErr w:type="spellEnd"/>
      <w:r w:rsidR="005200BC">
        <w:rPr>
          <w:lang w:val="en-US"/>
        </w:rPr>
        <w:t xml:space="preserve"> show</w:t>
      </w:r>
      <w:r w:rsidR="00F8566F">
        <w:rPr>
          <w:lang w:val="en-US"/>
        </w:rPr>
        <w:t>s</w:t>
      </w:r>
      <w:r w:rsidR="005200BC">
        <w:rPr>
          <w:lang w:val="en-US"/>
        </w:rPr>
        <w:t xml:space="preserve"> quantification </w:t>
      </w:r>
      <w:r>
        <w:rPr>
          <w:lang w:val="en-US"/>
        </w:rPr>
        <w:t xml:space="preserve">as % of </w:t>
      </w:r>
      <w:proofErr w:type="spellStart"/>
      <w:r w:rsidR="00787E34" w:rsidRPr="00B06916">
        <w:rPr>
          <w:rFonts w:cs="Times New Roman"/>
          <w:szCs w:val="24"/>
          <w:lang w:val="en-US"/>
        </w:rPr>
        <w:t>Hœchst</w:t>
      </w:r>
      <w:proofErr w:type="spellEnd"/>
      <w:r w:rsidRPr="005E4445">
        <w:rPr>
          <w:vertAlign w:val="superscript"/>
          <w:lang w:val="en-US"/>
        </w:rPr>
        <w:t>+</w:t>
      </w:r>
      <w:r>
        <w:rPr>
          <w:lang w:val="en-US"/>
        </w:rPr>
        <w:t xml:space="preserve"> cells (</w:t>
      </w:r>
      <w:r w:rsidR="005200BC">
        <w:rPr>
          <w:lang w:val="en-US"/>
        </w:rPr>
        <w:t>bars</w:t>
      </w:r>
      <w:r>
        <w:rPr>
          <w:lang w:val="en-US"/>
        </w:rPr>
        <w:t xml:space="preserve"> = </w:t>
      </w:r>
      <w:r w:rsidRPr="00890F46">
        <w:rPr>
          <w:lang w:val="en-US"/>
        </w:rPr>
        <w:t>mean</w:t>
      </w:r>
      <w:r>
        <w:rPr>
          <w:lang w:val="en-US"/>
        </w:rPr>
        <w:t xml:space="preserve">, </w:t>
      </w:r>
      <w:r w:rsidRPr="00890F46">
        <w:rPr>
          <w:lang w:val="en-US"/>
        </w:rPr>
        <w:t xml:space="preserve">dots </w:t>
      </w:r>
      <w:r>
        <w:rPr>
          <w:lang w:val="en-US"/>
        </w:rPr>
        <w:t xml:space="preserve">= </w:t>
      </w:r>
      <w:r w:rsidRPr="00890F46">
        <w:rPr>
          <w:lang w:val="en-US"/>
        </w:rPr>
        <w:t>n</w:t>
      </w:r>
      <w:r>
        <w:rPr>
          <w:lang w:val="en-US"/>
        </w:rPr>
        <w:t xml:space="preserve"> </w:t>
      </w:r>
      <w:r w:rsidRPr="00890F46">
        <w:rPr>
          <w:lang w:val="en-US"/>
        </w:rPr>
        <w:t>=</w:t>
      </w:r>
      <w:r>
        <w:rPr>
          <w:lang w:val="en-US"/>
        </w:rPr>
        <w:t xml:space="preserve"> </w:t>
      </w:r>
      <w:r w:rsidRPr="00890F46">
        <w:rPr>
          <w:lang w:val="en-US"/>
        </w:rPr>
        <w:t>3)</w:t>
      </w:r>
      <w:r w:rsidRPr="005E4445">
        <w:rPr>
          <w:szCs w:val="24"/>
          <w:lang w:val="en-US"/>
        </w:rPr>
        <w:t xml:space="preserve"> </w:t>
      </w:r>
      <w:r w:rsidRPr="00B06916">
        <w:rPr>
          <w:szCs w:val="24"/>
          <w:lang w:val="en-US"/>
        </w:rPr>
        <w:t>(*p&lt;0.05</w:t>
      </w:r>
      <w:r>
        <w:rPr>
          <w:szCs w:val="24"/>
          <w:lang w:val="en-US"/>
        </w:rPr>
        <w:t>,</w:t>
      </w:r>
      <w:r w:rsidRPr="00B06916">
        <w:rPr>
          <w:szCs w:val="24"/>
          <w:lang w:val="en-US"/>
        </w:rPr>
        <w:t xml:space="preserve"> Dunnett’s multiple comparison test</w:t>
      </w:r>
      <w:r>
        <w:rPr>
          <w:szCs w:val="24"/>
          <w:lang w:val="en-US"/>
        </w:rPr>
        <w:t>)</w:t>
      </w:r>
      <w:r w:rsidRPr="00890F46">
        <w:rPr>
          <w:lang w:val="en-US"/>
        </w:rPr>
        <w:t xml:space="preserve">. (B) </w:t>
      </w:r>
      <w:r w:rsidR="005B7978">
        <w:rPr>
          <w:color w:val="000000"/>
        </w:rPr>
        <w:t> I</w:t>
      </w:r>
      <w:r w:rsidR="00EC5CF3">
        <w:rPr>
          <w:color w:val="000000"/>
        </w:rPr>
        <w:t>F</w:t>
      </w:r>
      <w:r w:rsidR="005B7978">
        <w:rPr>
          <w:color w:val="000000"/>
        </w:rPr>
        <w:t xml:space="preserve"> analysis of GFAP (magenta) in LGG336 cells transduced with a GFP–DLL3 lentiviral vector and cultured with growth factors (GF), comparing control (Ctrl) and DLL3-overexpressing conditions to quantify the astrocyte-like (GFAP⁺) population. Scale bar, 50 µm. Right panel: quantification of </w:t>
      </w:r>
      <w:proofErr w:type="spellStart"/>
      <w:r w:rsidR="005B7978">
        <w:rPr>
          <w:color w:val="000000"/>
        </w:rPr>
        <w:t>GFAP</w:t>
      </w:r>
      <w:r w:rsidR="005B7978">
        <w:rPr>
          <w:rFonts w:ascii="Cambria Math" w:hAnsi="Cambria Math"/>
          <w:color w:val="000000"/>
        </w:rPr>
        <w:t>tot</w:t>
      </w:r>
      <w:proofErr w:type="spellEnd"/>
      <w:r w:rsidR="005B7978">
        <w:rPr>
          <w:color w:val="000000"/>
        </w:rPr>
        <w:t xml:space="preserve"> cells </w:t>
      </w:r>
      <w:r>
        <w:rPr>
          <w:lang w:val="en-US"/>
        </w:rPr>
        <w:t xml:space="preserve">as % of </w:t>
      </w:r>
      <w:proofErr w:type="spellStart"/>
      <w:r w:rsidR="00787E34" w:rsidRPr="00B06916">
        <w:rPr>
          <w:rFonts w:cs="Times New Roman"/>
          <w:szCs w:val="24"/>
          <w:lang w:val="en-US"/>
        </w:rPr>
        <w:t>Hœchst</w:t>
      </w:r>
      <w:proofErr w:type="spellEnd"/>
      <w:r w:rsidRPr="005E4445">
        <w:rPr>
          <w:vertAlign w:val="superscript"/>
          <w:lang w:val="en-US"/>
        </w:rPr>
        <w:t>+</w:t>
      </w:r>
      <w:r>
        <w:rPr>
          <w:lang w:val="en-US"/>
        </w:rPr>
        <w:t xml:space="preserve"> cells (</w:t>
      </w:r>
      <w:r w:rsidR="005200BC">
        <w:rPr>
          <w:lang w:val="en-US"/>
        </w:rPr>
        <w:t>bars</w:t>
      </w:r>
      <w:r>
        <w:rPr>
          <w:lang w:val="en-US"/>
        </w:rPr>
        <w:t xml:space="preserve"> = </w:t>
      </w:r>
      <w:r w:rsidRPr="00890F46">
        <w:rPr>
          <w:lang w:val="en-US"/>
        </w:rPr>
        <w:t>mean</w:t>
      </w:r>
      <w:r>
        <w:rPr>
          <w:lang w:val="en-US"/>
        </w:rPr>
        <w:t xml:space="preserve">, </w:t>
      </w:r>
      <w:r w:rsidRPr="00890F46">
        <w:rPr>
          <w:lang w:val="en-US"/>
        </w:rPr>
        <w:t xml:space="preserve">dots </w:t>
      </w:r>
      <w:r>
        <w:rPr>
          <w:lang w:val="en-US"/>
        </w:rPr>
        <w:t xml:space="preserve">= </w:t>
      </w:r>
      <w:r w:rsidRPr="00890F46">
        <w:rPr>
          <w:lang w:val="en-US"/>
        </w:rPr>
        <w:t>n</w:t>
      </w:r>
      <w:r>
        <w:rPr>
          <w:lang w:val="en-US"/>
        </w:rPr>
        <w:t xml:space="preserve"> </w:t>
      </w:r>
      <w:r w:rsidRPr="00890F46">
        <w:rPr>
          <w:lang w:val="en-US"/>
        </w:rPr>
        <w:t>=</w:t>
      </w:r>
      <w:r>
        <w:rPr>
          <w:lang w:val="en-US"/>
        </w:rPr>
        <w:t xml:space="preserve"> </w:t>
      </w:r>
      <w:r w:rsidRPr="00890F46">
        <w:rPr>
          <w:lang w:val="en-US"/>
        </w:rPr>
        <w:t>3)</w:t>
      </w:r>
      <w:r>
        <w:rPr>
          <w:lang w:val="en-US"/>
        </w:rPr>
        <w:t xml:space="preserve"> </w:t>
      </w:r>
      <w:r w:rsidRPr="00B06916">
        <w:rPr>
          <w:szCs w:val="24"/>
          <w:lang w:val="en-US"/>
        </w:rPr>
        <w:t>(*p&lt;0.05</w:t>
      </w:r>
      <w:r>
        <w:rPr>
          <w:szCs w:val="24"/>
          <w:lang w:val="en-US"/>
        </w:rPr>
        <w:t>,</w:t>
      </w:r>
      <w:r w:rsidRPr="00B06916">
        <w:rPr>
          <w:szCs w:val="24"/>
          <w:lang w:val="en-US"/>
        </w:rPr>
        <w:t xml:space="preserve"> Dunnett’s multiple comparison</w:t>
      </w:r>
      <w:r w:rsidR="005B7978">
        <w:rPr>
          <w:szCs w:val="24"/>
          <w:lang w:val="en-US"/>
        </w:rPr>
        <w:t>)</w:t>
      </w:r>
      <w:r w:rsidR="00787E34">
        <w:rPr>
          <w:szCs w:val="24"/>
          <w:lang w:val="en-US"/>
        </w:rPr>
        <w:t>.</w:t>
      </w:r>
    </w:p>
    <w:p w14:paraId="5D3A2EAA" w14:textId="77777777" w:rsidR="00E85AAE" w:rsidRDefault="00E85AAE" w:rsidP="00E85AAE">
      <w:pPr>
        <w:pStyle w:val="Sansinterligne"/>
        <w:suppressLineNumbers/>
      </w:pPr>
    </w:p>
    <w:p w14:paraId="1C1D13A4" w14:textId="77777777" w:rsidR="00E85AAE" w:rsidRDefault="00E85AAE" w:rsidP="00E85AAE">
      <w:pPr>
        <w:pStyle w:val="Sansinterligne"/>
        <w:suppressLineNumbers/>
      </w:pPr>
    </w:p>
    <w:p w14:paraId="228732ED" w14:textId="77777777" w:rsidR="00E85AAE" w:rsidRDefault="00E85AAE" w:rsidP="00E85AAE">
      <w:pPr>
        <w:pStyle w:val="Sansinterligne"/>
        <w:suppressLineNumbers/>
      </w:pPr>
    </w:p>
    <w:p w14:paraId="37B9785A" w14:textId="77777777" w:rsidR="00E85AAE" w:rsidRDefault="00E85AAE" w:rsidP="00E85AAE">
      <w:pPr>
        <w:pStyle w:val="Sansinterligne"/>
        <w:suppressLineNumbers/>
      </w:pPr>
    </w:p>
    <w:p w14:paraId="614AEEC2" w14:textId="77777777" w:rsidR="00E85AAE" w:rsidRDefault="00E85AAE" w:rsidP="00E85AAE">
      <w:pPr>
        <w:pStyle w:val="Sansinterligne"/>
        <w:suppressLineNumbers/>
      </w:pPr>
    </w:p>
    <w:p w14:paraId="12B66F0E" w14:textId="77777777" w:rsidR="00E85AAE" w:rsidRDefault="00E85AAE" w:rsidP="00E85AAE">
      <w:pPr>
        <w:pStyle w:val="Sansinterligne"/>
        <w:suppressLineNumbers/>
      </w:pPr>
    </w:p>
    <w:p w14:paraId="7BCF391C" w14:textId="77777777" w:rsidR="00E85AAE" w:rsidRDefault="00E85AAE" w:rsidP="00E85AAE">
      <w:pPr>
        <w:pStyle w:val="Sansinterligne"/>
        <w:suppressLineNumbers/>
      </w:pPr>
    </w:p>
    <w:p w14:paraId="57CEDCE2" w14:textId="77777777" w:rsidR="00E85AAE" w:rsidRDefault="00E85AAE" w:rsidP="00E85AAE">
      <w:pPr>
        <w:pStyle w:val="Sansinterligne"/>
        <w:suppressLineNumbers/>
      </w:pPr>
    </w:p>
    <w:p w14:paraId="35FCB1BA" w14:textId="77777777" w:rsidR="00E85AAE" w:rsidRDefault="00E85AAE" w:rsidP="00E85AAE">
      <w:pPr>
        <w:pStyle w:val="Sansinterligne"/>
        <w:suppressLineNumbers/>
      </w:pPr>
    </w:p>
    <w:p w14:paraId="3A3B0E6D" w14:textId="17740E18" w:rsidR="00E85AAE" w:rsidRDefault="00E85AAE" w:rsidP="00E85AAE">
      <w:pPr>
        <w:pStyle w:val="Sansinterligne"/>
        <w:suppressLineNumbers/>
      </w:pPr>
    </w:p>
    <w:p w14:paraId="06A54DFB" w14:textId="77777777" w:rsidR="00E85AAE" w:rsidRDefault="00E85AAE" w:rsidP="00E85AAE">
      <w:pPr>
        <w:pStyle w:val="Sansinterligne"/>
        <w:suppressLineNumbers/>
      </w:pPr>
    </w:p>
    <w:p w14:paraId="08F2CDE8" w14:textId="77777777" w:rsidR="00E85AAE" w:rsidRPr="00890F46" w:rsidRDefault="00E85AAE" w:rsidP="00E85AAE">
      <w:pPr>
        <w:pStyle w:val="Sansinterligne"/>
        <w:suppressLineNumbers/>
        <w:shd w:val="clear" w:color="auto" w:fill="FFFFFF" w:themeFill="background1"/>
        <w:rPr>
          <w:color w:val="000000"/>
          <w:szCs w:val="21"/>
          <w:lang w:val="en-US"/>
        </w:rPr>
      </w:pPr>
    </w:p>
    <w:p w14:paraId="65D1F733" w14:textId="77777777" w:rsidR="00E85AAE" w:rsidRPr="00890F46" w:rsidRDefault="00E85AAE" w:rsidP="00E85AAE">
      <w:pPr>
        <w:pStyle w:val="Sansinterligne"/>
        <w:suppressLineNumbers/>
        <w:shd w:val="clear" w:color="auto" w:fill="FFFFFF" w:themeFill="background1"/>
        <w:rPr>
          <w:color w:val="000000"/>
          <w:szCs w:val="21"/>
          <w:lang w:val="en-US"/>
        </w:rPr>
      </w:pPr>
    </w:p>
    <w:p w14:paraId="43054907" w14:textId="77777777" w:rsidR="00E85AAE" w:rsidRPr="00890F46" w:rsidRDefault="00E85AAE" w:rsidP="00E85AAE">
      <w:pPr>
        <w:pStyle w:val="Sansinterligne"/>
        <w:suppressLineNumbers/>
        <w:shd w:val="clear" w:color="auto" w:fill="FFFFFF" w:themeFill="background1"/>
        <w:rPr>
          <w:color w:val="000000"/>
          <w:szCs w:val="21"/>
          <w:lang w:val="en-US"/>
        </w:rPr>
      </w:pPr>
    </w:p>
    <w:p w14:paraId="3CCF61CB" w14:textId="77777777" w:rsidR="00E85AAE" w:rsidRPr="00890F46" w:rsidRDefault="00E85AAE" w:rsidP="00E85AAE">
      <w:pPr>
        <w:pStyle w:val="Sansinterligne"/>
        <w:suppressLineNumbers/>
        <w:shd w:val="clear" w:color="auto" w:fill="FFFFFF" w:themeFill="background1"/>
        <w:rPr>
          <w:color w:val="000000"/>
          <w:szCs w:val="21"/>
          <w:lang w:val="en-US"/>
        </w:rPr>
      </w:pPr>
    </w:p>
    <w:p w14:paraId="7AE770D3" w14:textId="77777777" w:rsidR="00E85AAE" w:rsidRPr="00890F46" w:rsidRDefault="00E85AAE" w:rsidP="00E85AAE">
      <w:pPr>
        <w:pStyle w:val="Sansinterligne"/>
        <w:suppressLineNumbers/>
        <w:shd w:val="clear" w:color="auto" w:fill="FFFFFF" w:themeFill="background1"/>
        <w:rPr>
          <w:color w:val="000000"/>
          <w:szCs w:val="21"/>
          <w:lang w:val="en-US"/>
        </w:rPr>
      </w:pPr>
    </w:p>
    <w:p w14:paraId="1BE044D1" w14:textId="77777777" w:rsidR="00E85AAE" w:rsidRPr="00890F46" w:rsidRDefault="00E85AAE" w:rsidP="00E85AAE">
      <w:pPr>
        <w:pStyle w:val="Sansinterligne"/>
        <w:suppressLineNumbers/>
        <w:shd w:val="clear" w:color="auto" w:fill="FFFFFF" w:themeFill="background1"/>
        <w:rPr>
          <w:color w:val="000000"/>
          <w:szCs w:val="21"/>
          <w:lang w:val="en-US"/>
        </w:rPr>
      </w:pPr>
    </w:p>
    <w:p w14:paraId="05BCCAA4" w14:textId="77777777" w:rsidR="00E85AAE" w:rsidRPr="00890F46" w:rsidRDefault="00E85AAE" w:rsidP="00E85AAE">
      <w:pPr>
        <w:pStyle w:val="Sansinterligne"/>
        <w:suppressLineNumbers/>
        <w:shd w:val="clear" w:color="auto" w:fill="FFFFFF" w:themeFill="background1"/>
        <w:rPr>
          <w:color w:val="000000"/>
          <w:szCs w:val="21"/>
          <w:lang w:val="en-US"/>
        </w:rPr>
      </w:pPr>
    </w:p>
    <w:p w14:paraId="36B69859" w14:textId="77777777" w:rsidR="00E85AAE" w:rsidRPr="00890F46" w:rsidRDefault="00E85AAE" w:rsidP="00E85AAE">
      <w:pPr>
        <w:pStyle w:val="Sansinterligne"/>
        <w:suppressLineNumbers/>
        <w:shd w:val="clear" w:color="auto" w:fill="FFFFFF" w:themeFill="background1"/>
        <w:rPr>
          <w:color w:val="000000"/>
          <w:szCs w:val="21"/>
          <w:lang w:val="en-US"/>
        </w:rPr>
      </w:pPr>
    </w:p>
    <w:p w14:paraId="15FF4C9A" w14:textId="77777777" w:rsidR="00E85AAE" w:rsidRPr="00890F46" w:rsidRDefault="00E85AAE" w:rsidP="00E85AAE">
      <w:pPr>
        <w:pStyle w:val="Sansinterligne"/>
        <w:suppressLineNumbers/>
        <w:shd w:val="clear" w:color="auto" w:fill="FFFFFF" w:themeFill="background1"/>
        <w:rPr>
          <w:color w:val="000000"/>
          <w:szCs w:val="21"/>
          <w:lang w:val="en-US"/>
        </w:rPr>
      </w:pPr>
    </w:p>
    <w:p w14:paraId="7E2A613F" w14:textId="77777777" w:rsidR="00E85AAE" w:rsidRPr="00890F46" w:rsidRDefault="00E85AAE" w:rsidP="00E85AAE">
      <w:pPr>
        <w:pStyle w:val="Sansinterligne"/>
        <w:suppressLineNumbers/>
        <w:shd w:val="clear" w:color="auto" w:fill="FFFFFF" w:themeFill="background1"/>
        <w:rPr>
          <w:color w:val="000000"/>
          <w:szCs w:val="21"/>
          <w:lang w:val="en-US"/>
        </w:rPr>
      </w:pPr>
    </w:p>
    <w:p w14:paraId="3AE19BA8" w14:textId="77777777" w:rsidR="00E85AAE" w:rsidRPr="00890F46" w:rsidRDefault="00E85AAE" w:rsidP="00E85AAE">
      <w:pPr>
        <w:pStyle w:val="Sansinterligne"/>
        <w:suppressLineNumbers/>
        <w:shd w:val="clear" w:color="auto" w:fill="FFFFFF" w:themeFill="background1"/>
        <w:rPr>
          <w:color w:val="000000"/>
          <w:szCs w:val="21"/>
          <w:lang w:val="en-US"/>
        </w:rPr>
      </w:pPr>
    </w:p>
    <w:p w14:paraId="7C1D59EA" w14:textId="77777777" w:rsidR="00E85AAE" w:rsidRPr="00890F46" w:rsidRDefault="00E85AAE" w:rsidP="00E85AAE">
      <w:pPr>
        <w:pStyle w:val="Sansinterligne"/>
        <w:suppressLineNumbers/>
        <w:shd w:val="clear" w:color="auto" w:fill="FFFFFF" w:themeFill="background1"/>
        <w:rPr>
          <w:color w:val="000000"/>
          <w:szCs w:val="21"/>
          <w:lang w:val="en-US"/>
        </w:rPr>
      </w:pPr>
    </w:p>
    <w:p w14:paraId="0D0F56B4" w14:textId="77777777" w:rsidR="00E85AAE" w:rsidRPr="00890F46" w:rsidRDefault="00E85AAE" w:rsidP="00E85AAE">
      <w:pPr>
        <w:pStyle w:val="Sansinterligne"/>
        <w:suppressLineNumbers/>
        <w:shd w:val="clear" w:color="auto" w:fill="FFFFFF" w:themeFill="background1"/>
        <w:rPr>
          <w:color w:val="000000"/>
          <w:szCs w:val="21"/>
          <w:lang w:val="en-US"/>
        </w:rPr>
      </w:pPr>
    </w:p>
    <w:p w14:paraId="207DF210" w14:textId="77777777" w:rsidR="00E85AAE" w:rsidRPr="00890F46" w:rsidRDefault="00E85AAE" w:rsidP="00E85AAE">
      <w:pPr>
        <w:pStyle w:val="Sansinterligne"/>
        <w:suppressLineNumbers/>
        <w:shd w:val="clear" w:color="auto" w:fill="FFFFFF" w:themeFill="background1"/>
        <w:rPr>
          <w:color w:val="000000"/>
          <w:szCs w:val="21"/>
          <w:lang w:val="en-US"/>
        </w:rPr>
      </w:pPr>
    </w:p>
    <w:p w14:paraId="1ABC0BE8" w14:textId="77777777" w:rsidR="00E85AAE" w:rsidRPr="00890F46" w:rsidRDefault="00E85AAE" w:rsidP="00E85AAE">
      <w:pPr>
        <w:pStyle w:val="Sansinterligne"/>
        <w:suppressLineNumbers/>
        <w:shd w:val="clear" w:color="auto" w:fill="FFFFFF" w:themeFill="background1"/>
        <w:rPr>
          <w:color w:val="000000"/>
          <w:szCs w:val="21"/>
          <w:lang w:val="en-US"/>
        </w:rPr>
      </w:pPr>
    </w:p>
    <w:p w14:paraId="3B2190AF" w14:textId="77777777" w:rsidR="00E85AAE" w:rsidRPr="00890F46" w:rsidRDefault="00E85AAE" w:rsidP="00E85AAE">
      <w:pPr>
        <w:pStyle w:val="Sansinterligne"/>
        <w:suppressLineNumbers/>
        <w:shd w:val="clear" w:color="auto" w:fill="FFFFFF" w:themeFill="background1"/>
        <w:rPr>
          <w:color w:val="000000"/>
          <w:szCs w:val="21"/>
          <w:lang w:val="en-US"/>
        </w:rPr>
      </w:pPr>
    </w:p>
    <w:p w14:paraId="11B85568" w14:textId="77777777" w:rsidR="00E85AAE" w:rsidRPr="00890F46" w:rsidRDefault="00E85AAE" w:rsidP="00E85AAE">
      <w:pPr>
        <w:pStyle w:val="Sansinterligne"/>
        <w:suppressLineNumbers/>
        <w:shd w:val="clear" w:color="auto" w:fill="FFFFFF" w:themeFill="background1"/>
        <w:rPr>
          <w:color w:val="000000"/>
          <w:szCs w:val="21"/>
          <w:lang w:val="en-US"/>
        </w:rPr>
      </w:pPr>
    </w:p>
    <w:p w14:paraId="67B1235D" w14:textId="77777777" w:rsidR="00E85AAE" w:rsidRPr="00890F46" w:rsidRDefault="00E85AAE" w:rsidP="00E85AAE">
      <w:pPr>
        <w:pStyle w:val="Sansinterligne"/>
        <w:suppressLineNumbers/>
        <w:shd w:val="clear" w:color="auto" w:fill="FFFFFF" w:themeFill="background1"/>
        <w:rPr>
          <w:color w:val="000000"/>
          <w:szCs w:val="21"/>
          <w:lang w:val="en-US"/>
        </w:rPr>
      </w:pPr>
    </w:p>
    <w:p w14:paraId="11A6838D" w14:textId="77777777" w:rsidR="00E85AAE" w:rsidRPr="00890F46" w:rsidRDefault="00E85AAE" w:rsidP="00E85AAE">
      <w:pPr>
        <w:pStyle w:val="Sansinterligne"/>
        <w:suppressLineNumbers/>
        <w:shd w:val="clear" w:color="auto" w:fill="FFFFFF" w:themeFill="background1"/>
        <w:rPr>
          <w:color w:val="000000"/>
          <w:szCs w:val="21"/>
          <w:lang w:val="en-US"/>
        </w:rPr>
      </w:pPr>
    </w:p>
    <w:p w14:paraId="3C1166C1" w14:textId="77777777" w:rsidR="00E85AAE" w:rsidRPr="00890F46" w:rsidRDefault="00E85AAE" w:rsidP="00E85AAE">
      <w:pPr>
        <w:pStyle w:val="Sansinterligne"/>
        <w:suppressLineNumbers/>
        <w:shd w:val="clear" w:color="auto" w:fill="FFFFFF" w:themeFill="background1"/>
        <w:rPr>
          <w:color w:val="000000"/>
          <w:szCs w:val="21"/>
          <w:lang w:val="en-US"/>
        </w:rPr>
      </w:pPr>
    </w:p>
    <w:p w14:paraId="029FCC3D" w14:textId="77777777" w:rsidR="00E85AAE" w:rsidRPr="00890F46" w:rsidRDefault="00E85AAE" w:rsidP="00E85AAE">
      <w:pPr>
        <w:pStyle w:val="Sansinterligne"/>
        <w:suppressLineNumbers/>
        <w:shd w:val="clear" w:color="auto" w:fill="FFFFFF" w:themeFill="background1"/>
        <w:rPr>
          <w:color w:val="000000"/>
          <w:szCs w:val="21"/>
          <w:lang w:val="en-US"/>
        </w:rPr>
      </w:pPr>
    </w:p>
    <w:p w14:paraId="476AF6A2" w14:textId="77777777" w:rsidR="00E85AAE" w:rsidRPr="00890F46" w:rsidRDefault="00E85AAE" w:rsidP="00E85AAE">
      <w:pPr>
        <w:pStyle w:val="Sansinterligne"/>
        <w:suppressLineNumbers/>
        <w:shd w:val="clear" w:color="auto" w:fill="FFFFFF" w:themeFill="background1"/>
        <w:rPr>
          <w:color w:val="000000"/>
          <w:szCs w:val="21"/>
          <w:lang w:val="en-US"/>
        </w:rPr>
      </w:pPr>
    </w:p>
    <w:p w14:paraId="6D8480B7" w14:textId="77777777" w:rsidR="00E85AAE" w:rsidRPr="00890F46" w:rsidRDefault="00E85AAE" w:rsidP="00E85AAE">
      <w:pPr>
        <w:pStyle w:val="Sansinterligne"/>
        <w:suppressLineNumbers/>
        <w:shd w:val="clear" w:color="auto" w:fill="FFFFFF" w:themeFill="background1"/>
        <w:rPr>
          <w:color w:val="000000"/>
          <w:szCs w:val="21"/>
          <w:lang w:val="en-US"/>
        </w:rPr>
      </w:pPr>
    </w:p>
    <w:p w14:paraId="0F4AD17D" w14:textId="77777777" w:rsidR="00E85AAE" w:rsidRPr="00890F46" w:rsidRDefault="00E85AAE" w:rsidP="00E85AAE">
      <w:pPr>
        <w:pStyle w:val="Sansinterligne"/>
        <w:suppressLineNumbers/>
        <w:shd w:val="clear" w:color="auto" w:fill="FFFFFF" w:themeFill="background1"/>
        <w:rPr>
          <w:color w:val="000000"/>
          <w:szCs w:val="21"/>
          <w:lang w:val="en-US"/>
        </w:rPr>
      </w:pPr>
    </w:p>
    <w:p w14:paraId="02A0E4C3" w14:textId="379D0EB3" w:rsidR="00AD500B" w:rsidRPr="004A490E" w:rsidRDefault="00AD500B" w:rsidP="00BA0C1E">
      <w:pPr>
        <w:ind w:firstLine="0"/>
        <w:rPr>
          <w:rFonts w:eastAsiaTheme="minorHAnsi"/>
          <w:b/>
          <w:bCs/>
        </w:rPr>
      </w:pPr>
      <w:r w:rsidRPr="004A490E">
        <w:rPr>
          <w:rFonts w:eastAsiaTheme="minorHAnsi"/>
          <w:b/>
          <w:bCs/>
        </w:rPr>
        <w:t>Supplemental Material and methods</w:t>
      </w:r>
    </w:p>
    <w:p w14:paraId="7174B30D" w14:textId="77777777" w:rsidR="00AD500B" w:rsidRPr="004D15C4" w:rsidRDefault="00AD500B" w:rsidP="00AD500B">
      <w:pPr>
        <w:rPr>
          <w:b/>
          <w:bCs/>
          <w:lang w:val="en-US"/>
        </w:rPr>
      </w:pPr>
      <w:r w:rsidRPr="004D15C4">
        <w:rPr>
          <w:b/>
          <w:bCs/>
          <w:lang w:val="en-US"/>
        </w:rPr>
        <w:t>Whole Exome Sequencing</w:t>
      </w:r>
    </w:p>
    <w:p w14:paraId="2505EBFE" w14:textId="46E435A1" w:rsidR="00AD500B" w:rsidRDefault="00AD500B" w:rsidP="00AD500B">
      <w:pPr>
        <w:rPr>
          <w:lang w:val="en-US"/>
        </w:rPr>
      </w:pPr>
      <w:r w:rsidRPr="004D15C4">
        <w:rPr>
          <w:lang w:val="en-US"/>
        </w:rPr>
        <w:t>DNA extraction from the four astrocytoma cell lines was performed using</w:t>
      </w:r>
      <w:r>
        <w:rPr>
          <w:lang w:val="en-US"/>
        </w:rPr>
        <w:t xml:space="preserve"> Wizard Genomic DNA Purification kit. </w:t>
      </w:r>
      <w:r w:rsidRPr="004D15C4">
        <w:rPr>
          <w:lang w:val="en-US"/>
        </w:rPr>
        <w:t xml:space="preserve">DNA extracts were then sent to the </w:t>
      </w:r>
      <w:r>
        <w:rPr>
          <w:lang w:val="en-US"/>
        </w:rPr>
        <w:t xml:space="preserve">DNBSEQ </w:t>
      </w:r>
      <w:r w:rsidRPr="004D15C4">
        <w:rPr>
          <w:lang w:val="en-US"/>
        </w:rPr>
        <w:t>BGI platform for sequencing. BGI supervised all procedures, including sample preparation, sequencing, and bioinformatics analyses.</w:t>
      </w:r>
      <w:r>
        <w:rPr>
          <w:lang w:val="en-US"/>
        </w:rPr>
        <w:t xml:space="preserve"> Raw data were cleaned using </w:t>
      </w:r>
      <w:proofErr w:type="spellStart"/>
      <w:r>
        <w:rPr>
          <w:lang w:val="en-US"/>
        </w:rPr>
        <w:t>SOAPnuke</w:t>
      </w:r>
      <w:proofErr w:type="spellEnd"/>
      <w:r>
        <w:rPr>
          <w:lang w:val="en-US"/>
        </w:rPr>
        <w:t xml:space="preserve"> filter. Clean </w:t>
      </w:r>
      <w:proofErr w:type="spellStart"/>
      <w:r>
        <w:rPr>
          <w:lang w:val="en-US"/>
        </w:rPr>
        <w:t>datas</w:t>
      </w:r>
      <w:proofErr w:type="spellEnd"/>
      <w:r>
        <w:rPr>
          <w:lang w:val="en-US"/>
        </w:rPr>
        <w:t xml:space="preserve"> were then aligned using the human reference genome </w:t>
      </w:r>
      <w:r w:rsidRPr="004D15C4">
        <w:rPr>
          <w:lang w:val="en-US"/>
        </w:rPr>
        <w:t>GRCh38-p13</w:t>
      </w:r>
      <w:r>
        <w:rPr>
          <w:lang w:val="en-US"/>
        </w:rPr>
        <w:t>, Burrows-Wheeler Aligner (BWA V0.7.17 -</w:t>
      </w:r>
      <w:r w:rsidRPr="002C1192">
        <w:t xml:space="preserve"> </w:t>
      </w:r>
      <w:r w:rsidRPr="002C1192">
        <w:rPr>
          <w:lang w:val="en-US"/>
        </w:rPr>
        <w:t>http://bio-bwa.sourceforge.net/</w:t>
      </w:r>
      <w:r>
        <w:rPr>
          <w:lang w:val="en-US"/>
        </w:rPr>
        <w:t xml:space="preserve">) and BWA-MEM method. Duplicate reads were removed using GATK </w:t>
      </w:r>
      <w:proofErr w:type="spellStart"/>
      <w:r>
        <w:rPr>
          <w:lang w:val="en-US"/>
        </w:rPr>
        <w:t>MarkDuplicates</w:t>
      </w:r>
      <w:proofErr w:type="spellEnd"/>
      <w:r>
        <w:rPr>
          <w:lang w:val="en-US"/>
        </w:rPr>
        <w:t xml:space="preserve"> tool (v4.1.4.1, </w:t>
      </w:r>
      <w:r w:rsidRPr="00B37D0E">
        <w:rPr>
          <w:lang w:val="en-US"/>
        </w:rPr>
        <w:t>https://gatk.broadinstitute.org/hc/en-us/articles/360037225972-MarkDuplicate</w:t>
      </w:r>
      <w:r>
        <w:rPr>
          <w:lang w:val="en-US"/>
        </w:rPr>
        <w:t xml:space="preserve">s). Base quality values have been improved using GATK </w:t>
      </w:r>
      <w:proofErr w:type="spellStart"/>
      <w:r>
        <w:rPr>
          <w:lang w:val="en-US"/>
        </w:rPr>
        <w:t>BaseRecalibrator</w:t>
      </w:r>
      <w:proofErr w:type="spellEnd"/>
      <w:r>
        <w:rPr>
          <w:lang w:val="en-US"/>
        </w:rPr>
        <w:t xml:space="preserve"> (v4.1.4.1,</w:t>
      </w:r>
      <w:r w:rsidRPr="000579DF">
        <w:t xml:space="preserve"> </w:t>
      </w:r>
      <w:r w:rsidRPr="000579DF">
        <w:rPr>
          <w:lang w:val="en-US"/>
        </w:rPr>
        <w:t>https://gatk.broadinstitute.org/hc/en-us/articles/360037593511-BaseRecalibrator</w:t>
      </w:r>
      <w:r>
        <w:rPr>
          <w:lang w:val="en-US"/>
        </w:rPr>
        <w:t xml:space="preserve">) and GATK </w:t>
      </w:r>
      <w:proofErr w:type="spellStart"/>
      <w:r>
        <w:rPr>
          <w:lang w:val="en-US"/>
        </w:rPr>
        <w:t>ApplyBQSR</w:t>
      </w:r>
      <w:proofErr w:type="spellEnd"/>
      <w:r>
        <w:rPr>
          <w:lang w:val="en-US"/>
        </w:rPr>
        <w:t xml:space="preserve"> (v4.1.4.1, </w:t>
      </w:r>
      <w:r w:rsidRPr="00F853BE">
        <w:rPr>
          <w:lang w:val="en-US"/>
        </w:rPr>
        <w:t>http://bio-bwa.sourceforge.net/</w:t>
      </w:r>
      <w:r>
        <w:rPr>
          <w:lang w:val="en-US"/>
        </w:rPr>
        <w:t xml:space="preserve">) </w:t>
      </w:r>
      <w:proofErr w:type="spellStart"/>
      <w:r>
        <w:rPr>
          <w:lang w:val="en-US"/>
        </w:rPr>
        <w:t>softwares</w:t>
      </w:r>
      <w:proofErr w:type="spellEnd"/>
      <w:r>
        <w:rPr>
          <w:lang w:val="en-US"/>
        </w:rPr>
        <w:t xml:space="preserve">. </w:t>
      </w:r>
      <w:r w:rsidRPr="004D15C4">
        <w:rPr>
          <w:lang w:val="en-US"/>
        </w:rPr>
        <w:t xml:space="preserve">To detect known mutations </w:t>
      </w:r>
      <w:r>
        <w:rPr>
          <w:lang w:val="en-US"/>
        </w:rPr>
        <w:t xml:space="preserve">and SNP </w:t>
      </w:r>
      <w:r w:rsidRPr="004D15C4">
        <w:rPr>
          <w:lang w:val="en-US"/>
        </w:rPr>
        <w:t xml:space="preserve">in each cell line, we used </w:t>
      </w:r>
      <w:proofErr w:type="spellStart"/>
      <w:r w:rsidRPr="004D15C4">
        <w:rPr>
          <w:lang w:val="en-US"/>
        </w:rPr>
        <w:t>VarDecrypt</w:t>
      </w:r>
      <w:proofErr w:type="spellEnd"/>
      <w:r w:rsidRPr="004D15C4">
        <w:rPr>
          <w:lang w:val="en-US"/>
        </w:rPr>
        <w:t xml:space="preserve"> software</w:t>
      </w:r>
      <w:r>
        <w:rPr>
          <w:lang w:val="en-US"/>
        </w:rPr>
        <w:t>, developed by Salma and al</w:t>
      </w:r>
      <w:sdt>
        <w:sdtPr>
          <w:rPr>
            <w:rFonts w:cs="Times New Roman"/>
            <w:color w:val="000000"/>
            <w:lang w:val="en-US"/>
          </w:rPr>
          <w:tag w:val="MENDELEY_CITATION_v3_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"/>
          <w:id w:val="882364107"/>
          <w:placeholder>
            <w:docPart w:val="66E8B74980F04C12BBBD1F3C8626F013"/>
          </w:placeholder>
        </w:sdtPr>
        <w:sdtEndPr/>
        <w:sdtContent>
          <w:r w:rsidR="002656EB" w:rsidRPr="002656EB">
            <w:rPr>
              <w:rFonts w:cs="Times New Roman"/>
              <w:color w:val="000000"/>
              <w:lang w:val="en-US"/>
            </w:rPr>
            <w:t>[1]</w:t>
          </w:r>
        </w:sdtContent>
      </w:sdt>
      <w:r w:rsidRPr="004D15C4">
        <w:rPr>
          <w:lang w:val="en-US"/>
        </w:rPr>
        <w:t>.</w:t>
      </w:r>
    </w:p>
    <w:p w14:paraId="258E689C" w14:textId="77777777" w:rsidR="002656EB" w:rsidRPr="00B06916" w:rsidRDefault="002656EB" w:rsidP="002656EB">
      <w:pPr>
        <w:rPr>
          <w:rFonts w:cs="Times New Roman"/>
          <w:b/>
          <w:bCs/>
          <w:szCs w:val="24"/>
          <w:lang w:val="en-US"/>
        </w:rPr>
      </w:pPr>
      <w:r w:rsidRPr="00B06916">
        <w:rPr>
          <w:rFonts w:cs="Times New Roman"/>
          <w:b/>
          <w:bCs/>
          <w:szCs w:val="24"/>
          <w:lang w:val="en-US"/>
        </w:rPr>
        <w:t>RNA Extraction and qPCR</w:t>
      </w:r>
    </w:p>
    <w:p w14:paraId="634FFA44" w14:textId="25B9B8F8" w:rsidR="002656EB" w:rsidRPr="00336476" w:rsidRDefault="002656EB" w:rsidP="002656EB">
      <w:pPr>
        <w:rPr>
          <w:rFonts w:cs="Times New Roman"/>
          <w:szCs w:val="24"/>
          <w:lang w:val="en-US"/>
        </w:rPr>
      </w:pPr>
      <w:r w:rsidRPr="00B06916">
        <w:rPr>
          <w:rFonts w:cs="Times New Roman"/>
          <w:szCs w:val="24"/>
          <w:lang w:val="en-US"/>
        </w:rPr>
        <w:t xml:space="preserve">Cells were scraped on ice in cold PBS, then RNA was extracted using the RNeasy mini or micro kit according to the manufacturer’s instructions. 200 ng of cDNA were synthesized with </w:t>
      </w:r>
      <w:r w:rsidRPr="00B06916">
        <w:rPr>
          <w:rFonts w:cs="Times New Roman"/>
          <w:szCs w:val="24"/>
          <w:lang w:val="en-US"/>
        </w:rPr>
        <w:lastRenderedPageBreak/>
        <w:t xml:space="preserve">random primers and </w:t>
      </w:r>
      <w:proofErr w:type="spellStart"/>
      <w:r w:rsidRPr="00B06916">
        <w:rPr>
          <w:rFonts w:cs="Times New Roman"/>
          <w:szCs w:val="24"/>
          <w:lang w:val="en-US"/>
        </w:rPr>
        <w:t>GoScript</w:t>
      </w:r>
      <w:r w:rsidRPr="00B06916">
        <w:rPr>
          <w:rFonts w:cs="Times New Roman"/>
          <w:szCs w:val="24"/>
          <w:vertAlign w:val="superscript"/>
          <w:lang w:val="en-US"/>
        </w:rPr>
        <w:t>TM</w:t>
      </w:r>
      <w:proofErr w:type="spellEnd"/>
      <w:r w:rsidRPr="00B06916">
        <w:rPr>
          <w:rFonts w:cs="Times New Roman"/>
          <w:szCs w:val="24"/>
          <w:lang w:val="en-US"/>
        </w:rPr>
        <w:t xml:space="preserve"> reverse transcriptase. Quantitative PCR was performed using 2 ng of cDNA in triplicate. Primers are listed in </w:t>
      </w:r>
      <w:r w:rsidRPr="00B06916">
        <w:rPr>
          <w:rFonts w:cs="Times New Roman"/>
          <w:b/>
          <w:bCs/>
          <w:szCs w:val="24"/>
          <w:lang w:val="en-US"/>
        </w:rPr>
        <w:t>Table.S</w:t>
      </w:r>
      <w:r>
        <w:rPr>
          <w:rFonts w:cs="Times New Roman"/>
          <w:b/>
          <w:bCs/>
          <w:szCs w:val="24"/>
          <w:lang w:val="en-US"/>
        </w:rPr>
        <w:t>3</w:t>
      </w:r>
      <w:r w:rsidRPr="00B06916">
        <w:rPr>
          <w:rFonts w:cs="Times New Roman"/>
          <w:szCs w:val="24"/>
          <w:lang w:val="en-US"/>
        </w:rPr>
        <w:t>. The KAPA SYBR</w:t>
      </w:r>
      <w:r w:rsidRPr="00B06916">
        <w:rPr>
          <w:rFonts w:cs="Times New Roman"/>
          <w:szCs w:val="24"/>
          <w:vertAlign w:val="superscript"/>
          <w:lang w:val="en-US"/>
        </w:rPr>
        <w:t xml:space="preserve">® </w:t>
      </w:r>
      <w:r w:rsidRPr="00B06916">
        <w:rPr>
          <w:rFonts w:cs="Times New Roman"/>
          <w:szCs w:val="24"/>
          <w:lang w:val="en-US"/>
        </w:rPr>
        <w:t>FAST kit was used and qPCR reaction was performed on Light Cycler 480, (Roche). Gene expression was calculated using the Log(2</w:t>
      </w:r>
      <w:r w:rsidRPr="00B06916">
        <w:rPr>
          <w:rFonts w:cs="Times New Roman"/>
          <w:szCs w:val="24"/>
          <w:vertAlign w:val="superscript"/>
          <w:lang w:val="en-US"/>
        </w:rPr>
        <w:t>−</w:t>
      </w:r>
      <w:r w:rsidRPr="00B06916">
        <w:rPr>
          <w:rFonts w:cs="Times New Roman"/>
          <w:szCs w:val="24"/>
          <w:vertAlign w:val="superscript"/>
        </w:rPr>
        <w:t>ΔΔ</w:t>
      </w:r>
      <w:r w:rsidRPr="00B06916">
        <w:rPr>
          <w:rFonts w:cs="Times New Roman"/>
          <w:szCs w:val="24"/>
          <w:vertAlign w:val="superscript"/>
          <w:lang w:val="en-US"/>
        </w:rPr>
        <w:t>Ct</w:t>
      </w:r>
      <w:r w:rsidRPr="00B06916">
        <w:rPr>
          <w:rFonts w:cs="Times New Roman"/>
          <w:szCs w:val="24"/>
          <w:lang w:val="en-US"/>
        </w:rPr>
        <w:t xml:space="preserve">) method, with </w:t>
      </w:r>
      <w:r w:rsidRPr="00B06916">
        <w:rPr>
          <w:rFonts w:cs="Times New Roman"/>
          <w:szCs w:val="24"/>
        </w:rPr>
        <w:t>β</w:t>
      </w:r>
      <w:r w:rsidRPr="00B06916">
        <w:rPr>
          <w:rFonts w:cs="Times New Roman"/>
          <w:szCs w:val="24"/>
          <w:lang w:val="en-US"/>
        </w:rPr>
        <w:t>-actin (ACTB) as a housekeeping gene for normalization.</w:t>
      </w:r>
    </w:p>
    <w:p w14:paraId="6F3B39D3" w14:textId="77777777" w:rsidR="00AD500B" w:rsidRPr="004D15C4" w:rsidRDefault="00AD500B" w:rsidP="00AD500B">
      <w:pPr>
        <w:rPr>
          <w:b/>
          <w:bCs/>
          <w:lang w:val="en-US"/>
        </w:rPr>
      </w:pPr>
      <w:r w:rsidRPr="004D15C4">
        <w:rPr>
          <w:b/>
          <w:bCs/>
          <w:lang w:val="en-US"/>
        </w:rPr>
        <w:t>RNA Sequencing</w:t>
      </w:r>
    </w:p>
    <w:p w14:paraId="4E264997" w14:textId="555CB1DC" w:rsidR="00AD500B" w:rsidRDefault="00AD500B" w:rsidP="00AD500B">
      <w:pPr>
        <w:rPr>
          <w:lang w:val="en-US"/>
        </w:rPr>
      </w:pPr>
      <w:r w:rsidRPr="004D15C4">
        <w:rPr>
          <w:lang w:val="en-US"/>
        </w:rPr>
        <w:t>For each experiment, RNA samples were extracted</w:t>
      </w:r>
      <w:r>
        <w:rPr>
          <w:lang w:val="en-US"/>
        </w:rPr>
        <w:t>,</w:t>
      </w:r>
      <w:r w:rsidRPr="004D15C4">
        <w:rPr>
          <w:lang w:val="en-US"/>
        </w:rPr>
        <w:t xml:space="preserve"> as described previously. RNA was sent to the BGI Genomics DNBSEQ platform (Poland or Hong Kong - China). RNA library construction, sequencing, quality control, and bioinformatics analysis were all performed by the platform. </w:t>
      </w:r>
      <w:r>
        <w:rPr>
          <w:lang w:val="en-US"/>
        </w:rPr>
        <w:t>L</w:t>
      </w:r>
      <w:r w:rsidRPr="0001208E">
        <w:rPr>
          <w:lang w:val="en-US"/>
        </w:rPr>
        <w:t xml:space="preserve">ibrary preparation </w:t>
      </w:r>
      <w:r>
        <w:rPr>
          <w:lang w:val="en-US"/>
        </w:rPr>
        <w:t>was</w:t>
      </w:r>
      <w:r w:rsidRPr="0001208E">
        <w:rPr>
          <w:lang w:val="en-US"/>
        </w:rPr>
        <w:t xml:space="preserve"> performed using </w:t>
      </w:r>
      <w:r>
        <w:rPr>
          <w:lang w:val="en-US"/>
        </w:rPr>
        <w:t xml:space="preserve">an </w:t>
      </w:r>
      <w:r w:rsidRPr="0001208E">
        <w:rPr>
          <w:lang w:val="en-US"/>
        </w:rPr>
        <w:t>Optimal Dual-mode mRNA Library Prep Kit.</w:t>
      </w:r>
      <w:r>
        <w:rPr>
          <w:lang w:val="en-US"/>
        </w:rPr>
        <w:t xml:space="preserve"> </w:t>
      </w:r>
      <w:r w:rsidRPr="0001208E">
        <w:rPr>
          <w:lang w:val="en-US"/>
        </w:rPr>
        <w:t xml:space="preserve">RNA </w:t>
      </w:r>
      <w:r>
        <w:rPr>
          <w:lang w:val="en-US"/>
        </w:rPr>
        <w:t>was</w:t>
      </w:r>
      <w:r w:rsidRPr="0001208E">
        <w:rPr>
          <w:lang w:val="en-US"/>
        </w:rPr>
        <w:t xml:space="preserve"> denatured at </w:t>
      </w:r>
      <w:r>
        <w:rPr>
          <w:lang w:val="en-US"/>
        </w:rPr>
        <w:t xml:space="preserve">a </w:t>
      </w:r>
      <w:r w:rsidRPr="0001208E">
        <w:rPr>
          <w:lang w:val="en-US"/>
        </w:rPr>
        <w:t>suitable temperature to open the secondary structure, and mRNA is enriched by oligo (dT) attached magnetic beads. After reacting at a suitable temperature for a fixed time</w:t>
      </w:r>
      <w:r>
        <w:rPr>
          <w:lang w:val="en-US"/>
        </w:rPr>
        <w:t xml:space="preserve"> </w:t>
      </w:r>
      <w:r w:rsidRPr="0001208E">
        <w:rPr>
          <w:lang w:val="en-US"/>
        </w:rPr>
        <w:t xml:space="preserve">period, RNAs </w:t>
      </w:r>
      <w:r>
        <w:rPr>
          <w:lang w:val="en-US"/>
        </w:rPr>
        <w:t>were</w:t>
      </w:r>
      <w:r w:rsidRPr="0001208E">
        <w:rPr>
          <w:lang w:val="en-US"/>
        </w:rPr>
        <w:t xml:space="preserve"> fragmented with fragmentation reagents. Then first-strand cDNA </w:t>
      </w:r>
      <w:r>
        <w:rPr>
          <w:lang w:val="en-US"/>
        </w:rPr>
        <w:t>was</w:t>
      </w:r>
      <w:r w:rsidRPr="0001208E">
        <w:rPr>
          <w:lang w:val="en-US"/>
        </w:rPr>
        <w:t xml:space="preserve"> generated using random hexamer-primed reverse transcription with the fragmented RNA as </w:t>
      </w:r>
      <w:r>
        <w:rPr>
          <w:lang w:val="en-US"/>
        </w:rPr>
        <w:t xml:space="preserve">a </w:t>
      </w:r>
      <w:r w:rsidRPr="0001208E">
        <w:rPr>
          <w:lang w:val="en-US"/>
        </w:rPr>
        <w:t xml:space="preserve">template. To synthesize the second-strand cDNA, the synthesis reaction system </w:t>
      </w:r>
      <w:r>
        <w:rPr>
          <w:lang w:val="en-US"/>
        </w:rPr>
        <w:t xml:space="preserve">was </w:t>
      </w:r>
      <w:r w:rsidRPr="0001208E">
        <w:rPr>
          <w:lang w:val="en-US"/>
        </w:rPr>
        <w:t xml:space="preserve">prepared and </w:t>
      </w:r>
      <w:proofErr w:type="spellStart"/>
      <w:r w:rsidRPr="0001208E">
        <w:rPr>
          <w:lang w:val="en-US"/>
        </w:rPr>
        <w:t>dUTP</w:t>
      </w:r>
      <w:proofErr w:type="spellEnd"/>
      <w:r w:rsidRPr="0001208E">
        <w:rPr>
          <w:lang w:val="en-US"/>
        </w:rPr>
        <w:t xml:space="preserve"> is used to replace dTTP. After obtaining the double strand cDNA product, it </w:t>
      </w:r>
      <w:r>
        <w:rPr>
          <w:lang w:val="en-US"/>
        </w:rPr>
        <w:t>was</w:t>
      </w:r>
      <w:r w:rsidRPr="0001208E">
        <w:rPr>
          <w:lang w:val="en-US"/>
        </w:rPr>
        <w:t xml:space="preserve"> converted to </w:t>
      </w:r>
      <w:r>
        <w:rPr>
          <w:lang w:val="en-US"/>
        </w:rPr>
        <w:t xml:space="preserve">a </w:t>
      </w:r>
      <w:r w:rsidRPr="0001208E">
        <w:rPr>
          <w:lang w:val="en-US"/>
        </w:rPr>
        <w:t xml:space="preserve">blunt end with </w:t>
      </w:r>
      <w:r>
        <w:rPr>
          <w:lang w:val="en-US"/>
        </w:rPr>
        <w:t xml:space="preserve">an </w:t>
      </w:r>
      <w:r w:rsidRPr="0001208E">
        <w:rPr>
          <w:lang w:val="en-US"/>
        </w:rPr>
        <w:t xml:space="preserve">end repair reaction. After cDNA </w:t>
      </w:r>
      <w:r>
        <w:rPr>
          <w:lang w:val="en-US"/>
        </w:rPr>
        <w:t>e</w:t>
      </w:r>
      <w:r w:rsidRPr="0001208E">
        <w:rPr>
          <w:lang w:val="en-US"/>
        </w:rPr>
        <w:t xml:space="preserve">nd repair, a single ‘A’ nucleotide </w:t>
      </w:r>
      <w:r>
        <w:rPr>
          <w:lang w:val="en-US"/>
        </w:rPr>
        <w:t>was</w:t>
      </w:r>
      <w:r w:rsidRPr="0001208E">
        <w:rPr>
          <w:lang w:val="en-US"/>
        </w:rPr>
        <w:t xml:space="preserve"> added to the 3’ ends of the blunt fragments through A tailing reaction. Then the library adapters </w:t>
      </w:r>
      <w:r>
        <w:rPr>
          <w:lang w:val="en-US"/>
        </w:rPr>
        <w:t xml:space="preserve">were </w:t>
      </w:r>
      <w:r w:rsidRPr="0001208E">
        <w:rPr>
          <w:lang w:val="en-US"/>
        </w:rPr>
        <w:t xml:space="preserve">ligated to the two ends of the cDNA with </w:t>
      </w:r>
      <w:r>
        <w:rPr>
          <w:lang w:val="en-US"/>
        </w:rPr>
        <w:t xml:space="preserve">a </w:t>
      </w:r>
      <w:r w:rsidRPr="0001208E">
        <w:rPr>
          <w:lang w:val="en-US"/>
        </w:rPr>
        <w:t xml:space="preserve">ligation reaction. Finally, the library products </w:t>
      </w:r>
      <w:r>
        <w:rPr>
          <w:lang w:val="en-US"/>
        </w:rPr>
        <w:t xml:space="preserve">were </w:t>
      </w:r>
      <w:r w:rsidRPr="0001208E">
        <w:rPr>
          <w:lang w:val="en-US"/>
        </w:rPr>
        <w:t xml:space="preserve">amplified through PCR reaction and subjected to quality control. Next, the single-stranded library products </w:t>
      </w:r>
      <w:r>
        <w:rPr>
          <w:lang w:val="en-US"/>
        </w:rPr>
        <w:t>were</w:t>
      </w:r>
      <w:r w:rsidRPr="0001208E">
        <w:rPr>
          <w:lang w:val="en-US"/>
        </w:rPr>
        <w:t xml:space="preserve"> produced via denaturation. The reaction system for circularization </w:t>
      </w:r>
      <w:r>
        <w:rPr>
          <w:lang w:val="en-US"/>
        </w:rPr>
        <w:t xml:space="preserve">was </w:t>
      </w:r>
      <w:r w:rsidRPr="0001208E">
        <w:rPr>
          <w:lang w:val="en-US"/>
        </w:rPr>
        <w:t xml:space="preserve">set up to get the single-stranded circularized DNA products. Any single stranded linear DNA molecules </w:t>
      </w:r>
      <w:r>
        <w:rPr>
          <w:lang w:val="en-US"/>
        </w:rPr>
        <w:t>were</w:t>
      </w:r>
      <w:r w:rsidRPr="0001208E">
        <w:rPr>
          <w:lang w:val="en-US"/>
        </w:rPr>
        <w:t xml:space="preserve"> digested. </w:t>
      </w:r>
      <w:r>
        <w:rPr>
          <w:lang w:val="en-US"/>
        </w:rPr>
        <w:t>The final single-stranded circularized library was amplified by phi29 and rolling circle amplification (RCA) to make a DNA nanoball (DNB), which carries more than 300 copies of the initial single-stranded circularized library molecule.</w:t>
      </w:r>
      <w:r w:rsidRPr="0001208E">
        <w:rPr>
          <w:lang w:val="en-US"/>
        </w:rPr>
        <w:t xml:space="preserve"> The DNBs </w:t>
      </w:r>
      <w:r>
        <w:rPr>
          <w:lang w:val="en-US"/>
        </w:rPr>
        <w:t>were</w:t>
      </w:r>
      <w:r w:rsidRPr="0001208E">
        <w:rPr>
          <w:lang w:val="en-US"/>
        </w:rPr>
        <w:t xml:space="preserve"> loaded into the patterned nanoarray and sequencing reads with PE 150 bases length are generated on </w:t>
      </w:r>
      <w:r>
        <w:rPr>
          <w:lang w:val="en-US"/>
        </w:rPr>
        <w:t xml:space="preserve">the </w:t>
      </w:r>
      <w:r w:rsidRPr="0001208E">
        <w:rPr>
          <w:lang w:val="en-US"/>
        </w:rPr>
        <w:t>DNBSEQ-T7 platform</w:t>
      </w:r>
      <w:r>
        <w:rPr>
          <w:lang w:val="en-US"/>
        </w:rPr>
        <w:t>,</w:t>
      </w:r>
      <w:r w:rsidRPr="0001208E">
        <w:rPr>
          <w:lang w:val="en-US"/>
        </w:rPr>
        <w:t xml:space="preserve"> generating 20M paired reads per sample. Raw sequencing data were filtered using </w:t>
      </w:r>
      <w:proofErr w:type="spellStart"/>
      <w:r w:rsidRPr="0001208E">
        <w:rPr>
          <w:lang w:val="en-US"/>
        </w:rPr>
        <w:t>SOAPnuke</w:t>
      </w:r>
      <w:proofErr w:type="spellEnd"/>
      <w:r w:rsidRPr="0001208E">
        <w:rPr>
          <w:lang w:val="en-US"/>
        </w:rPr>
        <w:t xml:space="preserve"> (v1.5.2), a quality control software independently developed by BGI. The following parameters were used: -l 15, -q 0.2, and -n 0.05.</w:t>
      </w:r>
      <w:r>
        <w:rPr>
          <w:lang w:val="en-US"/>
        </w:rPr>
        <w:t xml:space="preserve"> </w:t>
      </w:r>
      <w:r w:rsidRPr="0001208E">
        <w:rPr>
          <w:lang w:val="en-US"/>
        </w:rPr>
        <w:t xml:space="preserve">RNA-seq data were analyzed using the DESeq2 package. Volcano plots and bubble charts were generated using the </w:t>
      </w:r>
      <w:proofErr w:type="spellStart"/>
      <w:r w:rsidRPr="0001208E">
        <w:rPr>
          <w:lang w:val="en-US"/>
        </w:rPr>
        <w:t>SRPlot</w:t>
      </w:r>
      <w:proofErr w:type="spellEnd"/>
      <w:r w:rsidRPr="0001208E">
        <w:rPr>
          <w:lang w:val="en-US"/>
        </w:rPr>
        <w:t xml:space="preserve"> web tool (https://www.bioinformatics.com.cn). </w:t>
      </w:r>
    </w:p>
    <w:p w14:paraId="4F034593" w14:textId="77777777" w:rsidR="00336476" w:rsidRPr="00B06916" w:rsidRDefault="00336476" w:rsidP="00336476">
      <w:pPr>
        <w:rPr>
          <w:rFonts w:cs="Times New Roman"/>
          <w:b/>
          <w:bCs/>
          <w:szCs w:val="24"/>
          <w:lang w:val="en-US"/>
        </w:rPr>
      </w:pPr>
      <w:r w:rsidRPr="00B06916">
        <w:rPr>
          <w:rFonts w:cs="Times New Roman"/>
          <w:b/>
          <w:bCs/>
          <w:szCs w:val="24"/>
          <w:lang w:val="en-US"/>
        </w:rPr>
        <w:lastRenderedPageBreak/>
        <w:t>Cell Cycle Analysis</w:t>
      </w:r>
    </w:p>
    <w:p w14:paraId="602037A3" w14:textId="41D86878" w:rsidR="00336476" w:rsidRPr="00336476" w:rsidRDefault="00336476" w:rsidP="00336476">
      <w:pPr>
        <w:rPr>
          <w:rFonts w:cs="Times New Roman"/>
          <w:szCs w:val="24"/>
          <w:lang w:val="en-US"/>
        </w:rPr>
      </w:pPr>
      <w:r w:rsidRPr="00B06916">
        <w:rPr>
          <w:rFonts w:cs="Times New Roman"/>
          <w:szCs w:val="24"/>
          <w:lang w:val="en-US"/>
        </w:rPr>
        <w:t>Cells were seeded at a density of 30</w:t>
      </w:r>
      <w:r>
        <w:rPr>
          <w:rFonts w:cs="Times New Roman"/>
          <w:szCs w:val="24"/>
          <w:lang w:val="en-US"/>
        </w:rPr>
        <w:t xml:space="preserve"> </w:t>
      </w:r>
      <w:r w:rsidRPr="00B06916">
        <w:rPr>
          <w:rFonts w:cs="Times New Roman"/>
          <w:szCs w:val="24"/>
          <w:lang w:val="en-US"/>
        </w:rPr>
        <w:t>000 cells/cm</w:t>
      </w:r>
      <w:r w:rsidRPr="00B06916">
        <w:rPr>
          <w:rFonts w:cs="Times New Roman"/>
          <w:szCs w:val="24"/>
          <w:vertAlign w:val="superscript"/>
          <w:lang w:val="en-US"/>
        </w:rPr>
        <w:t>2</w:t>
      </w:r>
      <w:r w:rsidRPr="00B06916">
        <w:rPr>
          <w:rFonts w:cs="Times New Roman"/>
          <w:szCs w:val="24"/>
          <w:lang w:val="en-US"/>
        </w:rPr>
        <w:t>, then maintained in culture for 20 days in the presence or absence of growth factors, or 10 days without growth factors, then 10 days adding growth factors. For cell cycle analysis, cells were dissociated according to the previous protocol. 70% ethanol was added to cell pellets and stored at -20°C until the experiment. Samples were centrifuged for 2 minutes at 4</w:t>
      </w:r>
      <w:r>
        <w:rPr>
          <w:rFonts w:cs="Times New Roman"/>
          <w:szCs w:val="24"/>
          <w:lang w:val="en-US"/>
        </w:rPr>
        <w:t xml:space="preserve"> </w:t>
      </w:r>
      <w:r w:rsidRPr="00B06916">
        <w:rPr>
          <w:rFonts w:cs="Times New Roman"/>
          <w:szCs w:val="24"/>
          <w:lang w:val="en-US"/>
        </w:rPr>
        <w:t xml:space="preserve">200 rpm, then incubated for 30 minutes with </w:t>
      </w:r>
      <w:proofErr w:type="spellStart"/>
      <w:r w:rsidRPr="00B06916">
        <w:rPr>
          <w:rFonts w:cs="Times New Roman"/>
          <w:szCs w:val="24"/>
          <w:lang w:val="en-US"/>
        </w:rPr>
        <w:t>RNAse</w:t>
      </w:r>
      <w:proofErr w:type="spellEnd"/>
      <w:r w:rsidRPr="00B06916">
        <w:rPr>
          <w:rFonts w:cs="Times New Roman"/>
          <w:szCs w:val="24"/>
          <w:lang w:val="en-US"/>
        </w:rPr>
        <w:t xml:space="preserve">, </w:t>
      </w:r>
      <w:proofErr w:type="spellStart"/>
      <w:r w:rsidRPr="00B06916">
        <w:rPr>
          <w:rFonts w:cs="Times New Roman"/>
          <w:szCs w:val="24"/>
          <w:lang w:val="en-US"/>
        </w:rPr>
        <w:t>DNAse</w:t>
      </w:r>
      <w:proofErr w:type="spellEnd"/>
      <w:r w:rsidRPr="00B06916">
        <w:rPr>
          <w:rFonts w:cs="Times New Roman"/>
          <w:szCs w:val="24"/>
          <w:lang w:val="en-US"/>
        </w:rPr>
        <w:t xml:space="preserve"> </w:t>
      </w:r>
      <w:proofErr w:type="spellStart"/>
      <w:r w:rsidRPr="00B06916">
        <w:rPr>
          <w:rFonts w:cs="Times New Roman"/>
          <w:szCs w:val="24"/>
          <w:lang w:val="en-US"/>
        </w:rPr>
        <w:t>ree</w:t>
      </w:r>
      <w:proofErr w:type="spellEnd"/>
      <w:r w:rsidRPr="00B06916">
        <w:rPr>
          <w:rFonts w:cs="Times New Roman"/>
          <w:szCs w:val="24"/>
          <w:lang w:val="en-US"/>
        </w:rPr>
        <w:t xml:space="preserve">, followed by incubation with propidium iodide for 10 minutes before analysis. Flow cytometry recording was performed using the MACS Quant and analyzed using </w:t>
      </w:r>
      <w:proofErr w:type="spellStart"/>
      <w:r w:rsidRPr="00B06916">
        <w:rPr>
          <w:rFonts w:cs="Times New Roman"/>
          <w:szCs w:val="24"/>
          <w:lang w:val="en-US"/>
        </w:rPr>
        <w:t>FlowJo</w:t>
      </w:r>
      <w:proofErr w:type="spellEnd"/>
      <w:r w:rsidRPr="00B06916">
        <w:rPr>
          <w:rFonts w:cs="Times New Roman"/>
          <w:szCs w:val="24"/>
          <w:lang w:val="en-US"/>
        </w:rPr>
        <w:t xml:space="preserve"> software.</w:t>
      </w:r>
    </w:p>
    <w:p w14:paraId="2DE1FC19" w14:textId="77777777" w:rsidR="00AD500B" w:rsidRPr="004D15C4" w:rsidRDefault="00AD500B" w:rsidP="00AD500B">
      <w:pPr>
        <w:rPr>
          <w:b/>
          <w:bCs/>
          <w:lang w:val="en-US"/>
        </w:rPr>
      </w:pPr>
      <w:r w:rsidRPr="004D15C4">
        <w:rPr>
          <w:b/>
          <w:bCs/>
          <w:lang w:val="en-US"/>
        </w:rPr>
        <w:t>Gene Set Enrichment Analysis (GSEA)</w:t>
      </w:r>
    </w:p>
    <w:p w14:paraId="5191278B" w14:textId="28F4B274" w:rsidR="00AD500B" w:rsidRPr="004D15C4" w:rsidRDefault="00AD500B" w:rsidP="00AD500B">
      <w:pPr>
        <w:rPr>
          <w:lang w:val="en-US"/>
        </w:rPr>
      </w:pPr>
      <w:r w:rsidRPr="004D15C4">
        <w:rPr>
          <w:lang w:val="en-US"/>
        </w:rPr>
        <w:t xml:space="preserve">The GSEA analysis software (Version 4.3.3) was used to perform a comparative analysis of differentially expressed genes and molecular profiles between different conditions after RNA sequencing. The compared gene lists are the </w:t>
      </w:r>
      <w:r>
        <w:rPr>
          <w:lang w:val="en-US"/>
        </w:rPr>
        <w:t>“</w:t>
      </w:r>
      <w:r w:rsidRPr="004D15C4">
        <w:rPr>
          <w:lang w:val="en-US"/>
        </w:rPr>
        <w:t>normalized read count</w:t>
      </w:r>
      <w:r>
        <w:rPr>
          <w:lang w:val="en-US"/>
        </w:rPr>
        <w:t>”</w:t>
      </w:r>
      <w:r w:rsidRPr="004D15C4">
        <w:rPr>
          <w:lang w:val="en-US"/>
        </w:rPr>
        <w:t xml:space="preserve">. The gene ranking method is the </w:t>
      </w:r>
      <w:r>
        <w:rPr>
          <w:lang w:val="en-US"/>
        </w:rPr>
        <w:t>“</w:t>
      </w:r>
      <w:r w:rsidRPr="004D15C4">
        <w:rPr>
          <w:lang w:val="en-US"/>
        </w:rPr>
        <w:t>Signal2Noise</w:t>
      </w:r>
      <w:r>
        <w:rPr>
          <w:lang w:val="en-US"/>
        </w:rPr>
        <w:t>”</w:t>
      </w:r>
      <w:r w:rsidRPr="004D15C4">
        <w:rPr>
          <w:lang w:val="en-US"/>
        </w:rPr>
        <w:t xml:space="preserve"> method for groups consisting of triplicates and </w:t>
      </w:r>
      <w:r>
        <w:rPr>
          <w:lang w:val="en-US"/>
        </w:rPr>
        <w:t>“</w:t>
      </w:r>
      <w:r w:rsidRPr="004D15C4">
        <w:rPr>
          <w:lang w:val="en-US"/>
        </w:rPr>
        <w:t>Diff of class</w:t>
      </w:r>
      <w:r>
        <w:rPr>
          <w:lang w:val="en-US"/>
        </w:rPr>
        <w:t>”</w:t>
      </w:r>
      <w:r w:rsidRPr="004D15C4">
        <w:rPr>
          <w:lang w:val="en-US"/>
        </w:rPr>
        <w:t xml:space="preserve"> for groups </w:t>
      </w:r>
      <w:proofErr w:type="spellStart"/>
      <w:r w:rsidRPr="004D15C4">
        <w:rPr>
          <w:lang w:val="en-US"/>
        </w:rPr>
        <w:t>com</w:t>
      </w:r>
      <w:r>
        <w:rPr>
          <w:lang w:val="en-US"/>
        </w:rPr>
        <w:t>+</w:t>
      </w:r>
      <w:r w:rsidRPr="004D15C4">
        <w:rPr>
          <w:lang w:val="en-US"/>
        </w:rPr>
        <w:t>ed</w:t>
      </w:r>
      <w:proofErr w:type="spellEnd"/>
      <w:r w:rsidRPr="004D15C4">
        <w:rPr>
          <w:lang w:val="en-US"/>
        </w:rPr>
        <w:t xml:space="preserve"> of duplicates. The collections used for comparison in this paper are the </w:t>
      </w:r>
      <w:r>
        <w:rPr>
          <w:lang w:val="en-US"/>
        </w:rPr>
        <w:t>“C</w:t>
      </w:r>
      <w:r w:rsidRPr="004D15C4">
        <w:rPr>
          <w:lang w:val="en-US"/>
        </w:rPr>
        <w:t xml:space="preserve">urated </w:t>
      </w:r>
      <w:r>
        <w:rPr>
          <w:lang w:val="en-US"/>
        </w:rPr>
        <w:t>c</w:t>
      </w:r>
      <w:r w:rsidRPr="004D15C4">
        <w:rPr>
          <w:lang w:val="en-US"/>
        </w:rPr>
        <w:t>2</w:t>
      </w:r>
      <w:r>
        <w:rPr>
          <w:lang w:val="en-US"/>
        </w:rPr>
        <w:t>”</w:t>
      </w:r>
      <w:r w:rsidRPr="004D15C4">
        <w:rPr>
          <w:lang w:val="en-US"/>
        </w:rPr>
        <w:t xml:space="preserve"> collections (c2.all.</w:t>
      </w:r>
      <w:r>
        <w:rPr>
          <w:lang w:val="en-US"/>
        </w:rPr>
        <w:t xml:space="preserve"> </w:t>
      </w:r>
      <w:r w:rsidRPr="004D15C4">
        <w:rPr>
          <w:lang w:val="en-US"/>
        </w:rPr>
        <w:t xml:space="preserve">v2024.1.Hs.symbols.gmt), </w:t>
      </w:r>
      <w:r>
        <w:rPr>
          <w:lang w:val="en-US"/>
        </w:rPr>
        <w:t>“C</w:t>
      </w:r>
      <w:r w:rsidRPr="004D15C4">
        <w:rPr>
          <w:lang w:val="en-US"/>
        </w:rPr>
        <w:t>ell types c8</w:t>
      </w:r>
      <w:r>
        <w:rPr>
          <w:lang w:val="en-US"/>
        </w:rPr>
        <w:t>”</w:t>
      </w:r>
      <w:r w:rsidRPr="004D15C4">
        <w:rPr>
          <w:lang w:val="en-US"/>
        </w:rPr>
        <w:t xml:space="preserve"> (c8.all.</w:t>
      </w:r>
      <w:r>
        <w:rPr>
          <w:lang w:val="en-US"/>
        </w:rPr>
        <w:t xml:space="preserve"> </w:t>
      </w:r>
      <w:r w:rsidRPr="004D15C4">
        <w:rPr>
          <w:lang w:val="en-US"/>
        </w:rPr>
        <w:t>v2024.1.Hs.symbols.gmt)</w:t>
      </w:r>
      <w:r>
        <w:rPr>
          <w:lang w:val="en-US"/>
        </w:rPr>
        <w:t>, “</w:t>
      </w:r>
      <w:r w:rsidRPr="004D15C4">
        <w:rPr>
          <w:lang w:val="en-US"/>
        </w:rPr>
        <w:t>Gene Ontology</w:t>
      </w:r>
      <w:r>
        <w:rPr>
          <w:lang w:val="en-US"/>
        </w:rPr>
        <w:t xml:space="preserve"> c5”</w:t>
      </w:r>
      <w:r w:rsidRPr="004D15C4">
        <w:rPr>
          <w:lang w:val="en-US"/>
        </w:rPr>
        <w:t xml:space="preserve"> (c5.all.</w:t>
      </w:r>
      <w:r>
        <w:rPr>
          <w:lang w:val="en-US"/>
        </w:rPr>
        <w:t xml:space="preserve"> </w:t>
      </w:r>
      <w:r w:rsidRPr="004D15C4">
        <w:rPr>
          <w:lang w:val="en-US"/>
        </w:rPr>
        <w:t>v2024.1.Hs.symbols.gmt)</w:t>
      </w:r>
      <w:r>
        <w:rPr>
          <w:lang w:val="en-US"/>
        </w:rPr>
        <w:t xml:space="preserve"> and “Computational c4” (c4.all. b2024.Hs.symbols.gmt). </w:t>
      </w:r>
      <w:r w:rsidRPr="004D15C4">
        <w:rPr>
          <w:lang w:val="en-US"/>
        </w:rPr>
        <w:t xml:space="preserve"> The </w:t>
      </w:r>
      <w:r>
        <w:rPr>
          <w:lang w:val="en-US"/>
        </w:rPr>
        <w:t>“</w:t>
      </w:r>
      <w:r w:rsidRPr="004D15C4">
        <w:rPr>
          <w:lang w:val="en-US"/>
        </w:rPr>
        <w:t>quiescent NSC1</w:t>
      </w:r>
      <w:r>
        <w:rPr>
          <w:lang w:val="en-US"/>
        </w:rPr>
        <w:t>”</w:t>
      </w:r>
      <w:r w:rsidRPr="004D15C4">
        <w:rPr>
          <w:lang w:val="en-US"/>
        </w:rPr>
        <w:t xml:space="preserve"> (qNSC1), qNSC2 and </w:t>
      </w:r>
      <w:r>
        <w:rPr>
          <w:lang w:val="en-US"/>
        </w:rPr>
        <w:t>“</w:t>
      </w:r>
      <w:r w:rsidRPr="004D15C4">
        <w:rPr>
          <w:lang w:val="en-US"/>
        </w:rPr>
        <w:t>active NSC</w:t>
      </w:r>
      <w:r>
        <w:rPr>
          <w:lang w:val="en-US"/>
        </w:rPr>
        <w:t>”</w:t>
      </w:r>
      <w:r w:rsidRPr="004D15C4">
        <w:rPr>
          <w:lang w:val="en-US"/>
        </w:rPr>
        <w:t xml:space="preserve"> (</w:t>
      </w:r>
      <w:proofErr w:type="spellStart"/>
      <w:r w:rsidRPr="004D15C4">
        <w:rPr>
          <w:lang w:val="en-US"/>
        </w:rPr>
        <w:t>aNSC</w:t>
      </w:r>
      <w:proofErr w:type="spellEnd"/>
      <w:r w:rsidRPr="004D15C4">
        <w:rPr>
          <w:lang w:val="en-US"/>
        </w:rPr>
        <w:t xml:space="preserve">) gene lists were established </w:t>
      </w:r>
      <w:r>
        <w:rPr>
          <w:lang w:val="en-US"/>
        </w:rPr>
        <w:t>from</w:t>
      </w:r>
      <w:r w:rsidRPr="004D15C4">
        <w:rPr>
          <w:lang w:val="en-US"/>
        </w:rPr>
        <w:t xml:space="preserve"> </w:t>
      </w:r>
      <w:proofErr w:type="spellStart"/>
      <w:r w:rsidRPr="004D15C4">
        <w:rPr>
          <w:lang w:val="en-US"/>
        </w:rPr>
        <w:t>Kalamakis</w:t>
      </w:r>
      <w:proofErr w:type="spellEnd"/>
      <w:r w:rsidRPr="004D15C4">
        <w:rPr>
          <w:lang w:val="en-US"/>
        </w:rPr>
        <w:t xml:space="preserve"> et al</w:t>
      </w:r>
      <w:sdt>
        <w:sdtPr>
          <w:rPr>
            <w:rFonts w:cs="Times New Roman"/>
            <w:color w:val="000000"/>
            <w:lang w:val="en-US"/>
          </w:rPr>
          <w:tag w:val="MENDELEY_CITATION_v3_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"/>
          <w:id w:val="-871224684"/>
          <w:placeholder>
            <w:docPart w:val="24F901B06F384BBAA44BC55F3BE9885F"/>
          </w:placeholder>
        </w:sdtPr>
        <w:sdtEndPr/>
        <w:sdtContent>
          <w:r w:rsidR="002656EB" w:rsidRPr="002656EB">
            <w:rPr>
              <w:rFonts w:cs="Times New Roman"/>
              <w:color w:val="000000"/>
              <w:lang w:val="en-US"/>
            </w:rPr>
            <w:t>[2]</w:t>
          </w:r>
        </w:sdtContent>
      </w:sdt>
      <w:r w:rsidRPr="004D15C4">
        <w:rPr>
          <w:lang w:val="en-US"/>
        </w:rPr>
        <w:t xml:space="preserve">. The </w:t>
      </w:r>
      <w:proofErr w:type="spellStart"/>
      <w:r w:rsidRPr="004D15C4">
        <w:rPr>
          <w:lang w:val="en-US"/>
        </w:rPr>
        <w:t>p.value</w:t>
      </w:r>
      <w:proofErr w:type="spellEnd"/>
      <w:r w:rsidRPr="004D15C4">
        <w:rPr>
          <w:lang w:val="en-US"/>
        </w:rPr>
        <w:t xml:space="preserve"> </w:t>
      </w:r>
      <w:r>
        <w:rPr>
          <w:lang w:val="en-US"/>
        </w:rPr>
        <w:t>was</w:t>
      </w:r>
      <w:r w:rsidRPr="004D15C4">
        <w:rPr>
          <w:lang w:val="en-US"/>
        </w:rPr>
        <w:t xml:space="preserve"> calculated using the </w:t>
      </w:r>
      <w:proofErr w:type="spellStart"/>
      <w:r w:rsidRPr="004D15C4">
        <w:rPr>
          <w:lang w:val="en-US"/>
        </w:rPr>
        <w:t>Benjamini</w:t>
      </w:r>
      <w:proofErr w:type="spellEnd"/>
      <w:r w:rsidRPr="004D15C4">
        <w:rPr>
          <w:lang w:val="en-US"/>
        </w:rPr>
        <w:t>-Hochberg method.</w:t>
      </w:r>
      <w:r w:rsidR="00AD19AF">
        <w:rPr>
          <w:lang w:val="en-US"/>
        </w:rPr>
        <w:t xml:space="preserve"> NOTCH_UP and NOTCH_DOWN </w:t>
      </w:r>
      <w:proofErr w:type="spellStart"/>
      <w:r w:rsidR="00AD19AF">
        <w:rPr>
          <w:lang w:val="en-US"/>
        </w:rPr>
        <w:t>genelist</w:t>
      </w:r>
      <w:proofErr w:type="spellEnd"/>
      <w:r w:rsidR="00AD19AF">
        <w:rPr>
          <w:lang w:val="en-US"/>
        </w:rPr>
        <w:t xml:space="preserve"> were constructed by treated cells with DLL4, an activator of NOTCH, then isolate significant up (NOTCH_UP) and down (NOTCH_DOWN) regulated genes following NOTCH activation (</w:t>
      </w:r>
      <w:r w:rsidR="00AD19AF" w:rsidRPr="00987F99">
        <w:rPr>
          <w:lang w:val="en-US"/>
        </w:rPr>
        <w:t>Table.S</w:t>
      </w:r>
      <w:r w:rsidR="00987F99" w:rsidRPr="00987F99">
        <w:rPr>
          <w:lang w:val="en-US"/>
        </w:rPr>
        <w:t>18</w:t>
      </w:r>
      <w:r w:rsidR="00AD19AF">
        <w:rPr>
          <w:lang w:val="en-US"/>
        </w:rPr>
        <w:t xml:space="preserve">). </w:t>
      </w:r>
    </w:p>
    <w:p w14:paraId="48A6DEE1" w14:textId="77777777" w:rsidR="00AD500B" w:rsidRPr="004D15C4" w:rsidRDefault="00AD500B" w:rsidP="00AD500B">
      <w:pPr>
        <w:rPr>
          <w:b/>
          <w:bCs/>
          <w:lang w:val="en-US"/>
        </w:rPr>
      </w:pPr>
      <w:proofErr w:type="spellStart"/>
      <w:r w:rsidRPr="004D15C4">
        <w:rPr>
          <w:b/>
          <w:bCs/>
          <w:lang w:val="en-US"/>
        </w:rPr>
        <w:t>Cytoscape</w:t>
      </w:r>
      <w:proofErr w:type="spellEnd"/>
      <w:r w:rsidRPr="004D15C4">
        <w:rPr>
          <w:b/>
          <w:bCs/>
          <w:lang w:val="en-US"/>
        </w:rPr>
        <w:t xml:space="preserve"> Mapping</w:t>
      </w:r>
    </w:p>
    <w:p w14:paraId="44C14058" w14:textId="77777777" w:rsidR="00AD500B" w:rsidRPr="004D15C4" w:rsidRDefault="00AD500B" w:rsidP="00AD500B">
      <w:pPr>
        <w:rPr>
          <w:lang w:val="en-US"/>
        </w:rPr>
      </w:pPr>
      <w:r w:rsidRPr="004D15C4">
        <w:rPr>
          <w:lang w:val="en-US"/>
        </w:rPr>
        <w:t xml:space="preserve">Visualization of GSEA analyses related to the gene ontology collection c5 is performed using </w:t>
      </w:r>
      <w:proofErr w:type="spellStart"/>
      <w:r w:rsidRPr="004D15C4">
        <w:rPr>
          <w:lang w:val="en-US"/>
        </w:rPr>
        <w:t>Cytoscape</w:t>
      </w:r>
      <w:proofErr w:type="spellEnd"/>
      <w:r w:rsidRPr="004D15C4">
        <w:rPr>
          <w:lang w:val="en-US"/>
        </w:rPr>
        <w:t xml:space="preserve"> software (Version 3.3) by filtering the results and keeping only data with a </w:t>
      </w:r>
      <w:proofErr w:type="spellStart"/>
      <w:r w:rsidRPr="004D15C4">
        <w:rPr>
          <w:lang w:val="en-US"/>
        </w:rPr>
        <w:t>p.value</w:t>
      </w:r>
      <w:proofErr w:type="spellEnd"/>
      <w:r w:rsidRPr="004D15C4">
        <w:rPr>
          <w:lang w:val="en-US"/>
        </w:rPr>
        <w:t xml:space="preserve"> less than 0.05 and FDR </w:t>
      </w:r>
      <w:proofErr w:type="spellStart"/>
      <w:r w:rsidRPr="004D15C4">
        <w:rPr>
          <w:lang w:val="en-US"/>
        </w:rPr>
        <w:t>q.value</w:t>
      </w:r>
      <w:proofErr w:type="spellEnd"/>
      <w:r w:rsidRPr="004D15C4">
        <w:rPr>
          <w:lang w:val="en-US"/>
        </w:rPr>
        <w:t xml:space="preserve"> less than 0.25, </w:t>
      </w:r>
      <w:r>
        <w:rPr>
          <w:lang w:val="en-US"/>
        </w:rPr>
        <w:t>with</w:t>
      </w:r>
      <w:r w:rsidRPr="004D15C4">
        <w:rPr>
          <w:lang w:val="en-US"/>
        </w:rPr>
        <w:t xml:space="preserve"> an overlap coefficient less than 0.5. This visualization highlights genes common to different signaling pathways.</w:t>
      </w:r>
    </w:p>
    <w:p w14:paraId="496E6E3D" w14:textId="77777777" w:rsidR="00AD500B" w:rsidRPr="004D15C4" w:rsidRDefault="00AD500B" w:rsidP="00AD500B">
      <w:pPr>
        <w:rPr>
          <w:b/>
          <w:bCs/>
          <w:lang w:val="en-US"/>
        </w:rPr>
      </w:pPr>
      <w:r w:rsidRPr="004D15C4">
        <w:rPr>
          <w:b/>
          <w:bCs/>
          <w:lang w:val="en-US"/>
        </w:rPr>
        <w:t>Proteome Analysis by Mass Spectrometry</w:t>
      </w:r>
    </w:p>
    <w:p w14:paraId="2C87F679" w14:textId="77777777" w:rsidR="00AD500B" w:rsidRPr="00106731" w:rsidRDefault="00AD500B" w:rsidP="00AD500B">
      <w:pPr>
        <w:rPr>
          <w:i/>
          <w:iCs/>
          <w:lang w:val="en-US"/>
        </w:rPr>
      </w:pPr>
      <w:r w:rsidRPr="00106731">
        <w:rPr>
          <w:i/>
          <w:iCs/>
          <w:lang w:val="en-US"/>
        </w:rPr>
        <w:t>Sample Preparation</w:t>
      </w:r>
    </w:p>
    <w:p w14:paraId="77075167" w14:textId="77777777" w:rsidR="00AD500B" w:rsidRPr="00394542" w:rsidRDefault="00AD500B" w:rsidP="00AD500B">
      <w:pPr>
        <w:rPr>
          <w:lang w:val="en-US"/>
        </w:rPr>
      </w:pPr>
      <w:r w:rsidRPr="004D15C4">
        <w:rPr>
          <w:lang w:val="en-US"/>
        </w:rPr>
        <w:lastRenderedPageBreak/>
        <w:t>Protein digestion from CD44</w:t>
      </w:r>
      <w:r w:rsidRPr="00914332">
        <w:rPr>
          <w:vertAlign w:val="superscript"/>
          <w:lang w:val="en-US"/>
        </w:rPr>
        <w:t>+</w:t>
      </w:r>
      <w:r w:rsidRPr="004D15C4">
        <w:rPr>
          <w:lang w:val="en-US"/>
        </w:rPr>
        <w:t>GLAST</w:t>
      </w:r>
      <w:r w:rsidRPr="00914332">
        <w:rPr>
          <w:vertAlign w:val="superscript"/>
          <w:lang w:val="en-US"/>
        </w:rPr>
        <w:t>+</w:t>
      </w:r>
      <w:r w:rsidRPr="004D15C4">
        <w:rPr>
          <w:lang w:val="en-US"/>
        </w:rPr>
        <w:t xml:space="preserve"> and CD44</w:t>
      </w:r>
      <w:r w:rsidRPr="00914332">
        <w:rPr>
          <w:vertAlign w:val="superscript"/>
          <w:lang w:val="en-US"/>
        </w:rPr>
        <w:t>-</w:t>
      </w:r>
      <w:r w:rsidRPr="004D15C4">
        <w:rPr>
          <w:lang w:val="en-US"/>
        </w:rPr>
        <w:t>GLAST</w:t>
      </w:r>
      <w:r w:rsidRPr="00914332">
        <w:rPr>
          <w:vertAlign w:val="superscript"/>
          <w:lang w:val="en-US"/>
        </w:rPr>
        <w:t>-</w:t>
      </w:r>
      <w:r w:rsidRPr="004D15C4">
        <w:rPr>
          <w:lang w:val="en-US"/>
        </w:rPr>
        <w:t xml:space="preserve"> populations of the LGG275 </w:t>
      </w:r>
      <w:r w:rsidRPr="00394542">
        <w:rPr>
          <w:lang w:val="en-US"/>
        </w:rPr>
        <w:t>Sample preparation</w:t>
      </w:r>
      <w:r>
        <w:rPr>
          <w:lang w:val="en-US"/>
        </w:rPr>
        <w:t xml:space="preserve"> </w:t>
      </w:r>
      <w:r w:rsidRPr="00394542">
        <w:rPr>
          <w:lang w:val="en-US"/>
        </w:rPr>
        <w:t>was performed on S-</w:t>
      </w:r>
      <w:proofErr w:type="spellStart"/>
      <w:r w:rsidRPr="00394542">
        <w:rPr>
          <w:lang w:val="en-US"/>
        </w:rPr>
        <w:t>Trap</w:t>
      </w:r>
      <w:r w:rsidRPr="00F11465">
        <w:rPr>
          <w:vertAlign w:val="superscript"/>
          <w:lang w:val="en-US"/>
        </w:rPr>
        <w:t>TM</w:t>
      </w:r>
      <w:proofErr w:type="spellEnd"/>
      <w:r w:rsidRPr="00394542">
        <w:rPr>
          <w:lang w:val="en-US"/>
        </w:rPr>
        <w:t xml:space="preserve"> micro columns following the manufacturer’s instructions. In brief, protein extracts were diluted in 40 µL of final 5% SDS / 50 mM triethylammonium bicarbonate (TEAB), reduced </w:t>
      </w:r>
      <w:r>
        <w:rPr>
          <w:lang w:val="en-US"/>
        </w:rPr>
        <w:t>by</w:t>
      </w:r>
      <w:r w:rsidRPr="00394542">
        <w:rPr>
          <w:lang w:val="en-US"/>
        </w:rPr>
        <w:t xml:space="preserve"> 20 mM dithiothreitol (DTT) and held for 10 min at 95°C. Samples were cooled to room temperature and alkylated with 40 mM iodoacetamide (IAA) for 30 min at room temperature in dark. Samples were acidified with phosphoric acid at </w:t>
      </w:r>
      <w:r>
        <w:rPr>
          <w:lang w:val="en-US"/>
        </w:rPr>
        <w:t xml:space="preserve">a </w:t>
      </w:r>
      <w:r w:rsidRPr="00394542">
        <w:rPr>
          <w:lang w:val="en-US"/>
        </w:rPr>
        <w:t xml:space="preserve">final concentration of 1.2% and diluted 6 times in </w:t>
      </w:r>
      <w:r>
        <w:rPr>
          <w:lang w:val="en-US"/>
        </w:rPr>
        <w:t xml:space="preserve">the </w:t>
      </w:r>
      <w:r w:rsidRPr="00394542">
        <w:rPr>
          <w:lang w:val="en-US"/>
        </w:rPr>
        <w:t xml:space="preserve">S-Trap binding buffer (90% methanol / 100 mM TEAB). The resulting protein suspension was transferred to the S-Trap filter via centrifugation at 4000g for 1 min. Trapped proteins were washed three times with </w:t>
      </w:r>
      <w:r>
        <w:rPr>
          <w:lang w:val="en-US"/>
        </w:rPr>
        <w:t xml:space="preserve">a </w:t>
      </w:r>
      <w:r w:rsidRPr="00394542">
        <w:rPr>
          <w:lang w:val="en-US"/>
        </w:rPr>
        <w:t xml:space="preserve">150 µL S-Trap binding buffer. 1 µg of trypsin in 50 mM TEAB were added to the filter surface and incubated for 2 hours at 47°C. Tryptic peptides were eluted sequentially with 40 µl of 50 mM TEAB / 0.2% aqueous formic acid, and then with 50% of </w:t>
      </w:r>
      <w:proofErr w:type="spellStart"/>
      <w:r w:rsidRPr="00394542">
        <w:rPr>
          <w:lang w:val="en-US"/>
        </w:rPr>
        <w:t>acetonitrinile</w:t>
      </w:r>
      <w:proofErr w:type="spellEnd"/>
      <w:r w:rsidRPr="00394542">
        <w:rPr>
          <w:lang w:val="en-US"/>
        </w:rPr>
        <w:t xml:space="preserve"> (ACN) via centrifugation at 4000g. Eluted peptides were vacuum-dried.</w:t>
      </w:r>
    </w:p>
    <w:p w14:paraId="6ECAC743" w14:textId="77777777" w:rsidR="00AD500B" w:rsidRPr="00106731" w:rsidRDefault="00AD500B" w:rsidP="00AD500B">
      <w:pPr>
        <w:rPr>
          <w:i/>
          <w:iCs/>
          <w:lang w:val="en-US"/>
        </w:rPr>
      </w:pPr>
      <w:r w:rsidRPr="00106731">
        <w:rPr>
          <w:i/>
          <w:iCs/>
          <w:lang w:val="en-US"/>
        </w:rPr>
        <w:t>Mass spectrometry</w:t>
      </w:r>
    </w:p>
    <w:p w14:paraId="744B5670" w14:textId="77777777" w:rsidR="00AD500B" w:rsidRPr="00394542" w:rsidRDefault="00AD500B" w:rsidP="00AD500B">
      <w:pPr>
        <w:rPr>
          <w:lang w:val="en-US"/>
        </w:rPr>
      </w:pPr>
      <w:r w:rsidRPr="00394542">
        <w:rPr>
          <w:lang w:val="en-US"/>
        </w:rPr>
        <w:t xml:space="preserve">Experiments were performed on a nano-flow HPLC coupled to a mass spectrometer equipped with a </w:t>
      </w:r>
      <w:proofErr w:type="spellStart"/>
      <w:r w:rsidRPr="00394542">
        <w:rPr>
          <w:lang w:val="en-US"/>
        </w:rPr>
        <w:t>nanoelectrospray</w:t>
      </w:r>
      <w:proofErr w:type="spellEnd"/>
      <w:r w:rsidRPr="00394542">
        <w:rPr>
          <w:lang w:val="en-US"/>
        </w:rPr>
        <w:t xml:space="preserve"> source.</w:t>
      </w:r>
      <w:r>
        <w:rPr>
          <w:lang w:val="en-US"/>
        </w:rPr>
        <w:t xml:space="preserve"> </w:t>
      </w:r>
      <w:r w:rsidRPr="00394542">
        <w:rPr>
          <w:lang w:val="en-US"/>
        </w:rPr>
        <w:t>Peptide samples were solubilized in 0.05% trifluoroacetic acid (TFA) / 2% ACN, and were injected for desalting and pre-concentration on a PepMap</w:t>
      </w:r>
      <w:r w:rsidRPr="00DD757C">
        <w:rPr>
          <w:vertAlign w:val="superscript"/>
          <w:lang w:val="en-US"/>
        </w:rPr>
        <w:t>®</w:t>
      </w:r>
      <w:r w:rsidRPr="00394542">
        <w:rPr>
          <w:lang w:val="en-US"/>
        </w:rPr>
        <w:t>100 C18 precolumn (0.3 mm x 5 mm</w:t>
      </w:r>
      <w:r>
        <w:rPr>
          <w:lang w:val="en-US"/>
        </w:rPr>
        <w:t>)</w:t>
      </w:r>
      <w:r w:rsidRPr="00394542">
        <w:rPr>
          <w:lang w:val="en-US"/>
        </w:rPr>
        <w:t>. Peptide’s separation w</w:t>
      </w:r>
      <w:r>
        <w:rPr>
          <w:lang w:val="en-US"/>
        </w:rPr>
        <w:t>as</w:t>
      </w:r>
      <w:r w:rsidRPr="00394542">
        <w:rPr>
          <w:lang w:val="en-US"/>
        </w:rPr>
        <w:t xml:space="preserve"> done on a 25 cm analytical reversed-phase column (75 mm inner diameter</w:t>
      </w:r>
      <w:r>
        <w:rPr>
          <w:lang w:val="en-US"/>
        </w:rPr>
        <w:t>)</w:t>
      </w:r>
      <w:r w:rsidRPr="00394542">
        <w:rPr>
          <w:lang w:val="en-US"/>
        </w:rPr>
        <w:t xml:space="preserve">) using a 60 min gradient of 2 to 40% of buffer B (80% ACN, 0.1% formic acid) and a flow rate of 300 </w:t>
      </w:r>
      <w:proofErr w:type="spellStart"/>
      <w:r w:rsidRPr="00394542">
        <w:rPr>
          <w:lang w:val="en-US"/>
        </w:rPr>
        <w:t>nL</w:t>
      </w:r>
      <w:proofErr w:type="spellEnd"/>
      <w:r w:rsidRPr="00394542">
        <w:rPr>
          <w:lang w:val="en-US"/>
        </w:rPr>
        <w:t xml:space="preserve">/min. Spectra were recorded using </w:t>
      </w:r>
      <w:proofErr w:type="spellStart"/>
      <w:r w:rsidRPr="00394542">
        <w:rPr>
          <w:lang w:val="en-US"/>
        </w:rPr>
        <w:t>Xcalibur</w:t>
      </w:r>
      <w:proofErr w:type="spellEnd"/>
      <w:r w:rsidRPr="00394542">
        <w:rPr>
          <w:lang w:val="en-US"/>
        </w:rPr>
        <w:t xml:space="preserve"> 4.2 software. MS analyses were performed in data-independent mode (DIA) using 49 windows (13.7 Th) covering a mass range of 361–1033 m/z. Resolution was set to 120,000 for MS1 and 15,000 for MS2. NCE was set to 27%.</w:t>
      </w:r>
    </w:p>
    <w:p w14:paraId="094005B2" w14:textId="77777777" w:rsidR="00AD500B" w:rsidRPr="00106731" w:rsidRDefault="00AD500B" w:rsidP="00AD500B">
      <w:pPr>
        <w:rPr>
          <w:i/>
          <w:iCs/>
          <w:lang w:val="en-US"/>
        </w:rPr>
      </w:pPr>
      <w:r w:rsidRPr="00106731">
        <w:rPr>
          <w:i/>
          <w:iCs/>
          <w:lang w:val="en-US"/>
        </w:rPr>
        <w:t>Data analysis</w:t>
      </w:r>
    </w:p>
    <w:p w14:paraId="78272CA4" w14:textId="79BD155B" w:rsidR="00AD500B" w:rsidRPr="00394542" w:rsidRDefault="00AD500B" w:rsidP="00AD500B">
      <w:pPr>
        <w:rPr>
          <w:lang w:val="en-US"/>
        </w:rPr>
      </w:pPr>
      <w:r w:rsidRPr="00394542">
        <w:rPr>
          <w:lang w:val="en-US"/>
        </w:rPr>
        <w:t>Spectral data were analyzed via DIANN v1.8.2b27 software [ https://github.com/vdemichev/DiaNN;</w:t>
      </w:r>
      <w:sdt>
        <w:sdtPr>
          <w:rPr>
            <w:rFonts w:cs="Times New Roman"/>
            <w:color w:val="000000"/>
            <w:lang w:val="en-US"/>
          </w:rPr>
          <w:tag w:val="MENDELEY_CITATION_v3_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"/>
          <w:id w:val="-92705008"/>
          <w:placeholder>
            <w:docPart w:val="24F901B06F384BBAA44BC55F3BE9885F"/>
          </w:placeholder>
        </w:sdtPr>
        <w:sdtEndPr/>
        <w:sdtContent>
          <w:r w:rsidR="002656EB" w:rsidRPr="002656EB">
            <w:rPr>
              <w:rFonts w:cs="Times New Roman"/>
              <w:color w:val="000000"/>
              <w:lang w:val="en-US"/>
            </w:rPr>
            <w:t>[3]</w:t>
          </w:r>
        </w:sdtContent>
      </w:sdt>
      <w:r>
        <w:rPr>
          <w:lang w:val="en-US"/>
        </w:rPr>
        <w:t>]</w:t>
      </w:r>
      <w:r w:rsidRPr="00394542">
        <w:rPr>
          <w:lang w:val="en-US"/>
        </w:rPr>
        <w:t xml:space="preserve">, using the </w:t>
      </w:r>
      <w:proofErr w:type="spellStart"/>
      <w:r w:rsidRPr="00394542">
        <w:rPr>
          <w:lang w:val="en-US"/>
        </w:rPr>
        <w:t>DIAgui</w:t>
      </w:r>
      <w:proofErr w:type="spellEnd"/>
      <w:r w:rsidRPr="00394542">
        <w:rPr>
          <w:lang w:val="en-US"/>
        </w:rPr>
        <w:t xml:space="preserve"> v1.4.2 tool [https://github.com/mgerault/DIAgui;</w:t>
      </w:r>
      <w:sdt>
        <w:sdtPr>
          <w:rPr>
            <w:rFonts w:cs="Times New Roman"/>
            <w:color w:val="000000"/>
            <w:lang w:val="en-US"/>
          </w:rPr>
          <w:tag w:val="MENDELEY_CITATION_v3_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"/>
          <w:id w:val="158353068"/>
          <w:placeholder>
            <w:docPart w:val="24F901B06F384BBAA44BC55F3BE9885F"/>
          </w:placeholder>
        </w:sdtPr>
        <w:sdtEndPr/>
        <w:sdtContent>
          <w:r w:rsidR="002656EB" w:rsidRPr="002656EB">
            <w:rPr>
              <w:rFonts w:cs="Times New Roman"/>
              <w:color w:val="000000"/>
              <w:lang w:val="en-US"/>
            </w:rPr>
            <w:t>[4]</w:t>
          </w:r>
        </w:sdtContent>
      </w:sdt>
      <w:r w:rsidRPr="00D41E74">
        <w:rPr>
          <w:lang w:val="en-US"/>
        </w:rPr>
        <w:t>].</w:t>
      </w:r>
      <w:r w:rsidRPr="00394542">
        <w:rPr>
          <w:lang w:val="en-US"/>
        </w:rPr>
        <w:t xml:space="preserve"> For protein databases, we used the Homo sapiens Reference Proteome (UP000005640; release 2025_01; https://www.uniprot.org/) and a homemade contaminant database with the following fixed modification: </w:t>
      </w:r>
      <w:proofErr w:type="spellStart"/>
      <w:r w:rsidRPr="00394542">
        <w:rPr>
          <w:lang w:val="en-US"/>
        </w:rPr>
        <w:t>Carbamidomethylation</w:t>
      </w:r>
      <w:proofErr w:type="spellEnd"/>
      <w:r w:rsidRPr="00FD575D">
        <w:rPr>
          <w:vertAlign w:val="superscript"/>
          <w:lang w:val="en-US"/>
        </w:rPr>
        <w:t>(C)</w:t>
      </w:r>
      <w:r w:rsidRPr="00394542">
        <w:rPr>
          <w:lang w:val="en-US"/>
        </w:rPr>
        <w:t>. Data reprocessing, statistical analyses and graphical representations were performed using Perseus v1.6.15.0 software</w:t>
      </w:r>
      <w:sdt>
        <w:sdtPr>
          <w:rPr>
            <w:rFonts w:cs="Times New Roman"/>
            <w:color w:val="000000"/>
            <w:lang w:val="en-US"/>
          </w:rPr>
          <w:tag w:val="MENDELEY_CITATION_v3_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"/>
          <w:id w:val="-2128460439"/>
          <w:placeholder>
            <w:docPart w:val="24F901B06F384BBAA44BC55F3BE9885F"/>
          </w:placeholder>
        </w:sdtPr>
        <w:sdtEndPr/>
        <w:sdtContent>
          <w:r w:rsidR="002656EB" w:rsidRPr="002656EB">
            <w:rPr>
              <w:rFonts w:cs="Times New Roman"/>
              <w:color w:val="000000"/>
              <w:lang w:val="en-US"/>
            </w:rPr>
            <w:t>[5]</w:t>
          </w:r>
        </w:sdtContent>
      </w:sdt>
      <w:r>
        <w:rPr>
          <w:lang w:val="en-US"/>
        </w:rPr>
        <w:t>.</w:t>
      </w:r>
    </w:p>
    <w:p w14:paraId="11E88B83" w14:textId="524E38A8" w:rsidR="00AD500B" w:rsidRDefault="00AD500B" w:rsidP="00AD500B">
      <w:pPr>
        <w:rPr>
          <w:lang w:val="en-US"/>
        </w:rPr>
      </w:pPr>
      <w:r w:rsidRPr="00394542">
        <w:rPr>
          <w:lang w:val="en-US"/>
        </w:rPr>
        <w:lastRenderedPageBreak/>
        <w:t xml:space="preserve">The mass spectrometry proteomics data have been uploaded to the </w:t>
      </w:r>
      <w:proofErr w:type="spellStart"/>
      <w:r w:rsidRPr="00394542">
        <w:rPr>
          <w:lang w:val="en-US"/>
        </w:rPr>
        <w:t>ProteomeXchange</w:t>
      </w:r>
      <w:proofErr w:type="spellEnd"/>
      <w:r w:rsidRPr="00394542">
        <w:rPr>
          <w:lang w:val="en-US"/>
        </w:rPr>
        <w:t xml:space="preserve"> Consortium via the PRIDE partner repository with the dataset identifier PXD064235</w:t>
      </w:r>
      <w:sdt>
        <w:sdtPr>
          <w:rPr>
            <w:rFonts w:cs="Times New Roman"/>
            <w:color w:val="000000"/>
            <w:lang w:val="en-US"/>
          </w:rPr>
          <w:tag w:val="MENDELEY_CITATION_v3_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"/>
          <w:id w:val="770670396"/>
          <w:placeholder>
            <w:docPart w:val="24F901B06F384BBAA44BC55F3BE9885F"/>
          </w:placeholder>
        </w:sdtPr>
        <w:sdtEndPr/>
        <w:sdtContent>
          <w:r w:rsidR="002656EB" w:rsidRPr="002656EB">
            <w:rPr>
              <w:rFonts w:cs="Times New Roman"/>
              <w:color w:val="000000"/>
              <w:lang w:val="en-US"/>
            </w:rPr>
            <w:t>[6]</w:t>
          </w:r>
        </w:sdtContent>
      </w:sdt>
      <w:r>
        <w:rPr>
          <w:lang w:val="en-US"/>
        </w:rPr>
        <w:t xml:space="preserve">. </w:t>
      </w:r>
    </w:p>
    <w:sdt>
      <w:sdtPr>
        <w:rPr>
          <w:rFonts w:cs="Times New Roman"/>
          <w:color w:val="000000"/>
          <w:lang w:val="en-US"/>
        </w:rPr>
        <w:tag w:val="MENDELEY_BIBLIOGRAPHY"/>
        <w:id w:val="-2066173611"/>
        <w:placeholder>
          <w:docPart w:val="DefaultPlaceholder_-1854013440"/>
        </w:placeholder>
      </w:sdtPr>
      <w:sdtEndPr/>
      <w:sdtContent>
        <w:p w14:paraId="1FCF7D58" w14:textId="77777777" w:rsidR="001E7782" w:rsidRDefault="001E7782">
          <w:pPr>
            <w:autoSpaceDE w:val="0"/>
            <w:autoSpaceDN w:val="0"/>
            <w:ind w:hanging="640"/>
            <w:divId w:val="2011134001"/>
            <w:rPr>
              <w:rFonts w:eastAsia="Times New Roman"/>
              <w:szCs w:val="24"/>
            </w:rPr>
          </w:pPr>
          <w:r>
            <w:rPr>
              <w:rFonts w:eastAsia="Times New Roman"/>
            </w:rPr>
            <w:t>1.</w:t>
          </w:r>
          <w:r>
            <w:rPr>
              <w:rFonts w:eastAsia="Times New Roman"/>
            </w:rPr>
            <w:tab/>
            <w:t xml:space="preserve">Salma M, </w:t>
          </w:r>
          <w:proofErr w:type="spellStart"/>
          <w:r>
            <w:rPr>
              <w:rFonts w:eastAsia="Times New Roman"/>
            </w:rPr>
            <w:t>Alaterre</w:t>
          </w:r>
          <w:proofErr w:type="spellEnd"/>
          <w:r>
            <w:rPr>
              <w:rFonts w:eastAsia="Times New Roman"/>
            </w:rPr>
            <w:t xml:space="preserve"> E, </w:t>
          </w:r>
          <w:proofErr w:type="spellStart"/>
          <w:r>
            <w:rPr>
              <w:rFonts w:eastAsia="Times New Roman"/>
            </w:rPr>
            <w:t>Moreaux</w:t>
          </w:r>
          <w:proofErr w:type="spellEnd"/>
          <w:r>
            <w:rPr>
              <w:rFonts w:eastAsia="Times New Roman"/>
            </w:rPr>
            <w:t xml:space="preserve"> J, Soler E. </w:t>
          </w:r>
          <w:proofErr w:type="spellStart"/>
          <w:r>
            <w:rPr>
              <w:rFonts w:eastAsia="Times New Roman"/>
            </w:rPr>
            <w:t>Var</w:t>
          </w:r>
          <w:r>
            <w:rPr>
              <w:rFonts w:ascii="Cambria Math" w:eastAsia="Times New Roman" w:hAnsi="Cambria Math" w:cs="Cambria Math"/>
            </w:rPr>
            <w:t>∣</w:t>
          </w:r>
          <w:r>
            <w:rPr>
              <w:rFonts w:eastAsia="Times New Roman"/>
            </w:rPr>
            <w:t>Decrypt</w:t>
          </w:r>
          <w:proofErr w:type="spellEnd"/>
          <w:r>
            <w:rPr>
              <w:rFonts w:eastAsia="Times New Roman"/>
            </w:rPr>
            <w:t xml:space="preserve">: a novel and user-friendly tool to explore and prioritize variants in whole-exome sequencing data. </w:t>
          </w:r>
          <w:r>
            <w:rPr>
              <w:rFonts w:eastAsia="Times New Roman"/>
              <w:i/>
              <w:iCs/>
            </w:rPr>
            <w:t>Epigenetics Chromatin</w:t>
          </w:r>
          <w:r>
            <w:rPr>
              <w:rFonts w:eastAsia="Times New Roman"/>
            </w:rPr>
            <w:t>. 2023;16(1). doi:10.1186/S13072-023-00497-4</w:t>
          </w:r>
        </w:p>
        <w:p w14:paraId="76085F06" w14:textId="77777777" w:rsidR="001E7782" w:rsidRDefault="001E7782">
          <w:pPr>
            <w:autoSpaceDE w:val="0"/>
            <w:autoSpaceDN w:val="0"/>
            <w:ind w:hanging="640"/>
            <w:divId w:val="595360651"/>
            <w:rPr>
              <w:rFonts w:eastAsia="Times New Roman"/>
            </w:rPr>
          </w:pPr>
          <w:r>
            <w:rPr>
              <w:rFonts w:eastAsia="Times New Roman"/>
            </w:rPr>
            <w:t>2.</w:t>
          </w:r>
          <w:r>
            <w:rPr>
              <w:rFonts w:eastAsia="Times New Roman"/>
            </w:rPr>
            <w:tab/>
          </w:r>
          <w:proofErr w:type="spellStart"/>
          <w:r>
            <w:rPr>
              <w:rFonts w:eastAsia="Times New Roman"/>
            </w:rPr>
            <w:t>Kalamakis</w:t>
          </w:r>
          <w:proofErr w:type="spellEnd"/>
          <w:r>
            <w:rPr>
              <w:rFonts w:eastAsia="Times New Roman"/>
            </w:rPr>
            <w:t xml:space="preserve"> G, </w:t>
          </w:r>
          <w:proofErr w:type="spellStart"/>
          <w:r>
            <w:rPr>
              <w:rFonts w:eastAsia="Times New Roman"/>
            </w:rPr>
            <w:t>Brüne</w:t>
          </w:r>
          <w:proofErr w:type="spellEnd"/>
          <w:r>
            <w:rPr>
              <w:rFonts w:eastAsia="Times New Roman"/>
            </w:rPr>
            <w:t xml:space="preserve"> D, Ravichandran S, et al. Quiescence Modulates Stem Cell Maintenance and Regenerative Capacity in the Aging Brain. </w:t>
          </w:r>
          <w:r>
            <w:rPr>
              <w:rFonts w:eastAsia="Times New Roman"/>
              <w:i/>
              <w:iCs/>
            </w:rPr>
            <w:t>Cell</w:t>
          </w:r>
          <w:r>
            <w:rPr>
              <w:rFonts w:eastAsia="Times New Roman"/>
            </w:rPr>
            <w:t xml:space="preserve">. 2019;176(6):1407–1419.e14. </w:t>
          </w:r>
          <w:proofErr w:type="gramStart"/>
          <w:r>
            <w:rPr>
              <w:rFonts w:eastAsia="Times New Roman"/>
            </w:rPr>
            <w:t>doi:10.1016/j.cell</w:t>
          </w:r>
          <w:proofErr w:type="gramEnd"/>
          <w:r>
            <w:rPr>
              <w:rFonts w:eastAsia="Times New Roman"/>
            </w:rPr>
            <w:t>.2019.01.040</w:t>
          </w:r>
        </w:p>
        <w:p w14:paraId="3A326304" w14:textId="77777777" w:rsidR="001E7782" w:rsidRPr="001E7782" w:rsidRDefault="001E7782">
          <w:pPr>
            <w:autoSpaceDE w:val="0"/>
            <w:autoSpaceDN w:val="0"/>
            <w:ind w:hanging="640"/>
            <w:divId w:val="555508403"/>
            <w:rPr>
              <w:rFonts w:eastAsia="Times New Roman"/>
              <w:lang w:val="fr-FR"/>
            </w:rPr>
          </w:pPr>
          <w:r>
            <w:rPr>
              <w:rFonts w:eastAsia="Times New Roman"/>
            </w:rPr>
            <w:t>3.</w:t>
          </w:r>
          <w:r>
            <w:rPr>
              <w:rFonts w:eastAsia="Times New Roman"/>
            </w:rPr>
            <w:tab/>
          </w:r>
          <w:proofErr w:type="spellStart"/>
          <w:r>
            <w:rPr>
              <w:rFonts w:eastAsia="Times New Roman"/>
            </w:rPr>
            <w:t>Ianevski</w:t>
          </w:r>
          <w:proofErr w:type="spellEnd"/>
          <w:r>
            <w:rPr>
              <w:rFonts w:eastAsia="Times New Roman"/>
            </w:rPr>
            <w:t xml:space="preserve"> A, </w:t>
          </w:r>
          <w:proofErr w:type="spellStart"/>
          <w:r>
            <w:rPr>
              <w:rFonts w:eastAsia="Times New Roman"/>
            </w:rPr>
            <w:t>Giri</w:t>
          </w:r>
          <w:proofErr w:type="spellEnd"/>
          <w:r>
            <w:rPr>
              <w:rFonts w:eastAsia="Times New Roman"/>
            </w:rPr>
            <w:t xml:space="preserve"> AK, </w:t>
          </w:r>
          <w:proofErr w:type="spellStart"/>
          <w:r>
            <w:rPr>
              <w:rFonts w:eastAsia="Times New Roman"/>
            </w:rPr>
            <w:t>Aittokallio</w:t>
          </w:r>
          <w:proofErr w:type="spellEnd"/>
          <w:r>
            <w:rPr>
              <w:rFonts w:eastAsia="Times New Roman"/>
            </w:rPr>
            <w:t xml:space="preserve"> T. Fully-automated and ultra-fast cell-type identification using specific marker combinations from single-cell transcriptomic data. </w:t>
          </w:r>
          <w:r w:rsidRPr="001E7782">
            <w:rPr>
              <w:rFonts w:eastAsia="Times New Roman"/>
              <w:i/>
              <w:iCs/>
              <w:lang w:val="fr-FR"/>
            </w:rPr>
            <w:t xml:space="preserve">Nature Communications 2022 </w:t>
          </w:r>
          <w:proofErr w:type="gramStart"/>
          <w:r w:rsidRPr="001E7782">
            <w:rPr>
              <w:rFonts w:eastAsia="Times New Roman"/>
              <w:i/>
              <w:iCs/>
              <w:lang w:val="fr-FR"/>
            </w:rPr>
            <w:t>13:</w:t>
          </w:r>
          <w:proofErr w:type="gramEnd"/>
          <w:r w:rsidRPr="001E7782">
            <w:rPr>
              <w:rFonts w:eastAsia="Times New Roman"/>
              <w:i/>
              <w:iCs/>
              <w:lang w:val="fr-FR"/>
            </w:rPr>
            <w:t>1</w:t>
          </w:r>
          <w:r w:rsidRPr="001E7782">
            <w:rPr>
              <w:rFonts w:eastAsia="Times New Roman"/>
              <w:lang w:val="fr-FR"/>
            </w:rPr>
            <w:t xml:space="preserve">. 2022;13(1):1-10. </w:t>
          </w:r>
          <w:proofErr w:type="gramStart"/>
          <w:r w:rsidRPr="001E7782">
            <w:rPr>
              <w:rFonts w:eastAsia="Times New Roman"/>
              <w:lang w:val="fr-FR"/>
            </w:rPr>
            <w:t>doi:</w:t>
          </w:r>
          <w:proofErr w:type="gramEnd"/>
          <w:r w:rsidRPr="001E7782">
            <w:rPr>
              <w:rFonts w:eastAsia="Times New Roman"/>
              <w:lang w:val="fr-FR"/>
            </w:rPr>
            <w:t>10.1038/s41467-022-28803-w</w:t>
          </w:r>
        </w:p>
        <w:p w14:paraId="3A0D516B" w14:textId="77777777" w:rsidR="001E7782" w:rsidRDefault="001E7782">
          <w:pPr>
            <w:autoSpaceDE w:val="0"/>
            <w:autoSpaceDN w:val="0"/>
            <w:ind w:hanging="640"/>
            <w:divId w:val="61099595"/>
            <w:rPr>
              <w:rFonts w:eastAsia="Times New Roman"/>
            </w:rPr>
          </w:pPr>
          <w:r w:rsidRPr="001E7782">
            <w:rPr>
              <w:rFonts w:eastAsia="Times New Roman"/>
              <w:lang w:val="fr-FR"/>
            </w:rPr>
            <w:t>4.</w:t>
          </w:r>
          <w:r w:rsidRPr="001E7782">
            <w:rPr>
              <w:rFonts w:eastAsia="Times New Roman"/>
              <w:lang w:val="fr-FR"/>
            </w:rPr>
            <w:tab/>
            <w:t xml:space="preserve">Hu C, Li T, Xu Y, et al. </w:t>
          </w:r>
          <w:proofErr w:type="spellStart"/>
          <w:r>
            <w:rPr>
              <w:rFonts w:eastAsia="Times New Roman"/>
            </w:rPr>
            <w:t>CellMarker</w:t>
          </w:r>
          <w:proofErr w:type="spellEnd"/>
          <w:r>
            <w:rPr>
              <w:rFonts w:eastAsia="Times New Roman"/>
            </w:rPr>
            <w:t xml:space="preserve"> 2.0: an updated database of manually curated cell markers in human/mouse and web tools based on </w:t>
          </w:r>
          <w:proofErr w:type="spellStart"/>
          <w:r>
            <w:rPr>
              <w:rFonts w:eastAsia="Times New Roman"/>
            </w:rPr>
            <w:t>scRNA-seq</w:t>
          </w:r>
          <w:proofErr w:type="spellEnd"/>
          <w:r>
            <w:rPr>
              <w:rFonts w:eastAsia="Times New Roman"/>
            </w:rPr>
            <w:t xml:space="preserve"> data. </w:t>
          </w:r>
          <w:r>
            <w:rPr>
              <w:rFonts w:eastAsia="Times New Roman"/>
              <w:i/>
              <w:iCs/>
            </w:rPr>
            <w:t>Nucleic Acids Res</w:t>
          </w:r>
          <w:r>
            <w:rPr>
              <w:rFonts w:eastAsia="Times New Roman"/>
            </w:rPr>
            <w:t>. 2023;51(D1</w:t>
          </w:r>
          <w:proofErr w:type="gramStart"/>
          <w:r>
            <w:rPr>
              <w:rFonts w:eastAsia="Times New Roman"/>
            </w:rPr>
            <w:t>):D</w:t>
          </w:r>
          <w:proofErr w:type="gramEnd"/>
          <w:r>
            <w:rPr>
              <w:rFonts w:eastAsia="Times New Roman"/>
            </w:rPr>
            <w:t>870-D876. doi:10.1093/NAR/GKAC947</w:t>
          </w:r>
        </w:p>
        <w:p w14:paraId="2BF93BDB" w14:textId="77777777" w:rsidR="001E7782" w:rsidRPr="001E7782" w:rsidRDefault="001E7782">
          <w:pPr>
            <w:autoSpaceDE w:val="0"/>
            <w:autoSpaceDN w:val="0"/>
            <w:ind w:hanging="640"/>
            <w:divId w:val="827399548"/>
            <w:rPr>
              <w:rFonts w:eastAsia="Times New Roman"/>
              <w:lang w:val="fr-FR"/>
            </w:rPr>
          </w:pPr>
          <w:r>
            <w:rPr>
              <w:rFonts w:eastAsia="Times New Roman"/>
            </w:rPr>
            <w:t>5.</w:t>
          </w:r>
          <w:r>
            <w:rPr>
              <w:rFonts w:eastAsia="Times New Roman"/>
            </w:rPr>
            <w:tab/>
            <w:t>Zhong S, Zhang S, Fan X, et al. A single-cell RNA-</w:t>
          </w:r>
          <w:proofErr w:type="spellStart"/>
          <w:r>
            <w:rPr>
              <w:rFonts w:eastAsia="Times New Roman"/>
            </w:rPr>
            <w:t>seq</w:t>
          </w:r>
          <w:proofErr w:type="spellEnd"/>
          <w:r>
            <w:rPr>
              <w:rFonts w:eastAsia="Times New Roman"/>
            </w:rPr>
            <w:t xml:space="preserve"> survey of the developmental landscape of the human prefrontal cortex. </w:t>
          </w:r>
          <w:r w:rsidRPr="001E7782">
            <w:rPr>
              <w:rFonts w:eastAsia="Times New Roman"/>
              <w:i/>
              <w:iCs/>
              <w:lang w:val="fr-FR"/>
            </w:rPr>
            <w:t xml:space="preserve">Nature 2018 </w:t>
          </w:r>
          <w:proofErr w:type="gramStart"/>
          <w:r w:rsidRPr="001E7782">
            <w:rPr>
              <w:rFonts w:eastAsia="Times New Roman"/>
              <w:i/>
              <w:iCs/>
              <w:lang w:val="fr-FR"/>
            </w:rPr>
            <w:t>555:</w:t>
          </w:r>
          <w:proofErr w:type="gramEnd"/>
          <w:r w:rsidRPr="001E7782">
            <w:rPr>
              <w:rFonts w:eastAsia="Times New Roman"/>
              <w:i/>
              <w:iCs/>
              <w:lang w:val="fr-FR"/>
            </w:rPr>
            <w:t>7697</w:t>
          </w:r>
          <w:r w:rsidRPr="001E7782">
            <w:rPr>
              <w:rFonts w:eastAsia="Times New Roman"/>
              <w:lang w:val="fr-FR"/>
            </w:rPr>
            <w:t xml:space="preserve">. </w:t>
          </w:r>
          <w:proofErr w:type="gramStart"/>
          <w:r w:rsidRPr="001E7782">
            <w:rPr>
              <w:rFonts w:eastAsia="Times New Roman"/>
              <w:lang w:val="fr-FR"/>
            </w:rPr>
            <w:t>2018;</w:t>
          </w:r>
          <w:proofErr w:type="gramEnd"/>
          <w:r w:rsidRPr="001E7782">
            <w:rPr>
              <w:rFonts w:eastAsia="Times New Roman"/>
              <w:lang w:val="fr-FR"/>
            </w:rPr>
            <w:t xml:space="preserve">555(7697):524-528. </w:t>
          </w:r>
          <w:proofErr w:type="gramStart"/>
          <w:r w:rsidRPr="001E7782">
            <w:rPr>
              <w:rFonts w:eastAsia="Times New Roman"/>
              <w:lang w:val="fr-FR"/>
            </w:rPr>
            <w:t>doi:</w:t>
          </w:r>
          <w:proofErr w:type="gramEnd"/>
          <w:r w:rsidRPr="001E7782">
            <w:rPr>
              <w:rFonts w:eastAsia="Times New Roman"/>
              <w:lang w:val="fr-FR"/>
            </w:rPr>
            <w:t>10.1038/nature25980</w:t>
          </w:r>
        </w:p>
        <w:p w14:paraId="137A0D10" w14:textId="77777777" w:rsidR="001E7782" w:rsidRPr="001E7782" w:rsidRDefault="001E7782">
          <w:pPr>
            <w:autoSpaceDE w:val="0"/>
            <w:autoSpaceDN w:val="0"/>
            <w:ind w:hanging="640"/>
            <w:divId w:val="625428838"/>
            <w:rPr>
              <w:rFonts w:eastAsia="Times New Roman"/>
              <w:lang w:val="fr-FR"/>
            </w:rPr>
          </w:pPr>
          <w:r w:rsidRPr="001E7782">
            <w:rPr>
              <w:rFonts w:eastAsia="Times New Roman"/>
              <w:lang w:val="fr-FR"/>
            </w:rPr>
            <w:t>6.</w:t>
          </w:r>
          <w:r w:rsidRPr="001E7782">
            <w:rPr>
              <w:rFonts w:eastAsia="Times New Roman"/>
              <w:lang w:val="fr-FR"/>
            </w:rPr>
            <w:tab/>
          </w:r>
          <w:proofErr w:type="spellStart"/>
          <w:r w:rsidRPr="001E7782">
            <w:rPr>
              <w:rFonts w:eastAsia="Times New Roman"/>
              <w:lang w:val="fr-FR"/>
            </w:rPr>
            <w:t>Tirosh</w:t>
          </w:r>
          <w:proofErr w:type="spellEnd"/>
          <w:r w:rsidRPr="001E7782">
            <w:rPr>
              <w:rFonts w:eastAsia="Times New Roman"/>
              <w:lang w:val="fr-FR"/>
            </w:rPr>
            <w:t xml:space="preserve"> I, </w:t>
          </w:r>
          <w:proofErr w:type="spellStart"/>
          <w:r w:rsidRPr="001E7782">
            <w:rPr>
              <w:rFonts w:eastAsia="Times New Roman"/>
              <w:lang w:val="fr-FR"/>
            </w:rPr>
            <w:t>Venteicher</w:t>
          </w:r>
          <w:proofErr w:type="spellEnd"/>
          <w:r w:rsidRPr="001E7782">
            <w:rPr>
              <w:rFonts w:eastAsia="Times New Roman"/>
              <w:lang w:val="fr-FR"/>
            </w:rPr>
            <w:t xml:space="preserve"> AS, Hebert C, et al. </w:t>
          </w:r>
          <w:r>
            <w:rPr>
              <w:rFonts w:eastAsia="Times New Roman"/>
            </w:rPr>
            <w:t>Single-cell RNA-</w:t>
          </w:r>
          <w:proofErr w:type="spellStart"/>
          <w:r>
            <w:rPr>
              <w:rFonts w:eastAsia="Times New Roman"/>
            </w:rPr>
            <w:t>seq</w:t>
          </w:r>
          <w:proofErr w:type="spellEnd"/>
          <w:r>
            <w:rPr>
              <w:rFonts w:eastAsia="Times New Roman"/>
            </w:rPr>
            <w:t xml:space="preserve"> supports a developmental hierarchy in human oligodendroglioma. </w:t>
          </w:r>
          <w:r w:rsidRPr="001E7782">
            <w:rPr>
              <w:rFonts w:eastAsia="Times New Roman"/>
              <w:i/>
              <w:iCs/>
              <w:lang w:val="fr-FR"/>
            </w:rPr>
            <w:t>Nature</w:t>
          </w:r>
          <w:r w:rsidRPr="001E7782">
            <w:rPr>
              <w:rFonts w:eastAsia="Times New Roman"/>
              <w:lang w:val="fr-FR"/>
            </w:rPr>
            <w:t xml:space="preserve">. </w:t>
          </w:r>
          <w:proofErr w:type="gramStart"/>
          <w:r w:rsidRPr="001E7782">
            <w:rPr>
              <w:rFonts w:eastAsia="Times New Roman"/>
              <w:lang w:val="fr-FR"/>
            </w:rPr>
            <w:t>2016;</w:t>
          </w:r>
          <w:proofErr w:type="gramEnd"/>
          <w:r w:rsidRPr="001E7782">
            <w:rPr>
              <w:rFonts w:eastAsia="Times New Roman"/>
              <w:lang w:val="fr-FR"/>
            </w:rPr>
            <w:t xml:space="preserve">539(7628):309. </w:t>
          </w:r>
          <w:proofErr w:type="gramStart"/>
          <w:r w:rsidRPr="001E7782">
            <w:rPr>
              <w:rFonts w:eastAsia="Times New Roman"/>
              <w:lang w:val="fr-FR"/>
            </w:rPr>
            <w:t>doi:</w:t>
          </w:r>
          <w:proofErr w:type="gramEnd"/>
          <w:r w:rsidRPr="001E7782">
            <w:rPr>
              <w:rFonts w:eastAsia="Times New Roman"/>
              <w:lang w:val="fr-FR"/>
            </w:rPr>
            <w:t>10.1038/NATURE20123</w:t>
          </w:r>
        </w:p>
        <w:p w14:paraId="4C53E3BF" w14:textId="77777777" w:rsidR="001E7782" w:rsidRDefault="001E7782">
          <w:pPr>
            <w:autoSpaceDE w:val="0"/>
            <w:autoSpaceDN w:val="0"/>
            <w:ind w:hanging="640"/>
            <w:divId w:val="1627156273"/>
            <w:rPr>
              <w:rFonts w:eastAsia="Times New Roman"/>
            </w:rPr>
          </w:pPr>
          <w:r w:rsidRPr="001E7782">
            <w:rPr>
              <w:rFonts w:eastAsia="Times New Roman"/>
              <w:lang w:val="fr-FR"/>
            </w:rPr>
            <w:t>7.</w:t>
          </w:r>
          <w:r w:rsidRPr="001E7782">
            <w:rPr>
              <w:rFonts w:eastAsia="Times New Roman"/>
              <w:lang w:val="fr-FR"/>
            </w:rPr>
            <w:tab/>
          </w:r>
          <w:proofErr w:type="spellStart"/>
          <w:r w:rsidRPr="001E7782">
            <w:rPr>
              <w:rFonts w:eastAsia="Times New Roman"/>
              <w:lang w:val="fr-FR"/>
            </w:rPr>
            <w:t>O‘Connor</w:t>
          </w:r>
          <w:proofErr w:type="spellEnd"/>
          <w:r w:rsidRPr="001E7782">
            <w:rPr>
              <w:rFonts w:eastAsia="Times New Roman"/>
              <w:lang w:val="fr-FR"/>
            </w:rPr>
            <w:t xml:space="preserve"> SA, Garcia L, Hoover R, et al. </w:t>
          </w:r>
          <w:r>
            <w:rPr>
              <w:rFonts w:eastAsia="Times New Roman"/>
            </w:rPr>
            <w:t xml:space="preserve">Classifying cell cycle states and a quiescent-like G0 state using single-cell transcriptomics. </w:t>
          </w:r>
          <w:proofErr w:type="spellStart"/>
          <w:r>
            <w:rPr>
              <w:rFonts w:eastAsia="Times New Roman"/>
              <w:i/>
              <w:iCs/>
            </w:rPr>
            <w:t>bioRxiv</w:t>
          </w:r>
          <w:proofErr w:type="spellEnd"/>
          <w:r>
            <w:rPr>
              <w:rFonts w:eastAsia="Times New Roman"/>
            </w:rPr>
            <w:t>. Published online April 20, 2025. doi:10.1101/2024.04.16.589816</w:t>
          </w:r>
        </w:p>
        <w:p w14:paraId="4954F46C" w14:textId="77777777" w:rsidR="001E7782" w:rsidRDefault="001E7782">
          <w:pPr>
            <w:autoSpaceDE w:val="0"/>
            <w:autoSpaceDN w:val="0"/>
            <w:ind w:hanging="640"/>
            <w:divId w:val="1265697244"/>
            <w:rPr>
              <w:rFonts w:eastAsia="Times New Roman"/>
            </w:rPr>
          </w:pPr>
          <w:r>
            <w:rPr>
              <w:rFonts w:eastAsia="Times New Roman"/>
            </w:rPr>
            <w:t>8.</w:t>
          </w:r>
          <w:r>
            <w:rPr>
              <w:rFonts w:eastAsia="Times New Roman"/>
            </w:rPr>
            <w:tab/>
          </w:r>
          <w:proofErr w:type="spellStart"/>
          <w:r>
            <w:rPr>
              <w:rFonts w:eastAsia="Times New Roman"/>
            </w:rPr>
            <w:t>Jin</w:t>
          </w:r>
          <w:proofErr w:type="spellEnd"/>
          <w:r>
            <w:rPr>
              <w:rFonts w:eastAsia="Times New Roman"/>
            </w:rPr>
            <w:t xml:space="preserve"> S, </w:t>
          </w:r>
          <w:proofErr w:type="spellStart"/>
          <w:r>
            <w:rPr>
              <w:rFonts w:eastAsia="Times New Roman"/>
            </w:rPr>
            <w:t>Plikus</w:t>
          </w:r>
          <w:proofErr w:type="spellEnd"/>
          <w:r>
            <w:rPr>
              <w:rFonts w:eastAsia="Times New Roman"/>
            </w:rPr>
            <w:t xml:space="preserve"> M V., </w:t>
          </w:r>
          <w:proofErr w:type="spellStart"/>
          <w:r>
            <w:rPr>
              <w:rFonts w:eastAsia="Times New Roman"/>
            </w:rPr>
            <w:t>Nie</w:t>
          </w:r>
          <w:proofErr w:type="spellEnd"/>
          <w:r>
            <w:rPr>
              <w:rFonts w:eastAsia="Times New Roman"/>
            </w:rPr>
            <w:t xml:space="preserve"> Q. </w:t>
          </w:r>
          <w:proofErr w:type="spellStart"/>
          <w:r>
            <w:rPr>
              <w:rFonts w:eastAsia="Times New Roman"/>
            </w:rPr>
            <w:t>CellChat</w:t>
          </w:r>
          <w:proofErr w:type="spellEnd"/>
          <w:r>
            <w:rPr>
              <w:rFonts w:eastAsia="Times New Roman"/>
            </w:rPr>
            <w:t xml:space="preserve"> for systematic analysis of cell-cell communication from single-cell and spatially resolved transcriptomics. </w:t>
          </w:r>
          <w:proofErr w:type="spellStart"/>
          <w:r>
            <w:rPr>
              <w:rFonts w:eastAsia="Times New Roman"/>
              <w:i/>
              <w:iCs/>
            </w:rPr>
            <w:t>bioRxiv</w:t>
          </w:r>
          <w:proofErr w:type="spellEnd"/>
          <w:r>
            <w:rPr>
              <w:rFonts w:eastAsia="Times New Roman"/>
            </w:rPr>
            <w:t>. Published online November 5, 2023:2023.11.05.565674. doi:10.1101/2023.11.05.565674</w:t>
          </w:r>
        </w:p>
        <w:p w14:paraId="5B31AB80" w14:textId="77777777" w:rsidR="001E7782" w:rsidRDefault="001E7782">
          <w:pPr>
            <w:autoSpaceDE w:val="0"/>
            <w:autoSpaceDN w:val="0"/>
            <w:ind w:hanging="640"/>
            <w:divId w:val="1418790201"/>
            <w:rPr>
              <w:rFonts w:eastAsia="Times New Roman"/>
            </w:rPr>
          </w:pPr>
          <w:r>
            <w:rPr>
              <w:rFonts w:eastAsia="Times New Roman"/>
            </w:rPr>
            <w:lastRenderedPageBreak/>
            <w:t>9.</w:t>
          </w:r>
          <w:r>
            <w:rPr>
              <w:rFonts w:eastAsia="Times New Roman"/>
            </w:rPr>
            <w:tab/>
            <w:t xml:space="preserve">Bergen V, Lange M, </w:t>
          </w:r>
          <w:proofErr w:type="spellStart"/>
          <w:r>
            <w:rPr>
              <w:rFonts w:eastAsia="Times New Roman"/>
            </w:rPr>
            <w:t>Peidli</w:t>
          </w:r>
          <w:proofErr w:type="spellEnd"/>
          <w:r>
            <w:rPr>
              <w:rFonts w:eastAsia="Times New Roman"/>
            </w:rPr>
            <w:t xml:space="preserve"> S, Wolf FA, Theis FJ. Generalizing RNA velocity to transient cell states through dynamical </w:t>
          </w:r>
          <w:proofErr w:type="spellStart"/>
          <w:r>
            <w:rPr>
              <w:rFonts w:eastAsia="Times New Roman"/>
            </w:rPr>
            <w:t>modeling</w:t>
          </w:r>
          <w:proofErr w:type="spellEnd"/>
          <w:r>
            <w:rPr>
              <w:rFonts w:eastAsia="Times New Roman"/>
            </w:rPr>
            <w:t xml:space="preserve">. </w:t>
          </w:r>
          <w:r>
            <w:rPr>
              <w:rFonts w:eastAsia="Times New Roman"/>
              <w:i/>
              <w:iCs/>
            </w:rPr>
            <w:t>Nature Biotechnology 2020 38:12</w:t>
          </w:r>
          <w:r>
            <w:rPr>
              <w:rFonts w:eastAsia="Times New Roman"/>
            </w:rPr>
            <w:t>. 2020;38(12):1408-1414. doi:10.1038/s41587-020-0591-3</w:t>
          </w:r>
        </w:p>
        <w:p w14:paraId="1B8D264B" w14:textId="77777777" w:rsidR="001E7782" w:rsidRDefault="001E7782">
          <w:pPr>
            <w:autoSpaceDE w:val="0"/>
            <w:autoSpaceDN w:val="0"/>
            <w:ind w:hanging="640"/>
            <w:divId w:val="1904875656"/>
            <w:rPr>
              <w:rFonts w:eastAsia="Times New Roman"/>
            </w:rPr>
          </w:pPr>
          <w:r>
            <w:rPr>
              <w:rFonts w:eastAsia="Times New Roman"/>
            </w:rPr>
            <w:t>10.</w:t>
          </w:r>
          <w:r>
            <w:rPr>
              <w:rFonts w:eastAsia="Times New Roman"/>
            </w:rPr>
            <w:tab/>
          </w:r>
          <w:proofErr w:type="spellStart"/>
          <w:r>
            <w:rPr>
              <w:rFonts w:eastAsia="Times New Roman"/>
            </w:rPr>
            <w:t>Demichev</w:t>
          </w:r>
          <w:proofErr w:type="spellEnd"/>
          <w:r>
            <w:rPr>
              <w:rFonts w:eastAsia="Times New Roman"/>
            </w:rPr>
            <w:t xml:space="preserve"> V, Messner CB, </w:t>
          </w:r>
          <w:proofErr w:type="spellStart"/>
          <w:r>
            <w:rPr>
              <w:rFonts w:eastAsia="Times New Roman"/>
            </w:rPr>
            <w:t>Vernardis</w:t>
          </w:r>
          <w:proofErr w:type="spellEnd"/>
          <w:r>
            <w:rPr>
              <w:rFonts w:eastAsia="Times New Roman"/>
            </w:rPr>
            <w:t xml:space="preserve"> SI, Lilley KS, </w:t>
          </w:r>
          <w:proofErr w:type="spellStart"/>
          <w:r>
            <w:rPr>
              <w:rFonts w:eastAsia="Times New Roman"/>
            </w:rPr>
            <w:t>Ralser</w:t>
          </w:r>
          <w:proofErr w:type="spellEnd"/>
          <w:r>
            <w:rPr>
              <w:rFonts w:eastAsia="Times New Roman"/>
            </w:rPr>
            <w:t xml:space="preserve"> M. DIA-NN: neural networks and interference correction enable deep proteome coverage in high throughput. </w:t>
          </w:r>
          <w:r>
            <w:rPr>
              <w:rFonts w:eastAsia="Times New Roman"/>
              <w:i/>
              <w:iCs/>
            </w:rPr>
            <w:t>Nature Methods 2019 17:1</w:t>
          </w:r>
          <w:r>
            <w:rPr>
              <w:rFonts w:eastAsia="Times New Roman"/>
            </w:rPr>
            <w:t>. 2019;17(1):41-44. doi:10.1038/s41592-019-0638-x</w:t>
          </w:r>
        </w:p>
        <w:p w14:paraId="1102C817" w14:textId="77777777" w:rsidR="001E7782" w:rsidRDefault="001E7782">
          <w:pPr>
            <w:autoSpaceDE w:val="0"/>
            <w:autoSpaceDN w:val="0"/>
            <w:ind w:hanging="640"/>
            <w:divId w:val="595332190"/>
            <w:rPr>
              <w:rFonts w:eastAsia="Times New Roman"/>
            </w:rPr>
          </w:pPr>
          <w:r>
            <w:rPr>
              <w:rFonts w:eastAsia="Times New Roman"/>
            </w:rPr>
            <w:t>11.</w:t>
          </w:r>
          <w:r>
            <w:rPr>
              <w:rFonts w:eastAsia="Times New Roman"/>
            </w:rPr>
            <w:tab/>
          </w:r>
          <w:proofErr w:type="spellStart"/>
          <w:r>
            <w:rPr>
              <w:rFonts w:eastAsia="Times New Roman"/>
            </w:rPr>
            <w:t>Gerault</w:t>
          </w:r>
          <w:proofErr w:type="spellEnd"/>
          <w:r>
            <w:rPr>
              <w:rFonts w:eastAsia="Times New Roman"/>
            </w:rPr>
            <w:t xml:space="preserve"> MA, </w:t>
          </w:r>
          <w:proofErr w:type="spellStart"/>
          <w:r>
            <w:rPr>
              <w:rFonts w:eastAsia="Times New Roman"/>
            </w:rPr>
            <w:t>Camoin</w:t>
          </w:r>
          <w:proofErr w:type="spellEnd"/>
          <w:r>
            <w:rPr>
              <w:rFonts w:eastAsia="Times New Roman"/>
            </w:rPr>
            <w:t xml:space="preserve"> L, </w:t>
          </w:r>
          <w:proofErr w:type="spellStart"/>
          <w:r>
            <w:rPr>
              <w:rFonts w:eastAsia="Times New Roman"/>
            </w:rPr>
            <w:t>Granjeaud</w:t>
          </w:r>
          <w:proofErr w:type="spellEnd"/>
          <w:r>
            <w:rPr>
              <w:rFonts w:eastAsia="Times New Roman"/>
            </w:rPr>
            <w:t xml:space="preserve"> S. </w:t>
          </w:r>
          <w:proofErr w:type="spellStart"/>
          <w:r>
            <w:rPr>
              <w:rFonts w:eastAsia="Times New Roman"/>
            </w:rPr>
            <w:t>DIAgui</w:t>
          </w:r>
          <w:proofErr w:type="spellEnd"/>
          <w:r>
            <w:rPr>
              <w:rFonts w:eastAsia="Times New Roman"/>
            </w:rPr>
            <w:t xml:space="preserve">: a Shiny application to process the output from DIA-NN. </w:t>
          </w:r>
          <w:r>
            <w:rPr>
              <w:rFonts w:eastAsia="Times New Roman"/>
              <w:i/>
              <w:iCs/>
            </w:rPr>
            <w:t>Bioinformatics Advances</w:t>
          </w:r>
          <w:r>
            <w:rPr>
              <w:rFonts w:eastAsia="Times New Roman"/>
            </w:rPr>
            <w:t>. 2024;4(1). doi:10.1093/BIOADV/VBAE001</w:t>
          </w:r>
        </w:p>
        <w:p w14:paraId="32C2E0B7" w14:textId="77777777" w:rsidR="001E7782" w:rsidRPr="001E7782" w:rsidRDefault="001E7782">
          <w:pPr>
            <w:autoSpaceDE w:val="0"/>
            <w:autoSpaceDN w:val="0"/>
            <w:ind w:hanging="640"/>
            <w:divId w:val="147938605"/>
            <w:rPr>
              <w:rFonts w:eastAsia="Times New Roman"/>
              <w:lang w:val="fr-FR"/>
            </w:rPr>
          </w:pPr>
          <w:r w:rsidRPr="00222C7A">
            <w:rPr>
              <w:rFonts w:eastAsia="Times New Roman"/>
              <w:lang w:val="fr-FR"/>
            </w:rPr>
            <w:t>12.</w:t>
          </w:r>
          <w:r w:rsidRPr="00222C7A">
            <w:rPr>
              <w:rFonts w:eastAsia="Times New Roman"/>
              <w:lang w:val="fr-FR"/>
            </w:rPr>
            <w:tab/>
          </w:r>
          <w:proofErr w:type="spellStart"/>
          <w:r w:rsidRPr="00222C7A">
            <w:rPr>
              <w:rFonts w:eastAsia="Times New Roman"/>
              <w:lang w:val="fr-FR"/>
            </w:rPr>
            <w:t>Tyanova</w:t>
          </w:r>
          <w:proofErr w:type="spellEnd"/>
          <w:r w:rsidRPr="00222C7A">
            <w:rPr>
              <w:rFonts w:eastAsia="Times New Roman"/>
              <w:lang w:val="fr-FR"/>
            </w:rPr>
            <w:t xml:space="preserve"> S, </w:t>
          </w:r>
          <w:proofErr w:type="spellStart"/>
          <w:r w:rsidRPr="00222C7A">
            <w:rPr>
              <w:rFonts w:eastAsia="Times New Roman"/>
              <w:lang w:val="fr-FR"/>
            </w:rPr>
            <w:t>Temu</w:t>
          </w:r>
          <w:proofErr w:type="spellEnd"/>
          <w:r w:rsidRPr="00222C7A">
            <w:rPr>
              <w:rFonts w:eastAsia="Times New Roman"/>
              <w:lang w:val="fr-FR"/>
            </w:rPr>
            <w:t xml:space="preserve"> T, </w:t>
          </w:r>
          <w:proofErr w:type="spellStart"/>
          <w:r w:rsidRPr="00222C7A">
            <w:rPr>
              <w:rFonts w:eastAsia="Times New Roman"/>
              <w:lang w:val="fr-FR"/>
            </w:rPr>
            <w:t>Sinitcyn</w:t>
          </w:r>
          <w:proofErr w:type="spellEnd"/>
          <w:r w:rsidRPr="00222C7A">
            <w:rPr>
              <w:rFonts w:eastAsia="Times New Roman"/>
              <w:lang w:val="fr-FR"/>
            </w:rPr>
            <w:t xml:space="preserve"> P, et al. </w:t>
          </w:r>
          <w:r>
            <w:rPr>
              <w:rFonts w:eastAsia="Times New Roman"/>
            </w:rPr>
            <w:t>The Perseus computational platform for comprehensive analysis of (</w:t>
          </w:r>
          <w:proofErr w:type="spellStart"/>
          <w:r>
            <w:rPr>
              <w:rFonts w:eastAsia="Times New Roman"/>
            </w:rPr>
            <w:t>prote</w:t>
          </w:r>
          <w:proofErr w:type="spellEnd"/>
          <w:r>
            <w:rPr>
              <w:rFonts w:eastAsia="Times New Roman"/>
            </w:rPr>
            <w:t xml:space="preserve">)omics data. </w:t>
          </w:r>
          <w:r w:rsidRPr="001E7782">
            <w:rPr>
              <w:rFonts w:eastAsia="Times New Roman"/>
              <w:i/>
              <w:iCs/>
              <w:lang w:val="fr-FR"/>
            </w:rPr>
            <w:t xml:space="preserve">Nature Methods 2016 </w:t>
          </w:r>
          <w:proofErr w:type="gramStart"/>
          <w:r w:rsidRPr="001E7782">
            <w:rPr>
              <w:rFonts w:eastAsia="Times New Roman"/>
              <w:i/>
              <w:iCs/>
              <w:lang w:val="fr-FR"/>
            </w:rPr>
            <w:t>13:</w:t>
          </w:r>
          <w:proofErr w:type="gramEnd"/>
          <w:r w:rsidRPr="001E7782">
            <w:rPr>
              <w:rFonts w:eastAsia="Times New Roman"/>
              <w:i/>
              <w:iCs/>
              <w:lang w:val="fr-FR"/>
            </w:rPr>
            <w:t>9</w:t>
          </w:r>
          <w:r w:rsidRPr="001E7782">
            <w:rPr>
              <w:rFonts w:eastAsia="Times New Roman"/>
              <w:lang w:val="fr-FR"/>
            </w:rPr>
            <w:t xml:space="preserve">. 2016;13(9):731-740. </w:t>
          </w:r>
          <w:proofErr w:type="gramStart"/>
          <w:r w:rsidRPr="001E7782">
            <w:rPr>
              <w:rFonts w:eastAsia="Times New Roman"/>
              <w:lang w:val="fr-FR"/>
            </w:rPr>
            <w:t>doi:</w:t>
          </w:r>
          <w:proofErr w:type="gramEnd"/>
          <w:r w:rsidRPr="001E7782">
            <w:rPr>
              <w:rFonts w:eastAsia="Times New Roman"/>
              <w:lang w:val="fr-FR"/>
            </w:rPr>
            <w:t>10.1038/nmeth.3901</w:t>
          </w:r>
        </w:p>
        <w:p w14:paraId="79339575" w14:textId="5186E149" w:rsidR="001E7782" w:rsidRDefault="001E7782">
          <w:pPr>
            <w:autoSpaceDE w:val="0"/>
            <w:autoSpaceDN w:val="0"/>
            <w:ind w:hanging="640"/>
            <w:divId w:val="616178311"/>
            <w:rPr>
              <w:rFonts w:eastAsia="Times New Roman"/>
            </w:rPr>
          </w:pPr>
          <w:r w:rsidRPr="001E7782">
            <w:rPr>
              <w:rFonts w:eastAsia="Times New Roman"/>
              <w:lang w:val="fr-FR"/>
            </w:rPr>
            <w:t>13.</w:t>
          </w:r>
          <w:r w:rsidRPr="001E7782">
            <w:rPr>
              <w:rFonts w:eastAsia="Times New Roman"/>
              <w:lang w:val="fr-FR"/>
            </w:rPr>
            <w:tab/>
            <w:t>Perez-</w:t>
          </w:r>
          <w:proofErr w:type="spellStart"/>
          <w:r w:rsidRPr="001E7782">
            <w:rPr>
              <w:rFonts w:eastAsia="Times New Roman"/>
              <w:lang w:val="fr-FR"/>
            </w:rPr>
            <w:t>Riverol</w:t>
          </w:r>
          <w:proofErr w:type="spellEnd"/>
          <w:r w:rsidRPr="001E7782">
            <w:rPr>
              <w:rFonts w:eastAsia="Times New Roman"/>
              <w:lang w:val="fr-FR"/>
            </w:rPr>
            <w:t xml:space="preserve"> Y, </w:t>
          </w:r>
          <w:proofErr w:type="spellStart"/>
          <w:r w:rsidRPr="001E7782">
            <w:rPr>
              <w:rFonts w:eastAsia="Times New Roman"/>
              <w:lang w:val="fr-FR"/>
            </w:rPr>
            <w:t>Csordas</w:t>
          </w:r>
          <w:proofErr w:type="spellEnd"/>
          <w:r w:rsidRPr="001E7782">
            <w:rPr>
              <w:rFonts w:eastAsia="Times New Roman"/>
              <w:lang w:val="fr-FR"/>
            </w:rPr>
            <w:t xml:space="preserve"> A, Bai J, et al. </w:t>
          </w:r>
          <w:r>
            <w:rPr>
              <w:rFonts w:eastAsia="Times New Roman"/>
            </w:rPr>
            <w:t xml:space="preserve">The PRIDE database and related tools and resources in 2019: improving support for quantification data. </w:t>
          </w:r>
          <w:r>
            <w:rPr>
              <w:rFonts w:eastAsia="Times New Roman"/>
              <w:i/>
              <w:iCs/>
            </w:rPr>
            <w:t>Nucleic Acids Res</w:t>
          </w:r>
          <w:r>
            <w:rPr>
              <w:rFonts w:eastAsia="Times New Roman"/>
            </w:rPr>
            <w:t>. 2018;47</w:t>
          </w:r>
          <w:r w:rsidR="002756BF">
            <w:rPr>
              <w:rFonts w:eastAsia="Times New Roman"/>
            </w:rPr>
            <w:t xml:space="preserve"> </w:t>
          </w:r>
          <w:r>
            <w:rPr>
              <w:rFonts w:eastAsia="Times New Roman"/>
            </w:rPr>
            <w:t>D442. doi:10.1093/NAR/GKY1106</w:t>
          </w:r>
        </w:p>
        <w:p w14:paraId="69A521B1" w14:textId="4AF9A68F" w:rsidR="00530BA4" w:rsidRPr="00AD500B" w:rsidRDefault="001E7782">
          <w:pPr>
            <w:rPr>
              <w:rFonts w:cs="Times New Roman"/>
              <w:lang w:val="en-US"/>
            </w:rPr>
          </w:pPr>
          <w:r>
            <w:rPr>
              <w:rFonts w:eastAsia="Times New Roman"/>
            </w:rPr>
            <w:t> </w:t>
          </w:r>
        </w:p>
      </w:sdtContent>
    </w:sdt>
    <w:sectPr w:rsidR="00530BA4" w:rsidRPr="00AD500B">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777802" w14:textId="77777777" w:rsidR="005E4445" w:rsidRDefault="005E4445" w:rsidP="005E4445">
      <w:pPr>
        <w:spacing w:after="0" w:line="240" w:lineRule="auto"/>
      </w:pPr>
      <w:r>
        <w:separator/>
      </w:r>
    </w:p>
  </w:endnote>
  <w:endnote w:type="continuationSeparator" w:id="0">
    <w:p w14:paraId="59C5DE6C" w14:textId="77777777" w:rsidR="005E4445" w:rsidRDefault="005E4445" w:rsidP="005E44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3BBC20" w14:textId="77777777" w:rsidR="005E4445" w:rsidRDefault="005E4445" w:rsidP="005E4445">
      <w:pPr>
        <w:spacing w:after="0" w:line="240" w:lineRule="auto"/>
      </w:pPr>
      <w:r>
        <w:separator/>
      </w:r>
    </w:p>
  </w:footnote>
  <w:footnote w:type="continuationSeparator" w:id="0">
    <w:p w14:paraId="564CA47D" w14:textId="77777777" w:rsidR="005E4445" w:rsidRDefault="005E4445" w:rsidP="005E444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500B"/>
    <w:rsid w:val="00017840"/>
    <w:rsid w:val="00041BB9"/>
    <w:rsid w:val="00071E88"/>
    <w:rsid w:val="00073801"/>
    <w:rsid w:val="000C73F6"/>
    <w:rsid w:val="000D4FA0"/>
    <w:rsid w:val="000D70E4"/>
    <w:rsid w:val="00126CAC"/>
    <w:rsid w:val="0018186E"/>
    <w:rsid w:val="001A10E0"/>
    <w:rsid w:val="001E7782"/>
    <w:rsid w:val="002001C3"/>
    <w:rsid w:val="0020036F"/>
    <w:rsid w:val="00222C7A"/>
    <w:rsid w:val="002656EB"/>
    <w:rsid w:val="002756BF"/>
    <w:rsid w:val="00280C03"/>
    <w:rsid w:val="00294045"/>
    <w:rsid w:val="002A0EF0"/>
    <w:rsid w:val="002C1F35"/>
    <w:rsid w:val="002C2CD3"/>
    <w:rsid w:val="0030210F"/>
    <w:rsid w:val="00336476"/>
    <w:rsid w:val="003744FD"/>
    <w:rsid w:val="003A196D"/>
    <w:rsid w:val="00465FC0"/>
    <w:rsid w:val="0048792D"/>
    <w:rsid w:val="004A490E"/>
    <w:rsid w:val="005200BC"/>
    <w:rsid w:val="00530BA4"/>
    <w:rsid w:val="005874B3"/>
    <w:rsid w:val="005B7978"/>
    <w:rsid w:val="005E4445"/>
    <w:rsid w:val="00621810"/>
    <w:rsid w:val="00633B47"/>
    <w:rsid w:val="006474A6"/>
    <w:rsid w:val="00696EE9"/>
    <w:rsid w:val="006A4005"/>
    <w:rsid w:val="006B253E"/>
    <w:rsid w:val="006E710F"/>
    <w:rsid w:val="00700ACC"/>
    <w:rsid w:val="00715F2A"/>
    <w:rsid w:val="00732F8E"/>
    <w:rsid w:val="00746AA2"/>
    <w:rsid w:val="00780924"/>
    <w:rsid w:val="00787E34"/>
    <w:rsid w:val="007A5A19"/>
    <w:rsid w:val="008017BA"/>
    <w:rsid w:val="008148D5"/>
    <w:rsid w:val="00867A84"/>
    <w:rsid w:val="008B3D13"/>
    <w:rsid w:val="008C7686"/>
    <w:rsid w:val="009058A6"/>
    <w:rsid w:val="0092219A"/>
    <w:rsid w:val="009521C9"/>
    <w:rsid w:val="0095245C"/>
    <w:rsid w:val="00965E6E"/>
    <w:rsid w:val="00976D97"/>
    <w:rsid w:val="00987F99"/>
    <w:rsid w:val="009C0EBA"/>
    <w:rsid w:val="009D3A5E"/>
    <w:rsid w:val="00A76F3C"/>
    <w:rsid w:val="00A8240A"/>
    <w:rsid w:val="00AD19AF"/>
    <w:rsid w:val="00AD500B"/>
    <w:rsid w:val="00AF25EE"/>
    <w:rsid w:val="00AF5786"/>
    <w:rsid w:val="00AF5A88"/>
    <w:rsid w:val="00B12764"/>
    <w:rsid w:val="00B139DA"/>
    <w:rsid w:val="00B918F2"/>
    <w:rsid w:val="00BA0C1E"/>
    <w:rsid w:val="00BC6E27"/>
    <w:rsid w:val="00C047F3"/>
    <w:rsid w:val="00C50463"/>
    <w:rsid w:val="00C53620"/>
    <w:rsid w:val="00C57102"/>
    <w:rsid w:val="00C86FCC"/>
    <w:rsid w:val="00CA0893"/>
    <w:rsid w:val="00CB6314"/>
    <w:rsid w:val="00CC129F"/>
    <w:rsid w:val="00CC3D21"/>
    <w:rsid w:val="00CD3653"/>
    <w:rsid w:val="00D04637"/>
    <w:rsid w:val="00D21B49"/>
    <w:rsid w:val="00D57A63"/>
    <w:rsid w:val="00D97BCD"/>
    <w:rsid w:val="00DC4D29"/>
    <w:rsid w:val="00DE18AF"/>
    <w:rsid w:val="00DF234F"/>
    <w:rsid w:val="00E74E30"/>
    <w:rsid w:val="00E85AAE"/>
    <w:rsid w:val="00E9341C"/>
    <w:rsid w:val="00E93DDE"/>
    <w:rsid w:val="00EA14C1"/>
    <w:rsid w:val="00EA5C72"/>
    <w:rsid w:val="00EC5CF3"/>
    <w:rsid w:val="00EF7111"/>
    <w:rsid w:val="00F103F5"/>
    <w:rsid w:val="00F27663"/>
    <w:rsid w:val="00F36E50"/>
    <w:rsid w:val="00F466BC"/>
    <w:rsid w:val="00F7105E"/>
    <w:rsid w:val="00F7327D"/>
    <w:rsid w:val="00F8566F"/>
    <w:rsid w:val="00F94105"/>
    <w:rsid w:val="00FC2643"/>
    <w:rsid w:val="00FE03E0"/>
    <w:rsid w:val="00FE561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9D1A77"/>
  <w15:chartTrackingRefBased/>
  <w15:docId w15:val="{16823BC8-EFE2-4C3E-B9B4-B3625D9389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00" w:afterAutospacing="1" w:line="360" w:lineRule="auto"/>
        <w:ind w:firstLine="35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500B"/>
    <w:pPr>
      <w:spacing w:after="240" w:afterAutospacing="0"/>
      <w:ind w:firstLine="360"/>
    </w:pPr>
    <w:rPr>
      <w:rFonts w:ascii="Times New Roman" w:eastAsiaTheme="minorEastAsia" w:hAnsi="Times New Roman"/>
      <w:sz w:val="24"/>
      <w:lang w:val="en-GB"/>
    </w:rPr>
  </w:style>
  <w:style w:type="paragraph" w:styleId="Titre5">
    <w:name w:val="heading 5"/>
    <w:basedOn w:val="Normal"/>
    <w:next w:val="Normal"/>
    <w:link w:val="Titre5Car"/>
    <w:autoRedefine/>
    <w:uiPriority w:val="9"/>
    <w:unhideWhenUsed/>
    <w:qFormat/>
    <w:rsid w:val="00780924"/>
    <w:pPr>
      <w:spacing w:before="280" w:after="0" w:afterAutospacing="1"/>
      <w:outlineLvl w:val="4"/>
    </w:pPr>
    <w:rPr>
      <w:rFonts w:asciiTheme="majorHAnsi" w:eastAsiaTheme="majorEastAsia" w:hAnsiTheme="majorHAnsi" w:cstheme="majorBidi"/>
      <w:bCs/>
      <w:iCs/>
      <w:u w:val="single"/>
      <w:lang w:val="fr-FR" w:bidi="en-US"/>
    </w:rPr>
  </w:style>
  <w:style w:type="paragraph" w:styleId="Titre7">
    <w:name w:val="heading 7"/>
    <w:basedOn w:val="Normal"/>
    <w:next w:val="Normal"/>
    <w:link w:val="Titre7Car"/>
    <w:autoRedefine/>
    <w:uiPriority w:val="9"/>
    <w:unhideWhenUsed/>
    <w:qFormat/>
    <w:rsid w:val="00780924"/>
    <w:pPr>
      <w:spacing w:after="0" w:afterAutospacing="1"/>
      <w:outlineLvl w:val="6"/>
    </w:pPr>
    <w:rPr>
      <w:rFonts w:eastAsiaTheme="majorEastAsia" w:cstheme="majorBidi"/>
      <w:b/>
      <w:bCs/>
      <w:i/>
      <w:iCs/>
      <w:szCs w:val="20"/>
      <w:lang w:val="fr-FR" w:bidi="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5Car">
    <w:name w:val="Titre 5 Car"/>
    <w:basedOn w:val="Policepardfaut"/>
    <w:link w:val="Titre5"/>
    <w:uiPriority w:val="9"/>
    <w:rsid w:val="00780924"/>
    <w:rPr>
      <w:rFonts w:asciiTheme="majorHAnsi" w:eastAsiaTheme="majorEastAsia" w:hAnsiTheme="majorHAnsi" w:cstheme="majorBidi"/>
      <w:bCs/>
      <w:iCs/>
      <w:sz w:val="24"/>
      <w:u w:val="single"/>
      <w:lang w:bidi="en-US"/>
    </w:rPr>
  </w:style>
  <w:style w:type="character" w:customStyle="1" w:styleId="Titre7Car">
    <w:name w:val="Titre 7 Car"/>
    <w:basedOn w:val="Policepardfaut"/>
    <w:link w:val="Titre7"/>
    <w:uiPriority w:val="9"/>
    <w:rsid w:val="00780924"/>
    <w:rPr>
      <w:rFonts w:ascii="Times New Roman" w:eastAsiaTheme="majorEastAsia" w:hAnsi="Times New Roman" w:cstheme="majorBidi"/>
      <w:b/>
      <w:bCs/>
      <w:i/>
      <w:iCs/>
      <w:sz w:val="24"/>
      <w:szCs w:val="20"/>
      <w:lang w:bidi="en-US"/>
    </w:rPr>
  </w:style>
  <w:style w:type="paragraph" w:styleId="Lgende">
    <w:name w:val="caption"/>
    <w:basedOn w:val="Normal"/>
    <w:next w:val="Normal"/>
    <w:autoRedefine/>
    <w:uiPriority w:val="35"/>
    <w:unhideWhenUsed/>
    <w:qFormat/>
    <w:rsid w:val="00071E88"/>
    <w:pPr>
      <w:spacing w:line="240" w:lineRule="auto"/>
    </w:pPr>
    <w:rPr>
      <w:color w:val="44546A" w:themeColor="text2"/>
      <w:szCs w:val="18"/>
      <w:lang w:val="fr-FR"/>
    </w:rPr>
  </w:style>
  <w:style w:type="character" w:styleId="Lienhypertexte">
    <w:name w:val="Hyperlink"/>
    <w:basedOn w:val="Policepardfaut"/>
    <w:uiPriority w:val="99"/>
    <w:unhideWhenUsed/>
    <w:rsid w:val="00AD500B"/>
    <w:rPr>
      <w:color w:val="0563C1" w:themeColor="hyperlink"/>
      <w:u w:val="single"/>
    </w:rPr>
  </w:style>
  <w:style w:type="character" w:styleId="Textedelespacerserv">
    <w:name w:val="Placeholder Text"/>
    <w:basedOn w:val="Policepardfaut"/>
    <w:uiPriority w:val="99"/>
    <w:semiHidden/>
    <w:rsid w:val="00AD500B"/>
    <w:rPr>
      <w:color w:val="808080"/>
    </w:rPr>
  </w:style>
  <w:style w:type="paragraph" w:styleId="Sansinterligne">
    <w:name w:val="No Spacing"/>
    <w:basedOn w:val="Normal"/>
    <w:link w:val="SansinterligneCar"/>
    <w:uiPriority w:val="1"/>
    <w:qFormat/>
    <w:rsid w:val="00E85AAE"/>
    <w:pPr>
      <w:spacing w:after="0" w:line="240" w:lineRule="auto"/>
      <w:ind w:firstLine="0"/>
    </w:pPr>
  </w:style>
  <w:style w:type="character" w:customStyle="1" w:styleId="SansinterligneCar">
    <w:name w:val="Sans interligne Car"/>
    <w:basedOn w:val="Policepardfaut"/>
    <w:link w:val="Sansinterligne"/>
    <w:uiPriority w:val="1"/>
    <w:rsid w:val="00E85AAE"/>
    <w:rPr>
      <w:rFonts w:ascii="Times New Roman" w:eastAsiaTheme="minorEastAsia" w:hAnsi="Times New Roman"/>
      <w:sz w:val="24"/>
      <w:lang w:val="en-GB"/>
    </w:rPr>
  </w:style>
  <w:style w:type="paragraph" w:styleId="En-tte">
    <w:name w:val="header"/>
    <w:basedOn w:val="Normal"/>
    <w:link w:val="En-tteCar"/>
    <w:uiPriority w:val="99"/>
    <w:unhideWhenUsed/>
    <w:rsid w:val="005E4445"/>
    <w:pPr>
      <w:tabs>
        <w:tab w:val="center" w:pos="4536"/>
        <w:tab w:val="right" w:pos="9072"/>
      </w:tabs>
      <w:spacing w:after="0" w:line="240" w:lineRule="auto"/>
    </w:pPr>
  </w:style>
  <w:style w:type="character" w:customStyle="1" w:styleId="En-tteCar">
    <w:name w:val="En-tête Car"/>
    <w:basedOn w:val="Policepardfaut"/>
    <w:link w:val="En-tte"/>
    <w:uiPriority w:val="99"/>
    <w:rsid w:val="005E4445"/>
    <w:rPr>
      <w:rFonts w:ascii="Times New Roman" w:eastAsiaTheme="minorEastAsia" w:hAnsi="Times New Roman"/>
      <w:sz w:val="24"/>
      <w:lang w:val="en-GB"/>
    </w:rPr>
  </w:style>
  <w:style w:type="paragraph" w:styleId="Pieddepage">
    <w:name w:val="footer"/>
    <w:basedOn w:val="Normal"/>
    <w:link w:val="PieddepageCar"/>
    <w:uiPriority w:val="99"/>
    <w:unhideWhenUsed/>
    <w:rsid w:val="005E444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E4445"/>
    <w:rPr>
      <w:rFonts w:ascii="Times New Roman" w:eastAsiaTheme="minorEastAsia" w:hAnsi="Times New Roman"/>
      <w:sz w:val="24"/>
      <w:lang w:val="en-GB"/>
    </w:rPr>
  </w:style>
  <w:style w:type="paragraph" w:styleId="NormalWeb">
    <w:name w:val="Normal (Web)"/>
    <w:basedOn w:val="Normal"/>
    <w:uiPriority w:val="99"/>
    <w:unhideWhenUsed/>
    <w:rsid w:val="00222C7A"/>
    <w:pPr>
      <w:spacing w:before="100" w:beforeAutospacing="1" w:after="100" w:afterAutospacing="1" w:line="240" w:lineRule="auto"/>
      <w:ind w:firstLine="0"/>
      <w:jc w:val="left"/>
    </w:pPr>
    <w:rPr>
      <w:rFonts w:eastAsia="Times New Roman" w:cs="Times New Roman"/>
      <w:szCs w:val="24"/>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6638634">
      <w:bodyDiv w:val="1"/>
      <w:marLeft w:val="0"/>
      <w:marRight w:val="0"/>
      <w:marTop w:val="0"/>
      <w:marBottom w:val="0"/>
      <w:divBdr>
        <w:top w:val="none" w:sz="0" w:space="0" w:color="auto"/>
        <w:left w:val="none" w:sz="0" w:space="0" w:color="auto"/>
        <w:bottom w:val="none" w:sz="0" w:space="0" w:color="auto"/>
        <w:right w:val="none" w:sz="0" w:space="0" w:color="auto"/>
      </w:divBdr>
      <w:divsChild>
        <w:div w:id="74321318">
          <w:marLeft w:val="640"/>
          <w:marRight w:val="0"/>
          <w:marTop w:val="0"/>
          <w:marBottom w:val="0"/>
          <w:divBdr>
            <w:top w:val="none" w:sz="0" w:space="0" w:color="auto"/>
            <w:left w:val="none" w:sz="0" w:space="0" w:color="auto"/>
            <w:bottom w:val="none" w:sz="0" w:space="0" w:color="auto"/>
            <w:right w:val="none" w:sz="0" w:space="0" w:color="auto"/>
          </w:divBdr>
        </w:div>
        <w:div w:id="339620573">
          <w:marLeft w:val="640"/>
          <w:marRight w:val="0"/>
          <w:marTop w:val="0"/>
          <w:marBottom w:val="0"/>
          <w:divBdr>
            <w:top w:val="none" w:sz="0" w:space="0" w:color="auto"/>
            <w:left w:val="none" w:sz="0" w:space="0" w:color="auto"/>
            <w:bottom w:val="none" w:sz="0" w:space="0" w:color="auto"/>
            <w:right w:val="none" w:sz="0" w:space="0" w:color="auto"/>
          </w:divBdr>
        </w:div>
        <w:div w:id="392893563">
          <w:marLeft w:val="640"/>
          <w:marRight w:val="0"/>
          <w:marTop w:val="0"/>
          <w:marBottom w:val="0"/>
          <w:divBdr>
            <w:top w:val="none" w:sz="0" w:space="0" w:color="auto"/>
            <w:left w:val="none" w:sz="0" w:space="0" w:color="auto"/>
            <w:bottom w:val="none" w:sz="0" w:space="0" w:color="auto"/>
            <w:right w:val="none" w:sz="0" w:space="0" w:color="auto"/>
          </w:divBdr>
        </w:div>
        <w:div w:id="398090881">
          <w:marLeft w:val="640"/>
          <w:marRight w:val="0"/>
          <w:marTop w:val="0"/>
          <w:marBottom w:val="0"/>
          <w:divBdr>
            <w:top w:val="none" w:sz="0" w:space="0" w:color="auto"/>
            <w:left w:val="none" w:sz="0" w:space="0" w:color="auto"/>
            <w:bottom w:val="none" w:sz="0" w:space="0" w:color="auto"/>
            <w:right w:val="none" w:sz="0" w:space="0" w:color="auto"/>
          </w:divBdr>
        </w:div>
        <w:div w:id="527917251">
          <w:marLeft w:val="640"/>
          <w:marRight w:val="0"/>
          <w:marTop w:val="0"/>
          <w:marBottom w:val="0"/>
          <w:divBdr>
            <w:top w:val="none" w:sz="0" w:space="0" w:color="auto"/>
            <w:left w:val="none" w:sz="0" w:space="0" w:color="auto"/>
            <w:bottom w:val="none" w:sz="0" w:space="0" w:color="auto"/>
            <w:right w:val="none" w:sz="0" w:space="0" w:color="auto"/>
          </w:divBdr>
        </w:div>
        <w:div w:id="607205277">
          <w:marLeft w:val="640"/>
          <w:marRight w:val="0"/>
          <w:marTop w:val="0"/>
          <w:marBottom w:val="0"/>
          <w:divBdr>
            <w:top w:val="none" w:sz="0" w:space="0" w:color="auto"/>
            <w:left w:val="none" w:sz="0" w:space="0" w:color="auto"/>
            <w:bottom w:val="none" w:sz="0" w:space="0" w:color="auto"/>
            <w:right w:val="none" w:sz="0" w:space="0" w:color="auto"/>
          </w:divBdr>
        </w:div>
        <w:div w:id="624846279">
          <w:marLeft w:val="640"/>
          <w:marRight w:val="0"/>
          <w:marTop w:val="0"/>
          <w:marBottom w:val="0"/>
          <w:divBdr>
            <w:top w:val="none" w:sz="0" w:space="0" w:color="auto"/>
            <w:left w:val="none" w:sz="0" w:space="0" w:color="auto"/>
            <w:bottom w:val="none" w:sz="0" w:space="0" w:color="auto"/>
            <w:right w:val="none" w:sz="0" w:space="0" w:color="auto"/>
          </w:divBdr>
        </w:div>
        <w:div w:id="782962698">
          <w:marLeft w:val="640"/>
          <w:marRight w:val="0"/>
          <w:marTop w:val="0"/>
          <w:marBottom w:val="0"/>
          <w:divBdr>
            <w:top w:val="none" w:sz="0" w:space="0" w:color="auto"/>
            <w:left w:val="none" w:sz="0" w:space="0" w:color="auto"/>
            <w:bottom w:val="none" w:sz="0" w:space="0" w:color="auto"/>
            <w:right w:val="none" w:sz="0" w:space="0" w:color="auto"/>
          </w:divBdr>
        </w:div>
        <w:div w:id="1031762986">
          <w:marLeft w:val="640"/>
          <w:marRight w:val="0"/>
          <w:marTop w:val="0"/>
          <w:marBottom w:val="0"/>
          <w:divBdr>
            <w:top w:val="none" w:sz="0" w:space="0" w:color="auto"/>
            <w:left w:val="none" w:sz="0" w:space="0" w:color="auto"/>
            <w:bottom w:val="none" w:sz="0" w:space="0" w:color="auto"/>
            <w:right w:val="none" w:sz="0" w:space="0" w:color="auto"/>
          </w:divBdr>
        </w:div>
        <w:div w:id="1112943710">
          <w:marLeft w:val="640"/>
          <w:marRight w:val="0"/>
          <w:marTop w:val="0"/>
          <w:marBottom w:val="0"/>
          <w:divBdr>
            <w:top w:val="none" w:sz="0" w:space="0" w:color="auto"/>
            <w:left w:val="none" w:sz="0" w:space="0" w:color="auto"/>
            <w:bottom w:val="none" w:sz="0" w:space="0" w:color="auto"/>
            <w:right w:val="none" w:sz="0" w:space="0" w:color="auto"/>
          </w:divBdr>
        </w:div>
        <w:div w:id="1413160722">
          <w:marLeft w:val="640"/>
          <w:marRight w:val="0"/>
          <w:marTop w:val="0"/>
          <w:marBottom w:val="0"/>
          <w:divBdr>
            <w:top w:val="none" w:sz="0" w:space="0" w:color="auto"/>
            <w:left w:val="none" w:sz="0" w:space="0" w:color="auto"/>
            <w:bottom w:val="none" w:sz="0" w:space="0" w:color="auto"/>
            <w:right w:val="none" w:sz="0" w:space="0" w:color="auto"/>
          </w:divBdr>
        </w:div>
        <w:div w:id="1501698247">
          <w:marLeft w:val="640"/>
          <w:marRight w:val="0"/>
          <w:marTop w:val="0"/>
          <w:marBottom w:val="0"/>
          <w:divBdr>
            <w:top w:val="none" w:sz="0" w:space="0" w:color="auto"/>
            <w:left w:val="none" w:sz="0" w:space="0" w:color="auto"/>
            <w:bottom w:val="none" w:sz="0" w:space="0" w:color="auto"/>
            <w:right w:val="none" w:sz="0" w:space="0" w:color="auto"/>
          </w:divBdr>
        </w:div>
        <w:div w:id="1636980437">
          <w:marLeft w:val="640"/>
          <w:marRight w:val="0"/>
          <w:marTop w:val="0"/>
          <w:marBottom w:val="0"/>
          <w:divBdr>
            <w:top w:val="none" w:sz="0" w:space="0" w:color="auto"/>
            <w:left w:val="none" w:sz="0" w:space="0" w:color="auto"/>
            <w:bottom w:val="none" w:sz="0" w:space="0" w:color="auto"/>
            <w:right w:val="none" w:sz="0" w:space="0" w:color="auto"/>
          </w:divBdr>
        </w:div>
      </w:divsChild>
    </w:div>
    <w:div w:id="336225700">
      <w:bodyDiv w:val="1"/>
      <w:marLeft w:val="0"/>
      <w:marRight w:val="0"/>
      <w:marTop w:val="0"/>
      <w:marBottom w:val="0"/>
      <w:divBdr>
        <w:top w:val="none" w:sz="0" w:space="0" w:color="auto"/>
        <w:left w:val="none" w:sz="0" w:space="0" w:color="auto"/>
        <w:bottom w:val="none" w:sz="0" w:space="0" w:color="auto"/>
        <w:right w:val="none" w:sz="0" w:space="0" w:color="auto"/>
      </w:divBdr>
      <w:divsChild>
        <w:div w:id="60490963">
          <w:marLeft w:val="640"/>
          <w:marRight w:val="0"/>
          <w:marTop w:val="0"/>
          <w:marBottom w:val="0"/>
          <w:divBdr>
            <w:top w:val="none" w:sz="0" w:space="0" w:color="auto"/>
            <w:left w:val="none" w:sz="0" w:space="0" w:color="auto"/>
            <w:bottom w:val="none" w:sz="0" w:space="0" w:color="auto"/>
            <w:right w:val="none" w:sz="0" w:space="0" w:color="auto"/>
          </w:divBdr>
        </w:div>
        <w:div w:id="562452471">
          <w:marLeft w:val="640"/>
          <w:marRight w:val="0"/>
          <w:marTop w:val="0"/>
          <w:marBottom w:val="0"/>
          <w:divBdr>
            <w:top w:val="none" w:sz="0" w:space="0" w:color="auto"/>
            <w:left w:val="none" w:sz="0" w:space="0" w:color="auto"/>
            <w:bottom w:val="none" w:sz="0" w:space="0" w:color="auto"/>
            <w:right w:val="none" w:sz="0" w:space="0" w:color="auto"/>
          </w:divBdr>
        </w:div>
        <w:div w:id="705059218">
          <w:marLeft w:val="640"/>
          <w:marRight w:val="0"/>
          <w:marTop w:val="0"/>
          <w:marBottom w:val="0"/>
          <w:divBdr>
            <w:top w:val="none" w:sz="0" w:space="0" w:color="auto"/>
            <w:left w:val="none" w:sz="0" w:space="0" w:color="auto"/>
            <w:bottom w:val="none" w:sz="0" w:space="0" w:color="auto"/>
            <w:right w:val="none" w:sz="0" w:space="0" w:color="auto"/>
          </w:divBdr>
        </w:div>
        <w:div w:id="1037854682">
          <w:marLeft w:val="640"/>
          <w:marRight w:val="0"/>
          <w:marTop w:val="0"/>
          <w:marBottom w:val="0"/>
          <w:divBdr>
            <w:top w:val="none" w:sz="0" w:space="0" w:color="auto"/>
            <w:left w:val="none" w:sz="0" w:space="0" w:color="auto"/>
            <w:bottom w:val="none" w:sz="0" w:space="0" w:color="auto"/>
            <w:right w:val="none" w:sz="0" w:space="0" w:color="auto"/>
          </w:divBdr>
        </w:div>
        <w:div w:id="1176000059">
          <w:marLeft w:val="640"/>
          <w:marRight w:val="0"/>
          <w:marTop w:val="0"/>
          <w:marBottom w:val="0"/>
          <w:divBdr>
            <w:top w:val="none" w:sz="0" w:space="0" w:color="auto"/>
            <w:left w:val="none" w:sz="0" w:space="0" w:color="auto"/>
            <w:bottom w:val="none" w:sz="0" w:space="0" w:color="auto"/>
            <w:right w:val="none" w:sz="0" w:space="0" w:color="auto"/>
          </w:divBdr>
        </w:div>
        <w:div w:id="1241595682">
          <w:marLeft w:val="640"/>
          <w:marRight w:val="0"/>
          <w:marTop w:val="0"/>
          <w:marBottom w:val="0"/>
          <w:divBdr>
            <w:top w:val="none" w:sz="0" w:space="0" w:color="auto"/>
            <w:left w:val="none" w:sz="0" w:space="0" w:color="auto"/>
            <w:bottom w:val="none" w:sz="0" w:space="0" w:color="auto"/>
            <w:right w:val="none" w:sz="0" w:space="0" w:color="auto"/>
          </w:divBdr>
        </w:div>
        <w:div w:id="1290164195">
          <w:marLeft w:val="640"/>
          <w:marRight w:val="0"/>
          <w:marTop w:val="0"/>
          <w:marBottom w:val="0"/>
          <w:divBdr>
            <w:top w:val="none" w:sz="0" w:space="0" w:color="auto"/>
            <w:left w:val="none" w:sz="0" w:space="0" w:color="auto"/>
            <w:bottom w:val="none" w:sz="0" w:space="0" w:color="auto"/>
            <w:right w:val="none" w:sz="0" w:space="0" w:color="auto"/>
          </w:divBdr>
        </w:div>
        <w:div w:id="1348212544">
          <w:marLeft w:val="640"/>
          <w:marRight w:val="0"/>
          <w:marTop w:val="0"/>
          <w:marBottom w:val="0"/>
          <w:divBdr>
            <w:top w:val="none" w:sz="0" w:space="0" w:color="auto"/>
            <w:left w:val="none" w:sz="0" w:space="0" w:color="auto"/>
            <w:bottom w:val="none" w:sz="0" w:space="0" w:color="auto"/>
            <w:right w:val="none" w:sz="0" w:space="0" w:color="auto"/>
          </w:divBdr>
        </w:div>
        <w:div w:id="1584416001">
          <w:marLeft w:val="640"/>
          <w:marRight w:val="0"/>
          <w:marTop w:val="0"/>
          <w:marBottom w:val="0"/>
          <w:divBdr>
            <w:top w:val="none" w:sz="0" w:space="0" w:color="auto"/>
            <w:left w:val="none" w:sz="0" w:space="0" w:color="auto"/>
            <w:bottom w:val="none" w:sz="0" w:space="0" w:color="auto"/>
            <w:right w:val="none" w:sz="0" w:space="0" w:color="auto"/>
          </w:divBdr>
        </w:div>
        <w:div w:id="1604921773">
          <w:marLeft w:val="640"/>
          <w:marRight w:val="0"/>
          <w:marTop w:val="0"/>
          <w:marBottom w:val="0"/>
          <w:divBdr>
            <w:top w:val="none" w:sz="0" w:space="0" w:color="auto"/>
            <w:left w:val="none" w:sz="0" w:space="0" w:color="auto"/>
            <w:bottom w:val="none" w:sz="0" w:space="0" w:color="auto"/>
            <w:right w:val="none" w:sz="0" w:space="0" w:color="auto"/>
          </w:divBdr>
        </w:div>
        <w:div w:id="1765495400">
          <w:marLeft w:val="640"/>
          <w:marRight w:val="0"/>
          <w:marTop w:val="0"/>
          <w:marBottom w:val="0"/>
          <w:divBdr>
            <w:top w:val="none" w:sz="0" w:space="0" w:color="auto"/>
            <w:left w:val="none" w:sz="0" w:space="0" w:color="auto"/>
            <w:bottom w:val="none" w:sz="0" w:space="0" w:color="auto"/>
            <w:right w:val="none" w:sz="0" w:space="0" w:color="auto"/>
          </w:divBdr>
        </w:div>
        <w:div w:id="1896357145">
          <w:marLeft w:val="640"/>
          <w:marRight w:val="0"/>
          <w:marTop w:val="0"/>
          <w:marBottom w:val="0"/>
          <w:divBdr>
            <w:top w:val="none" w:sz="0" w:space="0" w:color="auto"/>
            <w:left w:val="none" w:sz="0" w:space="0" w:color="auto"/>
            <w:bottom w:val="none" w:sz="0" w:space="0" w:color="auto"/>
            <w:right w:val="none" w:sz="0" w:space="0" w:color="auto"/>
          </w:divBdr>
        </w:div>
        <w:div w:id="2017731732">
          <w:marLeft w:val="640"/>
          <w:marRight w:val="0"/>
          <w:marTop w:val="0"/>
          <w:marBottom w:val="0"/>
          <w:divBdr>
            <w:top w:val="none" w:sz="0" w:space="0" w:color="auto"/>
            <w:left w:val="none" w:sz="0" w:space="0" w:color="auto"/>
            <w:bottom w:val="none" w:sz="0" w:space="0" w:color="auto"/>
            <w:right w:val="none" w:sz="0" w:space="0" w:color="auto"/>
          </w:divBdr>
        </w:div>
      </w:divsChild>
    </w:div>
    <w:div w:id="346299404">
      <w:bodyDiv w:val="1"/>
      <w:marLeft w:val="0"/>
      <w:marRight w:val="0"/>
      <w:marTop w:val="0"/>
      <w:marBottom w:val="0"/>
      <w:divBdr>
        <w:top w:val="none" w:sz="0" w:space="0" w:color="auto"/>
        <w:left w:val="none" w:sz="0" w:space="0" w:color="auto"/>
        <w:bottom w:val="none" w:sz="0" w:space="0" w:color="auto"/>
        <w:right w:val="none" w:sz="0" w:space="0" w:color="auto"/>
      </w:divBdr>
    </w:div>
    <w:div w:id="371199722">
      <w:bodyDiv w:val="1"/>
      <w:marLeft w:val="0"/>
      <w:marRight w:val="0"/>
      <w:marTop w:val="0"/>
      <w:marBottom w:val="0"/>
      <w:divBdr>
        <w:top w:val="none" w:sz="0" w:space="0" w:color="auto"/>
        <w:left w:val="none" w:sz="0" w:space="0" w:color="auto"/>
        <w:bottom w:val="none" w:sz="0" w:space="0" w:color="auto"/>
        <w:right w:val="none" w:sz="0" w:space="0" w:color="auto"/>
      </w:divBdr>
      <w:divsChild>
        <w:div w:id="170023102">
          <w:marLeft w:val="640"/>
          <w:marRight w:val="0"/>
          <w:marTop w:val="0"/>
          <w:marBottom w:val="0"/>
          <w:divBdr>
            <w:top w:val="none" w:sz="0" w:space="0" w:color="auto"/>
            <w:left w:val="none" w:sz="0" w:space="0" w:color="auto"/>
            <w:bottom w:val="none" w:sz="0" w:space="0" w:color="auto"/>
            <w:right w:val="none" w:sz="0" w:space="0" w:color="auto"/>
          </w:divBdr>
        </w:div>
        <w:div w:id="186405304">
          <w:marLeft w:val="640"/>
          <w:marRight w:val="0"/>
          <w:marTop w:val="0"/>
          <w:marBottom w:val="0"/>
          <w:divBdr>
            <w:top w:val="none" w:sz="0" w:space="0" w:color="auto"/>
            <w:left w:val="none" w:sz="0" w:space="0" w:color="auto"/>
            <w:bottom w:val="none" w:sz="0" w:space="0" w:color="auto"/>
            <w:right w:val="none" w:sz="0" w:space="0" w:color="auto"/>
          </w:divBdr>
        </w:div>
        <w:div w:id="319625751">
          <w:marLeft w:val="640"/>
          <w:marRight w:val="0"/>
          <w:marTop w:val="0"/>
          <w:marBottom w:val="0"/>
          <w:divBdr>
            <w:top w:val="none" w:sz="0" w:space="0" w:color="auto"/>
            <w:left w:val="none" w:sz="0" w:space="0" w:color="auto"/>
            <w:bottom w:val="none" w:sz="0" w:space="0" w:color="auto"/>
            <w:right w:val="none" w:sz="0" w:space="0" w:color="auto"/>
          </w:divBdr>
        </w:div>
        <w:div w:id="385690142">
          <w:marLeft w:val="640"/>
          <w:marRight w:val="0"/>
          <w:marTop w:val="0"/>
          <w:marBottom w:val="0"/>
          <w:divBdr>
            <w:top w:val="none" w:sz="0" w:space="0" w:color="auto"/>
            <w:left w:val="none" w:sz="0" w:space="0" w:color="auto"/>
            <w:bottom w:val="none" w:sz="0" w:space="0" w:color="auto"/>
            <w:right w:val="none" w:sz="0" w:space="0" w:color="auto"/>
          </w:divBdr>
        </w:div>
        <w:div w:id="589124937">
          <w:marLeft w:val="640"/>
          <w:marRight w:val="0"/>
          <w:marTop w:val="0"/>
          <w:marBottom w:val="0"/>
          <w:divBdr>
            <w:top w:val="none" w:sz="0" w:space="0" w:color="auto"/>
            <w:left w:val="none" w:sz="0" w:space="0" w:color="auto"/>
            <w:bottom w:val="none" w:sz="0" w:space="0" w:color="auto"/>
            <w:right w:val="none" w:sz="0" w:space="0" w:color="auto"/>
          </w:divBdr>
        </w:div>
        <w:div w:id="650868091">
          <w:marLeft w:val="640"/>
          <w:marRight w:val="0"/>
          <w:marTop w:val="0"/>
          <w:marBottom w:val="0"/>
          <w:divBdr>
            <w:top w:val="none" w:sz="0" w:space="0" w:color="auto"/>
            <w:left w:val="none" w:sz="0" w:space="0" w:color="auto"/>
            <w:bottom w:val="none" w:sz="0" w:space="0" w:color="auto"/>
            <w:right w:val="none" w:sz="0" w:space="0" w:color="auto"/>
          </w:divBdr>
        </w:div>
        <w:div w:id="713039107">
          <w:marLeft w:val="640"/>
          <w:marRight w:val="0"/>
          <w:marTop w:val="0"/>
          <w:marBottom w:val="0"/>
          <w:divBdr>
            <w:top w:val="none" w:sz="0" w:space="0" w:color="auto"/>
            <w:left w:val="none" w:sz="0" w:space="0" w:color="auto"/>
            <w:bottom w:val="none" w:sz="0" w:space="0" w:color="auto"/>
            <w:right w:val="none" w:sz="0" w:space="0" w:color="auto"/>
          </w:divBdr>
        </w:div>
        <w:div w:id="1211116945">
          <w:marLeft w:val="640"/>
          <w:marRight w:val="0"/>
          <w:marTop w:val="0"/>
          <w:marBottom w:val="0"/>
          <w:divBdr>
            <w:top w:val="none" w:sz="0" w:space="0" w:color="auto"/>
            <w:left w:val="none" w:sz="0" w:space="0" w:color="auto"/>
            <w:bottom w:val="none" w:sz="0" w:space="0" w:color="auto"/>
            <w:right w:val="none" w:sz="0" w:space="0" w:color="auto"/>
          </w:divBdr>
        </w:div>
        <w:div w:id="1652174821">
          <w:marLeft w:val="640"/>
          <w:marRight w:val="0"/>
          <w:marTop w:val="0"/>
          <w:marBottom w:val="0"/>
          <w:divBdr>
            <w:top w:val="none" w:sz="0" w:space="0" w:color="auto"/>
            <w:left w:val="none" w:sz="0" w:space="0" w:color="auto"/>
            <w:bottom w:val="none" w:sz="0" w:space="0" w:color="auto"/>
            <w:right w:val="none" w:sz="0" w:space="0" w:color="auto"/>
          </w:divBdr>
        </w:div>
        <w:div w:id="1848591752">
          <w:marLeft w:val="640"/>
          <w:marRight w:val="0"/>
          <w:marTop w:val="0"/>
          <w:marBottom w:val="0"/>
          <w:divBdr>
            <w:top w:val="none" w:sz="0" w:space="0" w:color="auto"/>
            <w:left w:val="none" w:sz="0" w:space="0" w:color="auto"/>
            <w:bottom w:val="none" w:sz="0" w:space="0" w:color="auto"/>
            <w:right w:val="none" w:sz="0" w:space="0" w:color="auto"/>
          </w:divBdr>
        </w:div>
        <w:div w:id="1942715637">
          <w:marLeft w:val="640"/>
          <w:marRight w:val="0"/>
          <w:marTop w:val="0"/>
          <w:marBottom w:val="0"/>
          <w:divBdr>
            <w:top w:val="none" w:sz="0" w:space="0" w:color="auto"/>
            <w:left w:val="none" w:sz="0" w:space="0" w:color="auto"/>
            <w:bottom w:val="none" w:sz="0" w:space="0" w:color="auto"/>
            <w:right w:val="none" w:sz="0" w:space="0" w:color="auto"/>
          </w:divBdr>
        </w:div>
        <w:div w:id="1985503431">
          <w:marLeft w:val="640"/>
          <w:marRight w:val="0"/>
          <w:marTop w:val="0"/>
          <w:marBottom w:val="0"/>
          <w:divBdr>
            <w:top w:val="none" w:sz="0" w:space="0" w:color="auto"/>
            <w:left w:val="none" w:sz="0" w:space="0" w:color="auto"/>
            <w:bottom w:val="none" w:sz="0" w:space="0" w:color="auto"/>
            <w:right w:val="none" w:sz="0" w:space="0" w:color="auto"/>
          </w:divBdr>
        </w:div>
        <w:div w:id="2066371261">
          <w:marLeft w:val="640"/>
          <w:marRight w:val="0"/>
          <w:marTop w:val="0"/>
          <w:marBottom w:val="0"/>
          <w:divBdr>
            <w:top w:val="none" w:sz="0" w:space="0" w:color="auto"/>
            <w:left w:val="none" w:sz="0" w:space="0" w:color="auto"/>
            <w:bottom w:val="none" w:sz="0" w:space="0" w:color="auto"/>
            <w:right w:val="none" w:sz="0" w:space="0" w:color="auto"/>
          </w:divBdr>
        </w:div>
      </w:divsChild>
    </w:div>
    <w:div w:id="606620248">
      <w:bodyDiv w:val="1"/>
      <w:marLeft w:val="0"/>
      <w:marRight w:val="0"/>
      <w:marTop w:val="0"/>
      <w:marBottom w:val="0"/>
      <w:divBdr>
        <w:top w:val="none" w:sz="0" w:space="0" w:color="auto"/>
        <w:left w:val="none" w:sz="0" w:space="0" w:color="auto"/>
        <w:bottom w:val="none" w:sz="0" w:space="0" w:color="auto"/>
        <w:right w:val="none" w:sz="0" w:space="0" w:color="auto"/>
      </w:divBdr>
      <w:divsChild>
        <w:div w:id="322701449">
          <w:marLeft w:val="640"/>
          <w:marRight w:val="0"/>
          <w:marTop w:val="0"/>
          <w:marBottom w:val="0"/>
          <w:divBdr>
            <w:top w:val="none" w:sz="0" w:space="0" w:color="auto"/>
            <w:left w:val="none" w:sz="0" w:space="0" w:color="auto"/>
            <w:bottom w:val="none" w:sz="0" w:space="0" w:color="auto"/>
            <w:right w:val="none" w:sz="0" w:space="0" w:color="auto"/>
          </w:divBdr>
        </w:div>
        <w:div w:id="332076291">
          <w:marLeft w:val="640"/>
          <w:marRight w:val="0"/>
          <w:marTop w:val="0"/>
          <w:marBottom w:val="0"/>
          <w:divBdr>
            <w:top w:val="none" w:sz="0" w:space="0" w:color="auto"/>
            <w:left w:val="none" w:sz="0" w:space="0" w:color="auto"/>
            <w:bottom w:val="none" w:sz="0" w:space="0" w:color="auto"/>
            <w:right w:val="none" w:sz="0" w:space="0" w:color="auto"/>
          </w:divBdr>
        </w:div>
        <w:div w:id="427433917">
          <w:marLeft w:val="640"/>
          <w:marRight w:val="0"/>
          <w:marTop w:val="0"/>
          <w:marBottom w:val="0"/>
          <w:divBdr>
            <w:top w:val="none" w:sz="0" w:space="0" w:color="auto"/>
            <w:left w:val="none" w:sz="0" w:space="0" w:color="auto"/>
            <w:bottom w:val="none" w:sz="0" w:space="0" w:color="auto"/>
            <w:right w:val="none" w:sz="0" w:space="0" w:color="auto"/>
          </w:divBdr>
        </w:div>
        <w:div w:id="556627971">
          <w:marLeft w:val="640"/>
          <w:marRight w:val="0"/>
          <w:marTop w:val="0"/>
          <w:marBottom w:val="0"/>
          <w:divBdr>
            <w:top w:val="none" w:sz="0" w:space="0" w:color="auto"/>
            <w:left w:val="none" w:sz="0" w:space="0" w:color="auto"/>
            <w:bottom w:val="none" w:sz="0" w:space="0" w:color="auto"/>
            <w:right w:val="none" w:sz="0" w:space="0" w:color="auto"/>
          </w:divBdr>
        </w:div>
        <w:div w:id="811751340">
          <w:marLeft w:val="640"/>
          <w:marRight w:val="0"/>
          <w:marTop w:val="0"/>
          <w:marBottom w:val="0"/>
          <w:divBdr>
            <w:top w:val="none" w:sz="0" w:space="0" w:color="auto"/>
            <w:left w:val="none" w:sz="0" w:space="0" w:color="auto"/>
            <w:bottom w:val="none" w:sz="0" w:space="0" w:color="auto"/>
            <w:right w:val="none" w:sz="0" w:space="0" w:color="auto"/>
          </w:divBdr>
        </w:div>
        <w:div w:id="825903464">
          <w:marLeft w:val="640"/>
          <w:marRight w:val="0"/>
          <w:marTop w:val="0"/>
          <w:marBottom w:val="0"/>
          <w:divBdr>
            <w:top w:val="none" w:sz="0" w:space="0" w:color="auto"/>
            <w:left w:val="none" w:sz="0" w:space="0" w:color="auto"/>
            <w:bottom w:val="none" w:sz="0" w:space="0" w:color="auto"/>
            <w:right w:val="none" w:sz="0" w:space="0" w:color="auto"/>
          </w:divBdr>
        </w:div>
        <w:div w:id="1031227694">
          <w:marLeft w:val="640"/>
          <w:marRight w:val="0"/>
          <w:marTop w:val="0"/>
          <w:marBottom w:val="0"/>
          <w:divBdr>
            <w:top w:val="none" w:sz="0" w:space="0" w:color="auto"/>
            <w:left w:val="none" w:sz="0" w:space="0" w:color="auto"/>
            <w:bottom w:val="none" w:sz="0" w:space="0" w:color="auto"/>
            <w:right w:val="none" w:sz="0" w:space="0" w:color="auto"/>
          </w:divBdr>
        </w:div>
        <w:div w:id="1214654682">
          <w:marLeft w:val="640"/>
          <w:marRight w:val="0"/>
          <w:marTop w:val="0"/>
          <w:marBottom w:val="0"/>
          <w:divBdr>
            <w:top w:val="none" w:sz="0" w:space="0" w:color="auto"/>
            <w:left w:val="none" w:sz="0" w:space="0" w:color="auto"/>
            <w:bottom w:val="none" w:sz="0" w:space="0" w:color="auto"/>
            <w:right w:val="none" w:sz="0" w:space="0" w:color="auto"/>
          </w:divBdr>
        </w:div>
        <w:div w:id="1251238608">
          <w:marLeft w:val="640"/>
          <w:marRight w:val="0"/>
          <w:marTop w:val="0"/>
          <w:marBottom w:val="0"/>
          <w:divBdr>
            <w:top w:val="none" w:sz="0" w:space="0" w:color="auto"/>
            <w:left w:val="none" w:sz="0" w:space="0" w:color="auto"/>
            <w:bottom w:val="none" w:sz="0" w:space="0" w:color="auto"/>
            <w:right w:val="none" w:sz="0" w:space="0" w:color="auto"/>
          </w:divBdr>
        </w:div>
        <w:div w:id="1498573405">
          <w:marLeft w:val="640"/>
          <w:marRight w:val="0"/>
          <w:marTop w:val="0"/>
          <w:marBottom w:val="0"/>
          <w:divBdr>
            <w:top w:val="none" w:sz="0" w:space="0" w:color="auto"/>
            <w:left w:val="none" w:sz="0" w:space="0" w:color="auto"/>
            <w:bottom w:val="none" w:sz="0" w:space="0" w:color="auto"/>
            <w:right w:val="none" w:sz="0" w:space="0" w:color="auto"/>
          </w:divBdr>
        </w:div>
        <w:div w:id="1697342256">
          <w:marLeft w:val="640"/>
          <w:marRight w:val="0"/>
          <w:marTop w:val="0"/>
          <w:marBottom w:val="0"/>
          <w:divBdr>
            <w:top w:val="none" w:sz="0" w:space="0" w:color="auto"/>
            <w:left w:val="none" w:sz="0" w:space="0" w:color="auto"/>
            <w:bottom w:val="none" w:sz="0" w:space="0" w:color="auto"/>
            <w:right w:val="none" w:sz="0" w:space="0" w:color="auto"/>
          </w:divBdr>
        </w:div>
        <w:div w:id="1725105090">
          <w:marLeft w:val="640"/>
          <w:marRight w:val="0"/>
          <w:marTop w:val="0"/>
          <w:marBottom w:val="0"/>
          <w:divBdr>
            <w:top w:val="none" w:sz="0" w:space="0" w:color="auto"/>
            <w:left w:val="none" w:sz="0" w:space="0" w:color="auto"/>
            <w:bottom w:val="none" w:sz="0" w:space="0" w:color="auto"/>
            <w:right w:val="none" w:sz="0" w:space="0" w:color="auto"/>
          </w:divBdr>
        </w:div>
        <w:div w:id="1995985858">
          <w:marLeft w:val="640"/>
          <w:marRight w:val="0"/>
          <w:marTop w:val="0"/>
          <w:marBottom w:val="0"/>
          <w:divBdr>
            <w:top w:val="none" w:sz="0" w:space="0" w:color="auto"/>
            <w:left w:val="none" w:sz="0" w:space="0" w:color="auto"/>
            <w:bottom w:val="none" w:sz="0" w:space="0" w:color="auto"/>
            <w:right w:val="none" w:sz="0" w:space="0" w:color="auto"/>
          </w:divBdr>
        </w:div>
      </w:divsChild>
    </w:div>
    <w:div w:id="778990761">
      <w:bodyDiv w:val="1"/>
      <w:marLeft w:val="0"/>
      <w:marRight w:val="0"/>
      <w:marTop w:val="0"/>
      <w:marBottom w:val="0"/>
      <w:divBdr>
        <w:top w:val="none" w:sz="0" w:space="0" w:color="auto"/>
        <w:left w:val="none" w:sz="0" w:space="0" w:color="auto"/>
        <w:bottom w:val="none" w:sz="0" w:space="0" w:color="auto"/>
        <w:right w:val="none" w:sz="0" w:space="0" w:color="auto"/>
      </w:divBdr>
      <w:divsChild>
        <w:div w:id="4983969">
          <w:marLeft w:val="640"/>
          <w:marRight w:val="0"/>
          <w:marTop w:val="0"/>
          <w:marBottom w:val="0"/>
          <w:divBdr>
            <w:top w:val="none" w:sz="0" w:space="0" w:color="auto"/>
            <w:left w:val="none" w:sz="0" w:space="0" w:color="auto"/>
            <w:bottom w:val="none" w:sz="0" w:space="0" w:color="auto"/>
            <w:right w:val="none" w:sz="0" w:space="0" w:color="auto"/>
          </w:divBdr>
        </w:div>
        <w:div w:id="222182424">
          <w:marLeft w:val="640"/>
          <w:marRight w:val="0"/>
          <w:marTop w:val="0"/>
          <w:marBottom w:val="0"/>
          <w:divBdr>
            <w:top w:val="none" w:sz="0" w:space="0" w:color="auto"/>
            <w:left w:val="none" w:sz="0" w:space="0" w:color="auto"/>
            <w:bottom w:val="none" w:sz="0" w:space="0" w:color="auto"/>
            <w:right w:val="none" w:sz="0" w:space="0" w:color="auto"/>
          </w:divBdr>
        </w:div>
        <w:div w:id="233660904">
          <w:marLeft w:val="640"/>
          <w:marRight w:val="0"/>
          <w:marTop w:val="0"/>
          <w:marBottom w:val="0"/>
          <w:divBdr>
            <w:top w:val="none" w:sz="0" w:space="0" w:color="auto"/>
            <w:left w:val="none" w:sz="0" w:space="0" w:color="auto"/>
            <w:bottom w:val="none" w:sz="0" w:space="0" w:color="auto"/>
            <w:right w:val="none" w:sz="0" w:space="0" w:color="auto"/>
          </w:divBdr>
        </w:div>
        <w:div w:id="284242886">
          <w:marLeft w:val="640"/>
          <w:marRight w:val="0"/>
          <w:marTop w:val="0"/>
          <w:marBottom w:val="0"/>
          <w:divBdr>
            <w:top w:val="none" w:sz="0" w:space="0" w:color="auto"/>
            <w:left w:val="none" w:sz="0" w:space="0" w:color="auto"/>
            <w:bottom w:val="none" w:sz="0" w:space="0" w:color="auto"/>
            <w:right w:val="none" w:sz="0" w:space="0" w:color="auto"/>
          </w:divBdr>
        </w:div>
        <w:div w:id="421800949">
          <w:marLeft w:val="640"/>
          <w:marRight w:val="0"/>
          <w:marTop w:val="0"/>
          <w:marBottom w:val="0"/>
          <w:divBdr>
            <w:top w:val="none" w:sz="0" w:space="0" w:color="auto"/>
            <w:left w:val="none" w:sz="0" w:space="0" w:color="auto"/>
            <w:bottom w:val="none" w:sz="0" w:space="0" w:color="auto"/>
            <w:right w:val="none" w:sz="0" w:space="0" w:color="auto"/>
          </w:divBdr>
        </w:div>
        <w:div w:id="469323414">
          <w:marLeft w:val="640"/>
          <w:marRight w:val="0"/>
          <w:marTop w:val="0"/>
          <w:marBottom w:val="0"/>
          <w:divBdr>
            <w:top w:val="none" w:sz="0" w:space="0" w:color="auto"/>
            <w:left w:val="none" w:sz="0" w:space="0" w:color="auto"/>
            <w:bottom w:val="none" w:sz="0" w:space="0" w:color="auto"/>
            <w:right w:val="none" w:sz="0" w:space="0" w:color="auto"/>
          </w:divBdr>
        </w:div>
        <w:div w:id="912470209">
          <w:marLeft w:val="640"/>
          <w:marRight w:val="0"/>
          <w:marTop w:val="0"/>
          <w:marBottom w:val="0"/>
          <w:divBdr>
            <w:top w:val="none" w:sz="0" w:space="0" w:color="auto"/>
            <w:left w:val="none" w:sz="0" w:space="0" w:color="auto"/>
            <w:bottom w:val="none" w:sz="0" w:space="0" w:color="auto"/>
            <w:right w:val="none" w:sz="0" w:space="0" w:color="auto"/>
          </w:divBdr>
        </w:div>
        <w:div w:id="943265528">
          <w:marLeft w:val="640"/>
          <w:marRight w:val="0"/>
          <w:marTop w:val="0"/>
          <w:marBottom w:val="0"/>
          <w:divBdr>
            <w:top w:val="none" w:sz="0" w:space="0" w:color="auto"/>
            <w:left w:val="none" w:sz="0" w:space="0" w:color="auto"/>
            <w:bottom w:val="none" w:sz="0" w:space="0" w:color="auto"/>
            <w:right w:val="none" w:sz="0" w:space="0" w:color="auto"/>
          </w:divBdr>
        </w:div>
        <w:div w:id="1246645610">
          <w:marLeft w:val="640"/>
          <w:marRight w:val="0"/>
          <w:marTop w:val="0"/>
          <w:marBottom w:val="0"/>
          <w:divBdr>
            <w:top w:val="none" w:sz="0" w:space="0" w:color="auto"/>
            <w:left w:val="none" w:sz="0" w:space="0" w:color="auto"/>
            <w:bottom w:val="none" w:sz="0" w:space="0" w:color="auto"/>
            <w:right w:val="none" w:sz="0" w:space="0" w:color="auto"/>
          </w:divBdr>
        </w:div>
        <w:div w:id="1785885938">
          <w:marLeft w:val="640"/>
          <w:marRight w:val="0"/>
          <w:marTop w:val="0"/>
          <w:marBottom w:val="0"/>
          <w:divBdr>
            <w:top w:val="none" w:sz="0" w:space="0" w:color="auto"/>
            <w:left w:val="none" w:sz="0" w:space="0" w:color="auto"/>
            <w:bottom w:val="none" w:sz="0" w:space="0" w:color="auto"/>
            <w:right w:val="none" w:sz="0" w:space="0" w:color="auto"/>
          </w:divBdr>
        </w:div>
        <w:div w:id="1973167301">
          <w:marLeft w:val="640"/>
          <w:marRight w:val="0"/>
          <w:marTop w:val="0"/>
          <w:marBottom w:val="0"/>
          <w:divBdr>
            <w:top w:val="none" w:sz="0" w:space="0" w:color="auto"/>
            <w:left w:val="none" w:sz="0" w:space="0" w:color="auto"/>
            <w:bottom w:val="none" w:sz="0" w:space="0" w:color="auto"/>
            <w:right w:val="none" w:sz="0" w:space="0" w:color="auto"/>
          </w:divBdr>
        </w:div>
        <w:div w:id="1979263653">
          <w:marLeft w:val="640"/>
          <w:marRight w:val="0"/>
          <w:marTop w:val="0"/>
          <w:marBottom w:val="0"/>
          <w:divBdr>
            <w:top w:val="none" w:sz="0" w:space="0" w:color="auto"/>
            <w:left w:val="none" w:sz="0" w:space="0" w:color="auto"/>
            <w:bottom w:val="none" w:sz="0" w:space="0" w:color="auto"/>
            <w:right w:val="none" w:sz="0" w:space="0" w:color="auto"/>
          </w:divBdr>
        </w:div>
        <w:div w:id="2040816215">
          <w:marLeft w:val="640"/>
          <w:marRight w:val="0"/>
          <w:marTop w:val="0"/>
          <w:marBottom w:val="0"/>
          <w:divBdr>
            <w:top w:val="none" w:sz="0" w:space="0" w:color="auto"/>
            <w:left w:val="none" w:sz="0" w:space="0" w:color="auto"/>
            <w:bottom w:val="none" w:sz="0" w:space="0" w:color="auto"/>
            <w:right w:val="none" w:sz="0" w:space="0" w:color="auto"/>
          </w:divBdr>
        </w:div>
      </w:divsChild>
    </w:div>
    <w:div w:id="799148842">
      <w:bodyDiv w:val="1"/>
      <w:marLeft w:val="0"/>
      <w:marRight w:val="0"/>
      <w:marTop w:val="0"/>
      <w:marBottom w:val="0"/>
      <w:divBdr>
        <w:top w:val="none" w:sz="0" w:space="0" w:color="auto"/>
        <w:left w:val="none" w:sz="0" w:space="0" w:color="auto"/>
        <w:bottom w:val="none" w:sz="0" w:space="0" w:color="auto"/>
        <w:right w:val="none" w:sz="0" w:space="0" w:color="auto"/>
      </w:divBdr>
      <w:divsChild>
        <w:div w:id="13770268">
          <w:marLeft w:val="640"/>
          <w:marRight w:val="0"/>
          <w:marTop w:val="0"/>
          <w:marBottom w:val="0"/>
          <w:divBdr>
            <w:top w:val="none" w:sz="0" w:space="0" w:color="auto"/>
            <w:left w:val="none" w:sz="0" w:space="0" w:color="auto"/>
            <w:bottom w:val="none" w:sz="0" w:space="0" w:color="auto"/>
            <w:right w:val="none" w:sz="0" w:space="0" w:color="auto"/>
          </w:divBdr>
        </w:div>
        <w:div w:id="100878575">
          <w:marLeft w:val="640"/>
          <w:marRight w:val="0"/>
          <w:marTop w:val="0"/>
          <w:marBottom w:val="0"/>
          <w:divBdr>
            <w:top w:val="none" w:sz="0" w:space="0" w:color="auto"/>
            <w:left w:val="none" w:sz="0" w:space="0" w:color="auto"/>
            <w:bottom w:val="none" w:sz="0" w:space="0" w:color="auto"/>
            <w:right w:val="none" w:sz="0" w:space="0" w:color="auto"/>
          </w:divBdr>
        </w:div>
        <w:div w:id="321276991">
          <w:marLeft w:val="640"/>
          <w:marRight w:val="0"/>
          <w:marTop w:val="0"/>
          <w:marBottom w:val="0"/>
          <w:divBdr>
            <w:top w:val="none" w:sz="0" w:space="0" w:color="auto"/>
            <w:left w:val="none" w:sz="0" w:space="0" w:color="auto"/>
            <w:bottom w:val="none" w:sz="0" w:space="0" w:color="auto"/>
            <w:right w:val="none" w:sz="0" w:space="0" w:color="auto"/>
          </w:divBdr>
        </w:div>
        <w:div w:id="376783205">
          <w:marLeft w:val="640"/>
          <w:marRight w:val="0"/>
          <w:marTop w:val="0"/>
          <w:marBottom w:val="0"/>
          <w:divBdr>
            <w:top w:val="none" w:sz="0" w:space="0" w:color="auto"/>
            <w:left w:val="none" w:sz="0" w:space="0" w:color="auto"/>
            <w:bottom w:val="none" w:sz="0" w:space="0" w:color="auto"/>
            <w:right w:val="none" w:sz="0" w:space="0" w:color="auto"/>
          </w:divBdr>
        </w:div>
        <w:div w:id="519973844">
          <w:marLeft w:val="640"/>
          <w:marRight w:val="0"/>
          <w:marTop w:val="0"/>
          <w:marBottom w:val="0"/>
          <w:divBdr>
            <w:top w:val="none" w:sz="0" w:space="0" w:color="auto"/>
            <w:left w:val="none" w:sz="0" w:space="0" w:color="auto"/>
            <w:bottom w:val="none" w:sz="0" w:space="0" w:color="auto"/>
            <w:right w:val="none" w:sz="0" w:space="0" w:color="auto"/>
          </w:divBdr>
        </w:div>
        <w:div w:id="539560480">
          <w:marLeft w:val="640"/>
          <w:marRight w:val="0"/>
          <w:marTop w:val="0"/>
          <w:marBottom w:val="0"/>
          <w:divBdr>
            <w:top w:val="none" w:sz="0" w:space="0" w:color="auto"/>
            <w:left w:val="none" w:sz="0" w:space="0" w:color="auto"/>
            <w:bottom w:val="none" w:sz="0" w:space="0" w:color="auto"/>
            <w:right w:val="none" w:sz="0" w:space="0" w:color="auto"/>
          </w:divBdr>
        </w:div>
        <w:div w:id="863447869">
          <w:marLeft w:val="640"/>
          <w:marRight w:val="0"/>
          <w:marTop w:val="0"/>
          <w:marBottom w:val="0"/>
          <w:divBdr>
            <w:top w:val="none" w:sz="0" w:space="0" w:color="auto"/>
            <w:left w:val="none" w:sz="0" w:space="0" w:color="auto"/>
            <w:bottom w:val="none" w:sz="0" w:space="0" w:color="auto"/>
            <w:right w:val="none" w:sz="0" w:space="0" w:color="auto"/>
          </w:divBdr>
        </w:div>
        <w:div w:id="976377360">
          <w:marLeft w:val="640"/>
          <w:marRight w:val="0"/>
          <w:marTop w:val="0"/>
          <w:marBottom w:val="0"/>
          <w:divBdr>
            <w:top w:val="none" w:sz="0" w:space="0" w:color="auto"/>
            <w:left w:val="none" w:sz="0" w:space="0" w:color="auto"/>
            <w:bottom w:val="none" w:sz="0" w:space="0" w:color="auto"/>
            <w:right w:val="none" w:sz="0" w:space="0" w:color="auto"/>
          </w:divBdr>
        </w:div>
        <w:div w:id="1170682631">
          <w:marLeft w:val="640"/>
          <w:marRight w:val="0"/>
          <w:marTop w:val="0"/>
          <w:marBottom w:val="0"/>
          <w:divBdr>
            <w:top w:val="none" w:sz="0" w:space="0" w:color="auto"/>
            <w:left w:val="none" w:sz="0" w:space="0" w:color="auto"/>
            <w:bottom w:val="none" w:sz="0" w:space="0" w:color="auto"/>
            <w:right w:val="none" w:sz="0" w:space="0" w:color="auto"/>
          </w:divBdr>
        </w:div>
        <w:div w:id="1343891770">
          <w:marLeft w:val="640"/>
          <w:marRight w:val="0"/>
          <w:marTop w:val="0"/>
          <w:marBottom w:val="0"/>
          <w:divBdr>
            <w:top w:val="none" w:sz="0" w:space="0" w:color="auto"/>
            <w:left w:val="none" w:sz="0" w:space="0" w:color="auto"/>
            <w:bottom w:val="none" w:sz="0" w:space="0" w:color="auto"/>
            <w:right w:val="none" w:sz="0" w:space="0" w:color="auto"/>
          </w:divBdr>
        </w:div>
        <w:div w:id="1614096118">
          <w:marLeft w:val="640"/>
          <w:marRight w:val="0"/>
          <w:marTop w:val="0"/>
          <w:marBottom w:val="0"/>
          <w:divBdr>
            <w:top w:val="none" w:sz="0" w:space="0" w:color="auto"/>
            <w:left w:val="none" w:sz="0" w:space="0" w:color="auto"/>
            <w:bottom w:val="none" w:sz="0" w:space="0" w:color="auto"/>
            <w:right w:val="none" w:sz="0" w:space="0" w:color="auto"/>
          </w:divBdr>
        </w:div>
        <w:div w:id="1637372250">
          <w:marLeft w:val="640"/>
          <w:marRight w:val="0"/>
          <w:marTop w:val="0"/>
          <w:marBottom w:val="0"/>
          <w:divBdr>
            <w:top w:val="none" w:sz="0" w:space="0" w:color="auto"/>
            <w:left w:val="none" w:sz="0" w:space="0" w:color="auto"/>
            <w:bottom w:val="none" w:sz="0" w:space="0" w:color="auto"/>
            <w:right w:val="none" w:sz="0" w:space="0" w:color="auto"/>
          </w:divBdr>
        </w:div>
        <w:div w:id="2043169607">
          <w:marLeft w:val="640"/>
          <w:marRight w:val="0"/>
          <w:marTop w:val="0"/>
          <w:marBottom w:val="0"/>
          <w:divBdr>
            <w:top w:val="none" w:sz="0" w:space="0" w:color="auto"/>
            <w:left w:val="none" w:sz="0" w:space="0" w:color="auto"/>
            <w:bottom w:val="none" w:sz="0" w:space="0" w:color="auto"/>
            <w:right w:val="none" w:sz="0" w:space="0" w:color="auto"/>
          </w:divBdr>
        </w:div>
      </w:divsChild>
    </w:div>
    <w:div w:id="810901139">
      <w:bodyDiv w:val="1"/>
      <w:marLeft w:val="0"/>
      <w:marRight w:val="0"/>
      <w:marTop w:val="0"/>
      <w:marBottom w:val="0"/>
      <w:divBdr>
        <w:top w:val="none" w:sz="0" w:space="0" w:color="auto"/>
        <w:left w:val="none" w:sz="0" w:space="0" w:color="auto"/>
        <w:bottom w:val="none" w:sz="0" w:space="0" w:color="auto"/>
        <w:right w:val="none" w:sz="0" w:space="0" w:color="auto"/>
      </w:divBdr>
      <w:divsChild>
        <w:div w:id="94329440">
          <w:marLeft w:val="640"/>
          <w:marRight w:val="0"/>
          <w:marTop w:val="0"/>
          <w:marBottom w:val="0"/>
          <w:divBdr>
            <w:top w:val="none" w:sz="0" w:space="0" w:color="auto"/>
            <w:left w:val="none" w:sz="0" w:space="0" w:color="auto"/>
            <w:bottom w:val="none" w:sz="0" w:space="0" w:color="auto"/>
            <w:right w:val="none" w:sz="0" w:space="0" w:color="auto"/>
          </w:divBdr>
        </w:div>
        <w:div w:id="379133237">
          <w:marLeft w:val="640"/>
          <w:marRight w:val="0"/>
          <w:marTop w:val="0"/>
          <w:marBottom w:val="0"/>
          <w:divBdr>
            <w:top w:val="none" w:sz="0" w:space="0" w:color="auto"/>
            <w:left w:val="none" w:sz="0" w:space="0" w:color="auto"/>
            <w:bottom w:val="none" w:sz="0" w:space="0" w:color="auto"/>
            <w:right w:val="none" w:sz="0" w:space="0" w:color="auto"/>
          </w:divBdr>
        </w:div>
        <w:div w:id="436756852">
          <w:marLeft w:val="640"/>
          <w:marRight w:val="0"/>
          <w:marTop w:val="0"/>
          <w:marBottom w:val="0"/>
          <w:divBdr>
            <w:top w:val="none" w:sz="0" w:space="0" w:color="auto"/>
            <w:left w:val="none" w:sz="0" w:space="0" w:color="auto"/>
            <w:bottom w:val="none" w:sz="0" w:space="0" w:color="auto"/>
            <w:right w:val="none" w:sz="0" w:space="0" w:color="auto"/>
          </w:divBdr>
        </w:div>
        <w:div w:id="449204794">
          <w:marLeft w:val="640"/>
          <w:marRight w:val="0"/>
          <w:marTop w:val="0"/>
          <w:marBottom w:val="0"/>
          <w:divBdr>
            <w:top w:val="none" w:sz="0" w:space="0" w:color="auto"/>
            <w:left w:val="none" w:sz="0" w:space="0" w:color="auto"/>
            <w:bottom w:val="none" w:sz="0" w:space="0" w:color="auto"/>
            <w:right w:val="none" w:sz="0" w:space="0" w:color="auto"/>
          </w:divBdr>
        </w:div>
        <w:div w:id="582883618">
          <w:marLeft w:val="640"/>
          <w:marRight w:val="0"/>
          <w:marTop w:val="0"/>
          <w:marBottom w:val="0"/>
          <w:divBdr>
            <w:top w:val="none" w:sz="0" w:space="0" w:color="auto"/>
            <w:left w:val="none" w:sz="0" w:space="0" w:color="auto"/>
            <w:bottom w:val="none" w:sz="0" w:space="0" w:color="auto"/>
            <w:right w:val="none" w:sz="0" w:space="0" w:color="auto"/>
          </w:divBdr>
        </w:div>
        <w:div w:id="632518946">
          <w:marLeft w:val="640"/>
          <w:marRight w:val="0"/>
          <w:marTop w:val="0"/>
          <w:marBottom w:val="0"/>
          <w:divBdr>
            <w:top w:val="none" w:sz="0" w:space="0" w:color="auto"/>
            <w:left w:val="none" w:sz="0" w:space="0" w:color="auto"/>
            <w:bottom w:val="none" w:sz="0" w:space="0" w:color="auto"/>
            <w:right w:val="none" w:sz="0" w:space="0" w:color="auto"/>
          </w:divBdr>
        </w:div>
        <w:div w:id="681469309">
          <w:marLeft w:val="640"/>
          <w:marRight w:val="0"/>
          <w:marTop w:val="0"/>
          <w:marBottom w:val="0"/>
          <w:divBdr>
            <w:top w:val="none" w:sz="0" w:space="0" w:color="auto"/>
            <w:left w:val="none" w:sz="0" w:space="0" w:color="auto"/>
            <w:bottom w:val="none" w:sz="0" w:space="0" w:color="auto"/>
            <w:right w:val="none" w:sz="0" w:space="0" w:color="auto"/>
          </w:divBdr>
        </w:div>
        <w:div w:id="788084413">
          <w:marLeft w:val="640"/>
          <w:marRight w:val="0"/>
          <w:marTop w:val="0"/>
          <w:marBottom w:val="0"/>
          <w:divBdr>
            <w:top w:val="none" w:sz="0" w:space="0" w:color="auto"/>
            <w:left w:val="none" w:sz="0" w:space="0" w:color="auto"/>
            <w:bottom w:val="none" w:sz="0" w:space="0" w:color="auto"/>
            <w:right w:val="none" w:sz="0" w:space="0" w:color="auto"/>
          </w:divBdr>
        </w:div>
        <w:div w:id="1154184042">
          <w:marLeft w:val="640"/>
          <w:marRight w:val="0"/>
          <w:marTop w:val="0"/>
          <w:marBottom w:val="0"/>
          <w:divBdr>
            <w:top w:val="none" w:sz="0" w:space="0" w:color="auto"/>
            <w:left w:val="none" w:sz="0" w:space="0" w:color="auto"/>
            <w:bottom w:val="none" w:sz="0" w:space="0" w:color="auto"/>
            <w:right w:val="none" w:sz="0" w:space="0" w:color="auto"/>
          </w:divBdr>
        </w:div>
        <w:div w:id="1207646278">
          <w:marLeft w:val="640"/>
          <w:marRight w:val="0"/>
          <w:marTop w:val="0"/>
          <w:marBottom w:val="0"/>
          <w:divBdr>
            <w:top w:val="none" w:sz="0" w:space="0" w:color="auto"/>
            <w:left w:val="none" w:sz="0" w:space="0" w:color="auto"/>
            <w:bottom w:val="none" w:sz="0" w:space="0" w:color="auto"/>
            <w:right w:val="none" w:sz="0" w:space="0" w:color="auto"/>
          </w:divBdr>
        </w:div>
        <w:div w:id="1262301585">
          <w:marLeft w:val="640"/>
          <w:marRight w:val="0"/>
          <w:marTop w:val="0"/>
          <w:marBottom w:val="0"/>
          <w:divBdr>
            <w:top w:val="none" w:sz="0" w:space="0" w:color="auto"/>
            <w:left w:val="none" w:sz="0" w:space="0" w:color="auto"/>
            <w:bottom w:val="none" w:sz="0" w:space="0" w:color="auto"/>
            <w:right w:val="none" w:sz="0" w:space="0" w:color="auto"/>
          </w:divBdr>
        </w:div>
        <w:div w:id="1640069173">
          <w:marLeft w:val="640"/>
          <w:marRight w:val="0"/>
          <w:marTop w:val="0"/>
          <w:marBottom w:val="0"/>
          <w:divBdr>
            <w:top w:val="none" w:sz="0" w:space="0" w:color="auto"/>
            <w:left w:val="none" w:sz="0" w:space="0" w:color="auto"/>
            <w:bottom w:val="none" w:sz="0" w:space="0" w:color="auto"/>
            <w:right w:val="none" w:sz="0" w:space="0" w:color="auto"/>
          </w:divBdr>
        </w:div>
        <w:div w:id="2131777861">
          <w:marLeft w:val="640"/>
          <w:marRight w:val="0"/>
          <w:marTop w:val="0"/>
          <w:marBottom w:val="0"/>
          <w:divBdr>
            <w:top w:val="none" w:sz="0" w:space="0" w:color="auto"/>
            <w:left w:val="none" w:sz="0" w:space="0" w:color="auto"/>
            <w:bottom w:val="none" w:sz="0" w:space="0" w:color="auto"/>
            <w:right w:val="none" w:sz="0" w:space="0" w:color="auto"/>
          </w:divBdr>
        </w:div>
      </w:divsChild>
    </w:div>
    <w:div w:id="822351261">
      <w:bodyDiv w:val="1"/>
      <w:marLeft w:val="0"/>
      <w:marRight w:val="0"/>
      <w:marTop w:val="0"/>
      <w:marBottom w:val="0"/>
      <w:divBdr>
        <w:top w:val="none" w:sz="0" w:space="0" w:color="auto"/>
        <w:left w:val="none" w:sz="0" w:space="0" w:color="auto"/>
        <w:bottom w:val="none" w:sz="0" w:space="0" w:color="auto"/>
        <w:right w:val="none" w:sz="0" w:space="0" w:color="auto"/>
      </w:divBdr>
      <w:divsChild>
        <w:div w:id="61099595">
          <w:marLeft w:val="640"/>
          <w:marRight w:val="0"/>
          <w:marTop w:val="0"/>
          <w:marBottom w:val="0"/>
          <w:divBdr>
            <w:top w:val="none" w:sz="0" w:space="0" w:color="auto"/>
            <w:left w:val="none" w:sz="0" w:space="0" w:color="auto"/>
            <w:bottom w:val="none" w:sz="0" w:space="0" w:color="auto"/>
            <w:right w:val="none" w:sz="0" w:space="0" w:color="auto"/>
          </w:divBdr>
        </w:div>
        <w:div w:id="147938605">
          <w:marLeft w:val="640"/>
          <w:marRight w:val="0"/>
          <w:marTop w:val="0"/>
          <w:marBottom w:val="0"/>
          <w:divBdr>
            <w:top w:val="none" w:sz="0" w:space="0" w:color="auto"/>
            <w:left w:val="none" w:sz="0" w:space="0" w:color="auto"/>
            <w:bottom w:val="none" w:sz="0" w:space="0" w:color="auto"/>
            <w:right w:val="none" w:sz="0" w:space="0" w:color="auto"/>
          </w:divBdr>
        </w:div>
        <w:div w:id="555508403">
          <w:marLeft w:val="640"/>
          <w:marRight w:val="0"/>
          <w:marTop w:val="0"/>
          <w:marBottom w:val="0"/>
          <w:divBdr>
            <w:top w:val="none" w:sz="0" w:space="0" w:color="auto"/>
            <w:left w:val="none" w:sz="0" w:space="0" w:color="auto"/>
            <w:bottom w:val="none" w:sz="0" w:space="0" w:color="auto"/>
            <w:right w:val="none" w:sz="0" w:space="0" w:color="auto"/>
          </w:divBdr>
        </w:div>
        <w:div w:id="595332190">
          <w:marLeft w:val="640"/>
          <w:marRight w:val="0"/>
          <w:marTop w:val="0"/>
          <w:marBottom w:val="0"/>
          <w:divBdr>
            <w:top w:val="none" w:sz="0" w:space="0" w:color="auto"/>
            <w:left w:val="none" w:sz="0" w:space="0" w:color="auto"/>
            <w:bottom w:val="none" w:sz="0" w:space="0" w:color="auto"/>
            <w:right w:val="none" w:sz="0" w:space="0" w:color="auto"/>
          </w:divBdr>
        </w:div>
        <w:div w:id="595360651">
          <w:marLeft w:val="640"/>
          <w:marRight w:val="0"/>
          <w:marTop w:val="0"/>
          <w:marBottom w:val="0"/>
          <w:divBdr>
            <w:top w:val="none" w:sz="0" w:space="0" w:color="auto"/>
            <w:left w:val="none" w:sz="0" w:space="0" w:color="auto"/>
            <w:bottom w:val="none" w:sz="0" w:space="0" w:color="auto"/>
            <w:right w:val="none" w:sz="0" w:space="0" w:color="auto"/>
          </w:divBdr>
        </w:div>
        <w:div w:id="616178311">
          <w:marLeft w:val="640"/>
          <w:marRight w:val="0"/>
          <w:marTop w:val="0"/>
          <w:marBottom w:val="0"/>
          <w:divBdr>
            <w:top w:val="none" w:sz="0" w:space="0" w:color="auto"/>
            <w:left w:val="none" w:sz="0" w:space="0" w:color="auto"/>
            <w:bottom w:val="none" w:sz="0" w:space="0" w:color="auto"/>
            <w:right w:val="none" w:sz="0" w:space="0" w:color="auto"/>
          </w:divBdr>
        </w:div>
        <w:div w:id="625428838">
          <w:marLeft w:val="640"/>
          <w:marRight w:val="0"/>
          <w:marTop w:val="0"/>
          <w:marBottom w:val="0"/>
          <w:divBdr>
            <w:top w:val="none" w:sz="0" w:space="0" w:color="auto"/>
            <w:left w:val="none" w:sz="0" w:space="0" w:color="auto"/>
            <w:bottom w:val="none" w:sz="0" w:space="0" w:color="auto"/>
            <w:right w:val="none" w:sz="0" w:space="0" w:color="auto"/>
          </w:divBdr>
        </w:div>
        <w:div w:id="827399548">
          <w:marLeft w:val="640"/>
          <w:marRight w:val="0"/>
          <w:marTop w:val="0"/>
          <w:marBottom w:val="0"/>
          <w:divBdr>
            <w:top w:val="none" w:sz="0" w:space="0" w:color="auto"/>
            <w:left w:val="none" w:sz="0" w:space="0" w:color="auto"/>
            <w:bottom w:val="none" w:sz="0" w:space="0" w:color="auto"/>
            <w:right w:val="none" w:sz="0" w:space="0" w:color="auto"/>
          </w:divBdr>
        </w:div>
        <w:div w:id="1265697244">
          <w:marLeft w:val="640"/>
          <w:marRight w:val="0"/>
          <w:marTop w:val="0"/>
          <w:marBottom w:val="0"/>
          <w:divBdr>
            <w:top w:val="none" w:sz="0" w:space="0" w:color="auto"/>
            <w:left w:val="none" w:sz="0" w:space="0" w:color="auto"/>
            <w:bottom w:val="none" w:sz="0" w:space="0" w:color="auto"/>
            <w:right w:val="none" w:sz="0" w:space="0" w:color="auto"/>
          </w:divBdr>
        </w:div>
        <w:div w:id="1418790201">
          <w:marLeft w:val="640"/>
          <w:marRight w:val="0"/>
          <w:marTop w:val="0"/>
          <w:marBottom w:val="0"/>
          <w:divBdr>
            <w:top w:val="none" w:sz="0" w:space="0" w:color="auto"/>
            <w:left w:val="none" w:sz="0" w:space="0" w:color="auto"/>
            <w:bottom w:val="none" w:sz="0" w:space="0" w:color="auto"/>
            <w:right w:val="none" w:sz="0" w:space="0" w:color="auto"/>
          </w:divBdr>
        </w:div>
        <w:div w:id="1627156273">
          <w:marLeft w:val="640"/>
          <w:marRight w:val="0"/>
          <w:marTop w:val="0"/>
          <w:marBottom w:val="0"/>
          <w:divBdr>
            <w:top w:val="none" w:sz="0" w:space="0" w:color="auto"/>
            <w:left w:val="none" w:sz="0" w:space="0" w:color="auto"/>
            <w:bottom w:val="none" w:sz="0" w:space="0" w:color="auto"/>
            <w:right w:val="none" w:sz="0" w:space="0" w:color="auto"/>
          </w:divBdr>
        </w:div>
        <w:div w:id="1904875656">
          <w:marLeft w:val="640"/>
          <w:marRight w:val="0"/>
          <w:marTop w:val="0"/>
          <w:marBottom w:val="0"/>
          <w:divBdr>
            <w:top w:val="none" w:sz="0" w:space="0" w:color="auto"/>
            <w:left w:val="none" w:sz="0" w:space="0" w:color="auto"/>
            <w:bottom w:val="none" w:sz="0" w:space="0" w:color="auto"/>
            <w:right w:val="none" w:sz="0" w:space="0" w:color="auto"/>
          </w:divBdr>
        </w:div>
        <w:div w:id="2011134001">
          <w:marLeft w:val="640"/>
          <w:marRight w:val="0"/>
          <w:marTop w:val="0"/>
          <w:marBottom w:val="0"/>
          <w:divBdr>
            <w:top w:val="none" w:sz="0" w:space="0" w:color="auto"/>
            <w:left w:val="none" w:sz="0" w:space="0" w:color="auto"/>
            <w:bottom w:val="none" w:sz="0" w:space="0" w:color="auto"/>
            <w:right w:val="none" w:sz="0" w:space="0" w:color="auto"/>
          </w:divBdr>
        </w:div>
      </w:divsChild>
    </w:div>
    <w:div w:id="1413164610">
      <w:bodyDiv w:val="1"/>
      <w:marLeft w:val="0"/>
      <w:marRight w:val="0"/>
      <w:marTop w:val="0"/>
      <w:marBottom w:val="0"/>
      <w:divBdr>
        <w:top w:val="none" w:sz="0" w:space="0" w:color="auto"/>
        <w:left w:val="none" w:sz="0" w:space="0" w:color="auto"/>
        <w:bottom w:val="none" w:sz="0" w:space="0" w:color="auto"/>
        <w:right w:val="none" w:sz="0" w:space="0" w:color="auto"/>
      </w:divBdr>
    </w:div>
    <w:div w:id="1460757633">
      <w:bodyDiv w:val="1"/>
      <w:marLeft w:val="0"/>
      <w:marRight w:val="0"/>
      <w:marTop w:val="0"/>
      <w:marBottom w:val="0"/>
      <w:divBdr>
        <w:top w:val="none" w:sz="0" w:space="0" w:color="auto"/>
        <w:left w:val="none" w:sz="0" w:space="0" w:color="auto"/>
        <w:bottom w:val="none" w:sz="0" w:space="0" w:color="auto"/>
        <w:right w:val="none" w:sz="0" w:space="0" w:color="auto"/>
      </w:divBdr>
      <w:divsChild>
        <w:div w:id="14237289">
          <w:marLeft w:val="640"/>
          <w:marRight w:val="0"/>
          <w:marTop w:val="0"/>
          <w:marBottom w:val="0"/>
          <w:divBdr>
            <w:top w:val="none" w:sz="0" w:space="0" w:color="auto"/>
            <w:left w:val="none" w:sz="0" w:space="0" w:color="auto"/>
            <w:bottom w:val="none" w:sz="0" w:space="0" w:color="auto"/>
            <w:right w:val="none" w:sz="0" w:space="0" w:color="auto"/>
          </w:divBdr>
        </w:div>
        <w:div w:id="40130098">
          <w:marLeft w:val="640"/>
          <w:marRight w:val="0"/>
          <w:marTop w:val="0"/>
          <w:marBottom w:val="0"/>
          <w:divBdr>
            <w:top w:val="none" w:sz="0" w:space="0" w:color="auto"/>
            <w:left w:val="none" w:sz="0" w:space="0" w:color="auto"/>
            <w:bottom w:val="none" w:sz="0" w:space="0" w:color="auto"/>
            <w:right w:val="none" w:sz="0" w:space="0" w:color="auto"/>
          </w:divBdr>
        </w:div>
        <w:div w:id="134181499">
          <w:marLeft w:val="640"/>
          <w:marRight w:val="0"/>
          <w:marTop w:val="0"/>
          <w:marBottom w:val="0"/>
          <w:divBdr>
            <w:top w:val="none" w:sz="0" w:space="0" w:color="auto"/>
            <w:left w:val="none" w:sz="0" w:space="0" w:color="auto"/>
            <w:bottom w:val="none" w:sz="0" w:space="0" w:color="auto"/>
            <w:right w:val="none" w:sz="0" w:space="0" w:color="auto"/>
          </w:divBdr>
        </w:div>
        <w:div w:id="205530781">
          <w:marLeft w:val="640"/>
          <w:marRight w:val="0"/>
          <w:marTop w:val="0"/>
          <w:marBottom w:val="0"/>
          <w:divBdr>
            <w:top w:val="none" w:sz="0" w:space="0" w:color="auto"/>
            <w:left w:val="none" w:sz="0" w:space="0" w:color="auto"/>
            <w:bottom w:val="none" w:sz="0" w:space="0" w:color="auto"/>
            <w:right w:val="none" w:sz="0" w:space="0" w:color="auto"/>
          </w:divBdr>
        </w:div>
        <w:div w:id="884803465">
          <w:marLeft w:val="640"/>
          <w:marRight w:val="0"/>
          <w:marTop w:val="0"/>
          <w:marBottom w:val="0"/>
          <w:divBdr>
            <w:top w:val="none" w:sz="0" w:space="0" w:color="auto"/>
            <w:left w:val="none" w:sz="0" w:space="0" w:color="auto"/>
            <w:bottom w:val="none" w:sz="0" w:space="0" w:color="auto"/>
            <w:right w:val="none" w:sz="0" w:space="0" w:color="auto"/>
          </w:divBdr>
        </w:div>
        <w:div w:id="1046026552">
          <w:marLeft w:val="640"/>
          <w:marRight w:val="0"/>
          <w:marTop w:val="0"/>
          <w:marBottom w:val="0"/>
          <w:divBdr>
            <w:top w:val="none" w:sz="0" w:space="0" w:color="auto"/>
            <w:left w:val="none" w:sz="0" w:space="0" w:color="auto"/>
            <w:bottom w:val="none" w:sz="0" w:space="0" w:color="auto"/>
            <w:right w:val="none" w:sz="0" w:space="0" w:color="auto"/>
          </w:divBdr>
        </w:div>
        <w:div w:id="1211108121">
          <w:marLeft w:val="640"/>
          <w:marRight w:val="0"/>
          <w:marTop w:val="0"/>
          <w:marBottom w:val="0"/>
          <w:divBdr>
            <w:top w:val="none" w:sz="0" w:space="0" w:color="auto"/>
            <w:left w:val="none" w:sz="0" w:space="0" w:color="auto"/>
            <w:bottom w:val="none" w:sz="0" w:space="0" w:color="auto"/>
            <w:right w:val="none" w:sz="0" w:space="0" w:color="auto"/>
          </w:divBdr>
        </w:div>
        <w:div w:id="1213350423">
          <w:marLeft w:val="640"/>
          <w:marRight w:val="0"/>
          <w:marTop w:val="0"/>
          <w:marBottom w:val="0"/>
          <w:divBdr>
            <w:top w:val="none" w:sz="0" w:space="0" w:color="auto"/>
            <w:left w:val="none" w:sz="0" w:space="0" w:color="auto"/>
            <w:bottom w:val="none" w:sz="0" w:space="0" w:color="auto"/>
            <w:right w:val="none" w:sz="0" w:space="0" w:color="auto"/>
          </w:divBdr>
        </w:div>
        <w:div w:id="1574469376">
          <w:marLeft w:val="640"/>
          <w:marRight w:val="0"/>
          <w:marTop w:val="0"/>
          <w:marBottom w:val="0"/>
          <w:divBdr>
            <w:top w:val="none" w:sz="0" w:space="0" w:color="auto"/>
            <w:left w:val="none" w:sz="0" w:space="0" w:color="auto"/>
            <w:bottom w:val="none" w:sz="0" w:space="0" w:color="auto"/>
            <w:right w:val="none" w:sz="0" w:space="0" w:color="auto"/>
          </w:divBdr>
        </w:div>
        <w:div w:id="1618289748">
          <w:marLeft w:val="640"/>
          <w:marRight w:val="0"/>
          <w:marTop w:val="0"/>
          <w:marBottom w:val="0"/>
          <w:divBdr>
            <w:top w:val="none" w:sz="0" w:space="0" w:color="auto"/>
            <w:left w:val="none" w:sz="0" w:space="0" w:color="auto"/>
            <w:bottom w:val="none" w:sz="0" w:space="0" w:color="auto"/>
            <w:right w:val="none" w:sz="0" w:space="0" w:color="auto"/>
          </w:divBdr>
        </w:div>
        <w:div w:id="1640724643">
          <w:marLeft w:val="640"/>
          <w:marRight w:val="0"/>
          <w:marTop w:val="0"/>
          <w:marBottom w:val="0"/>
          <w:divBdr>
            <w:top w:val="none" w:sz="0" w:space="0" w:color="auto"/>
            <w:left w:val="none" w:sz="0" w:space="0" w:color="auto"/>
            <w:bottom w:val="none" w:sz="0" w:space="0" w:color="auto"/>
            <w:right w:val="none" w:sz="0" w:space="0" w:color="auto"/>
          </w:divBdr>
        </w:div>
        <w:div w:id="1841118778">
          <w:marLeft w:val="640"/>
          <w:marRight w:val="0"/>
          <w:marTop w:val="0"/>
          <w:marBottom w:val="0"/>
          <w:divBdr>
            <w:top w:val="none" w:sz="0" w:space="0" w:color="auto"/>
            <w:left w:val="none" w:sz="0" w:space="0" w:color="auto"/>
            <w:bottom w:val="none" w:sz="0" w:space="0" w:color="auto"/>
            <w:right w:val="none" w:sz="0" w:space="0" w:color="auto"/>
          </w:divBdr>
        </w:div>
        <w:div w:id="2051417146">
          <w:marLeft w:val="640"/>
          <w:marRight w:val="0"/>
          <w:marTop w:val="0"/>
          <w:marBottom w:val="0"/>
          <w:divBdr>
            <w:top w:val="none" w:sz="0" w:space="0" w:color="auto"/>
            <w:left w:val="none" w:sz="0" w:space="0" w:color="auto"/>
            <w:bottom w:val="none" w:sz="0" w:space="0" w:color="auto"/>
            <w:right w:val="none" w:sz="0" w:space="0" w:color="auto"/>
          </w:divBdr>
        </w:div>
      </w:divsChild>
    </w:div>
    <w:div w:id="1663384558">
      <w:bodyDiv w:val="1"/>
      <w:marLeft w:val="0"/>
      <w:marRight w:val="0"/>
      <w:marTop w:val="0"/>
      <w:marBottom w:val="0"/>
      <w:divBdr>
        <w:top w:val="none" w:sz="0" w:space="0" w:color="auto"/>
        <w:left w:val="none" w:sz="0" w:space="0" w:color="auto"/>
        <w:bottom w:val="none" w:sz="0" w:space="0" w:color="auto"/>
        <w:right w:val="none" w:sz="0" w:space="0" w:color="auto"/>
      </w:divBdr>
      <w:divsChild>
        <w:div w:id="224415405">
          <w:marLeft w:val="640"/>
          <w:marRight w:val="0"/>
          <w:marTop w:val="0"/>
          <w:marBottom w:val="0"/>
          <w:divBdr>
            <w:top w:val="none" w:sz="0" w:space="0" w:color="auto"/>
            <w:left w:val="none" w:sz="0" w:space="0" w:color="auto"/>
            <w:bottom w:val="none" w:sz="0" w:space="0" w:color="auto"/>
            <w:right w:val="none" w:sz="0" w:space="0" w:color="auto"/>
          </w:divBdr>
        </w:div>
        <w:div w:id="493187483">
          <w:marLeft w:val="640"/>
          <w:marRight w:val="0"/>
          <w:marTop w:val="0"/>
          <w:marBottom w:val="0"/>
          <w:divBdr>
            <w:top w:val="none" w:sz="0" w:space="0" w:color="auto"/>
            <w:left w:val="none" w:sz="0" w:space="0" w:color="auto"/>
            <w:bottom w:val="none" w:sz="0" w:space="0" w:color="auto"/>
            <w:right w:val="none" w:sz="0" w:space="0" w:color="auto"/>
          </w:divBdr>
        </w:div>
        <w:div w:id="548998529">
          <w:marLeft w:val="640"/>
          <w:marRight w:val="0"/>
          <w:marTop w:val="0"/>
          <w:marBottom w:val="0"/>
          <w:divBdr>
            <w:top w:val="none" w:sz="0" w:space="0" w:color="auto"/>
            <w:left w:val="none" w:sz="0" w:space="0" w:color="auto"/>
            <w:bottom w:val="none" w:sz="0" w:space="0" w:color="auto"/>
            <w:right w:val="none" w:sz="0" w:space="0" w:color="auto"/>
          </w:divBdr>
        </w:div>
        <w:div w:id="605582696">
          <w:marLeft w:val="640"/>
          <w:marRight w:val="0"/>
          <w:marTop w:val="0"/>
          <w:marBottom w:val="0"/>
          <w:divBdr>
            <w:top w:val="none" w:sz="0" w:space="0" w:color="auto"/>
            <w:left w:val="none" w:sz="0" w:space="0" w:color="auto"/>
            <w:bottom w:val="none" w:sz="0" w:space="0" w:color="auto"/>
            <w:right w:val="none" w:sz="0" w:space="0" w:color="auto"/>
          </w:divBdr>
        </w:div>
        <w:div w:id="657418478">
          <w:marLeft w:val="640"/>
          <w:marRight w:val="0"/>
          <w:marTop w:val="0"/>
          <w:marBottom w:val="0"/>
          <w:divBdr>
            <w:top w:val="none" w:sz="0" w:space="0" w:color="auto"/>
            <w:left w:val="none" w:sz="0" w:space="0" w:color="auto"/>
            <w:bottom w:val="none" w:sz="0" w:space="0" w:color="auto"/>
            <w:right w:val="none" w:sz="0" w:space="0" w:color="auto"/>
          </w:divBdr>
        </w:div>
        <w:div w:id="811368012">
          <w:marLeft w:val="640"/>
          <w:marRight w:val="0"/>
          <w:marTop w:val="0"/>
          <w:marBottom w:val="0"/>
          <w:divBdr>
            <w:top w:val="none" w:sz="0" w:space="0" w:color="auto"/>
            <w:left w:val="none" w:sz="0" w:space="0" w:color="auto"/>
            <w:bottom w:val="none" w:sz="0" w:space="0" w:color="auto"/>
            <w:right w:val="none" w:sz="0" w:space="0" w:color="auto"/>
          </w:divBdr>
        </w:div>
        <w:div w:id="890771847">
          <w:marLeft w:val="640"/>
          <w:marRight w:val="0"/>
          <w:marTop w:val="0"/>
          <w:marBottom w:val="0"/>
          <w:divBdr>
            <w:top w:val="none" w:sz="0" w:space="0" w:color="auto"/>
            <w:left w:val="none" w:sz="0" w:space="0" w:color="auto"/>
            <w:bottom w:val="none" w:sz="0" w:space="0" w:color="auto"/>
            <w:right w:val="none" w:sz="0" w:space="0" w:color="auto"/>
          </w:divBdr>
        </w:div>
        <w:div w:id="917713182">
          <w:marLeft w:val="640"/>
          <w:marRight w:val="0"/>
          <w:marTop w:val="0"/>
          <w:marBottom w:val="0"/>
          <w:divBdr>
            <w:top w:val="none" w:sz="0" w:space="0" w:color="auto"/>
            <w:left w:val="none" w:sz="0" w:space="0" w:color="auto"/>
            <w:bottom w:val="none" w:sz="0" w:space="0" w:color="auto"/>
            <w:right w:val="none" w:sz="0" w:space="0" w:color="auto"/>
          </w:divBdr>
        </w:div>
        <w:div w:id="1453867030">
          <w:marLeft w:val="640"/>
          <w:marRight w:val="0"/>
          <w:marTop w:val="0"/>
          <w:marBottom w:val="0"/>
          <w:divBdr>
            <w:top w:val="none" w:sz="0" w:space="0" w:color="auto"/>
            <w:left w:val="none" w:sz="0" w:space="0" w:color="auto"/>
            <w:bottom w:val="none" w:sz="0" w:space="0" w:color="auto"/>
            <w:right w:val="none" w:sz="0" w:space="0" w:color="auto"/>
          </w:divBdr>
        </w:div>
        <w:div w:id="1459835295">
          <w:marLeft w:val="640"/>
          <w:marRight w:val="0"/>
          <w:marTop w:val="0"/>
          <w:marBottom w:val="0"/>
          <w:divBdr>
            <w:top w:val="none" w:sz="0" w:space="0" w:color="auto"/>
            <w:left w:val="none" w:sz="0" w:space="0" w:color="auto"/>
            <w:bottom w:val="none" w:sz="0" w:space="0" w:color="auto"/>
            <w:right w:val="none" w:sz="0" w:space="0" w:color="auto"/>
          </w:divBdr>
        </w:div>
        <w:div w:id="1497191544">
          <w:marLeft w:val="640"/>
          <w:marRight w:val="0"/>
          <w:marTop w:val="0"/>
          <w:marBottom w:val="0"/>
          <w:divBdr>
            <w:top w:val="none" w:sz="0" w:space="0" w:color="auto"/>
            <w:left w:val="none" w:sz="0" w:space="0" w:color="auto"/>
            <w:bottom w:val="none" w:sz="0" w:space="0" w:color="auto"/>
            <w:right w:val="none" w:sz="0" w:space="0" w:color="auto"/>
          </w:divBdr>
        </w:div>
        <w:div w:id="1634865865">
          <w:marLeft w:val="640"/>
          <w:marRight w:val="0"/>
          <w:marTop w:val="0"/>
          <w:marBottom w:val="0"/>
          <w:divBdr>
            <w:top w:val="none" w:sz="0" w:space="0" w:color="auto"/>
            <w:left w:val="none" w:sz="0" w:space="0" w:color="auto"/>
            <w:bottom w:val="none" w:sz="0" w:space="0" w:color="auto"/>
            <w:right w:val="none" w:sz="0" w:space="0" w:color="auto"/>
          </w:divBdr>
        </w:div>
        <w:div w:id="1902909700">
          <w:marLeft w:val="640"/>
          <w:marRight w:val="0"/>
          <w:marTop w:val="0"/>
          <w:marBottom w:val="0"/>
          <w:divBdr>
            <w:top w:val="none" w:sz="0" w:space="0" w:color="auto"/>
            <w:left w:val="none" w:sz="0" w:space="0" w:color="auto"/>
            <w:bottom w:val="none" w:sz="0" w:space="0" w:color="auto"/>
            <w:right w:val="none" w:sz="0" w:space="0" w:color="auto"/>
          </w:divBdr>
        </w:div>
      </w:divsChild>
    </w:div>
    <w:div w:id="1910185895">
      <w:bodyDiv w:val="1"/>
      <w:marLeft w:val="0"/>
      <w:marRight w:val="0"/>
      <w:marTop w:val="0"/>
      <w:marBottom w:val="0"/>
      <w:divBdr>
        <w:top w:val="none" w:sz="0" w:space="0" w:color="auto"/>
        <w:left w:val="none" w:sz="0" w:space="0" w:color="auto"/>
        <w:bottom w:val="none" w:sz="0" w:space="0" w:color="auto"/>
        <w:right w:val="none" w:sz="0" w:space="0" w:color="auto"/>
      </w:divBdr>
    </w:div>
    <w:div w:id="1987659166">
      <w:bodyDiv w:val="1"/>
      <w:marLeft w:val="0"/>
      <w:marRight w:val="0"/>
      <w:marTop w:val="0"/>
      <w:marBottom w:val="0"/>
      <w:divBdr>
        <w:top w:val="none" w:sz="0" w:space="0" w:color="auto"/>
        <w:left w:val="none" w:sz="0" w:space="0" w:color="auto"/>
        <w:bottom w:val="none" w:sz="0" w:space="0" w:color="auto"/>
        <w:right w:val="none" w:sz="0" w:space="0" w:color="auto"/>
      </w:divBdr>
      <w:divsChild>
        <w:div w:id="43061766">
          <w:marLeft w:val="640"/>
          <w:marRight w:val="0"/>
          <w:marTop w:val="0"/>
          <w:marBottom w:val="0"/>
          <w:divBdr>
            <w:top w:val="none" w:sz="0" w:space="0" w:color="auto"/>
            <w:left w:val="none" w:sz="0" w:space="0" w:color="auto"/>
            <w:bottom w:val="none" w:sz="0" w:space="0" w:color="auto"/>
            <w:right w:val="none" w:sz="0" w:space="0" w:color="auto"/>
          </w:divBdr>
        </w:div>
        <w:div w:id="166017696">
          <w:marLeft w:val="640"/>
          <w:marRight w:val="0"/>
          <w:marTop w:val="0"/>
          <w:marBottom w:val="0"/>
          <w:divBdr>
            <w:top w:val="none" w:sz="0" w:space="0" w:color="auto"/>
            <w:left w:val="none" w:sz="0" w:space="0" w:color="auto"/>
            <w:bottom w:val="none" w:sz="0" w:space="0" w:color="auto"/>
            <w:right w:val="none" w:sz="0" w:space="0" w:color="auto"/>
          </w:divBdr>
        </w:div>
        <w:div w:id="321390945">
          <w:marLeft w:val="640"/>
          <w:marRight w:val="0"/>
          <w:marTop w:val="0"/>
          <w:marBottom w:val="0"/>
          <w:divBdr>
            <w:top w:val="none" w:sz="0" w:space="0" w:color="auto"/>
            <w:left w:val="none" w:sz="0" w:space="0" w:color="auto"/>
            <w:bottom w:val="none" w:sz="0" w:space="0" w:color="auto"/>
            <w:right w:val="none" w:sz="0" w:space="0" w:color="auto"/>
          </w:divBdr>
        </w:div>
        <w:div w:id="328795760">
          <w:marLeft w:val="640"/>
          <w:marRight w:val="0"/>
          <w:marTop w:val="0"/>
          <w:marBottom w:val="0"/>
          <w:divBdr>
            <w:top w:val="none" w:sz="0" w:space="0" w:color="auto"/>
            <w:left w:val="none" w:sz="0" w:space="0" w:color="auto"/>
            <w:bottom w:val="none" w:sz="0" w:space="0" w:color="auto"/>
            <w:right w:val="none" w:sz="0" w:space="0" w:color="auto"/>
          </w:divBdr>
        </w:div>
        <w:div w:id="811602852">
          <w:marLeft w:val="640"/>
          <w:marRight w:val="0"/>
          <w:marTop w:val="0"/>
          <w:marBottom w:val="0"/>
          <w:divBdr>
            <w:top w:val="none" w:sz="0" w:space="0" w:color="auto"/>
            <w:left w:val="none" w:sz="0" w:space="0" w:color="auto"/>
            <w:bottom w:val="none" w:sz="0" w:space="0" w:color="auto"/>
            <w:right w:val="none" w:sz="0" w:space="0" w:color="auto"/>
          </w:divBdr>
        </w:div>
        <w:div w:id="913735031">
          <w:marLeft w:val="640"/>
          <w:marRight w:val="0"/>
          <w:marTop w:val="0"/>
          <w:marBottom w:val="0"/>
          <w:divBdr>
            <w:top w:val="none" w:sz="0" w:space="0" w:color="auto"/>
            <w:left w:val="none" w:sz="0" w:space="0" w:color="auto"/>
            <w:bottom w:val="none" w:sz="0" w:space="0" w:color="auto"/>
            <w:right w:val="none" w:sz="0" w:space="0" w:color="auto"/>
          </w:divBdr>
        </w:div>
        <w:div w:id="1582834293">
          <w:marLeft w:val="640"/>
          <w:marRight w:val="0"/>
          <w:marTop w:val="0"/>
          <w:marBottom w:val="0"/>
          <w:divBdr>
            <w:top w:val="none" w:sz="0" w:space="0" w:color="auto"/>
            <w:left w:val="none" w:sz="0" w:space="0" w:color="auto"/>
            <w:bottom w:val="none" w:sz="0" w:space="0" w:color="auto"/>
            <w:right w:val="none" w:sz="0" w:space="0" w:color="auto"/>
          </w:divBdr>
        </w:div>
        <w:div w:id="1837110998">
          <w:marLeft w:val="640"/>
          <w:marRight w:val="0"/>
          <w:marTop w:val="0"/>
          <w:marBottom w:val="0"/>
          <w:divBdr>
            <w:top w:val="none" w:sz="0" w:space="0" w:color="auto"/>
            <w:left w:val="none" w:sz="0" w:space="0" w:color="auto"/>
            <w:bottom w:val="none" w:sz="0" w:space="0" w:color="auto"/>
            <w:right w:val="none" w:sz="0" w:space="0" w:color="auto"/>
          </w:divBdr>
        </w:div>
        <w:div w:id="2027558883">
          <w:marLeft w:val="640"/>
          <w:marRight w:val="0"/>
          <w:marTop w:val="0"/>
          <w:marBottom w:val="0"/>
          <w:divBdr>
            <w:top w:val="none" w:sz="0" w:space="0" w:color="auto"/>
            <w:left w:val="none" w:sz="0" w:space="0" w:color="auto"/>
            <w:bottom w:val="none" w:sz="0" w:space="0" w:color="auto"/>
            <w:right w:val="none" w:sz="0" w:space="0" w:color="auto"/>
          </w:divBdr>
        </w:div>
        <w:div w:id="2030372457">
          <w:marLeft w:val="640"/>
          <w:marRight w:val="0"/>
          <w:marTop w:val="0"/>
          <w:marBottom w:val="0"/>
          <w:divBdr>
            <w:top w:val="none" w:sz="0" w:space="0" w:color="auto"/>
            <w:left w:val="none" w:sz="0" w:space="0" w:color="auto"/>
            <w:bottom w:val="none" w:sz="0" w:space="0" w:color="auto"/>
            <w:right w:val="none" w:sz="0" w:space="0" w:color="auto"/>
          </w:divBdr>
        </w:div>
        <w:div w:id="2122063400">
          <w:marLeft w:val="640"/>
          <w:marRight w:val="0"/>
          <w:marTop w:val="0"/>
          <w:marBottom w:val="0"/>
          <w:divBdr>
            <w:top w:val="none" w:sz="0" w:space="0" w:color="auto"/>
            <w:left w:val="none" w:sz="0" w:space="0" w:color="auto"/>
            <w:bottom w:val="none" w:sz="0" w:space="0" w:color="auto"/>
            <w:right w:val="none" w:sz="0" w:space="0" w:color="auto"/>
          </w:divBdr>
        </w:div>
        <w:div w:id="2130968703">
          <w:marLeft w:val="640"/>
          <w:marRight w:val="0"/>
          <w:marTop w:val="0"/>
          <w:marBottom w:val="0"/>
          <w:divBdr>
            <w:top w:val="none" w:sz="0" w:space="0" w:color="auto"/>
            <w:left w:val="none" w:sz="0" w:space="0" w:color="auto"/>
            <w:bottom w:val="none" w:sz="0" w:space="0" w:color="auto"/>
            <w:right w:val="none" w:sz="0" w:space="0" w:color="auto"/>
          </w:divBdr>
        </w:div>
        <w:div w:id="2131314483">
          <w:marLeft w:val="640"/>
          <w:marRight w:val="0"/>
          <w:marTop w:val="0"/>
          <w:marBottom w:val="0"/>
          <w:divBdr>
            <w:top w:val="none" w:sz="0" w:space="0" w:color="auto"/>
            <w:left w:val="none" w:sz="0" w:space="0" w:color="auto"/>
            <w:bottom w:val="none" w:sz="0" w:space="0" w:color="auto"/>
            <w:right w:val="none" w:sz="0" w:space="0" w:color="auto"/>
          </w:divBdr>
        </w:div>
      </w:divsChild>
    </w:div>
    <w:div w:id="2039574666">
      <w:bodyDiv w:val="1"/>
      <w:marLeft w:val="0"/>
      <w:marRight w:val="0"/>
      <w:marTop w:val="0"/>
      <w:marBottom w:val="0"/>
      <w:divBdr>
        <w:top w:val="none" w:sz="0" w:space="0" w:color="auto"/>
        <w:left w:val="none" w:sz="0" w:space="0" w:color="auto"/>
        <w:bottom w:val="none" w:sz="0" w:space="0" w:color="auto"/>
        <w:right w:val="none" w:sz="0" w:space="0" w:color="auto"/>
      </w:divBdr>
    </w:div>
    <w:div w:id="2053770988">
      <w:bodyDiv w:val="1"/>
      <w:marLeft w:val="0"/>
      <w:marRight w:val="0"/>
      <w:marTop w:val="0"/>
      <w:marBottom w:val="0"/>
      <w:divBdr>
        <w:top w:val="none" w:sz="0" w:space="0" w:color="auto"/>
        <w:left w:val="none" w:sz="0" w:space="0" w:color="auto"/>
        <w:bottom w:val="none" w:sz="0" w:space="0" w:color="auto"/>
        <w:right w:val="none" w:sz="0" w:space="0" w:color="auto"/>
      </w:divBdr>
      <w:divsChild>
        <w:div w:id="137960697">
          <w:marLeft w:val="640"/>
          <w:marRight w:val="0"/>
          <w:marTop w:val="0"/>
          <w:marBottom w:val="0"/>
          <w:divBdr>
            <w:top w:val="none" w:sz="0" w:space="0" w:color="auto"/>
            <w:left w:val="none" w:sz="0" w:space="0" w:color="auto"/>
            <w:bottom w:val="none" w:sz="0" w:space="0" w:color="auto"/>
            <w:right w:val="none" w:sz="0" w:space="0" w:color="auto"/>
          </w:divBdr>
        </w:div>
        <w:div w:id="249853348">
          <w:marLeft w:val="640"/>
          <w:marRight w:val="0"/>
          <w:marTop w:val="0"/>
          <w:marBottom w:val="0"/>
          <w:divBdr>
            <w:top w:val="none" w:sz="0" w:space="0" w:color="auto"/>
            <w:left w:val="none" w:sz="0" w:space="0" w:color="auto"/>
            <w:bottom w:val="none" w:sz="0" w:space="0" w:color="auto"/>
            <w:right w:val="none" w:sz="0" w:space="0" w:color="auto"/>
          </w:divBdr>
        </w:div>
        <w:div w:id="328870551">
          <w:marLeft w:val="640"/>
          <w:marRight w:val="0"/>
          <w:marTop w:val="0"/>
          <w:marBottom w:val="0"/>
          <w:divBdr>
            <w:top w:val="none" w:sz="0" w:space="0" w:color="auto"/>
            <w:left w:val="none" w:sz="0" w:space="0" w:color="auto"/>
            <w:bottom w:val="none" w:sz="0" w:space="0" w:color="auto"/>
            <w:right w:val="none" w:sz="0" w:space="0" w:color="auto"/>
          </w:divBdr>
        </w:div>
        <w:div w:id="457574983">
          <w:marLeft w:val="640"/>
          <w:marRight w:val="0"/>
          <w:marTop w:val="0"/>
          <w:marBottom w:val="0"/>
          <w:divBdr>
            <w:top w:val="none" w:sz="0" w:space="0" w:color="auto"/>
            <w:left w:val="none" w:sz="0" w:space="0" w:color="auto"/>
            <w:bottom w:val="none" w:sz="0" w:space="0" w:color="auto"/>
            <w:right w:val="none" w:sz="0" w:space="0" w:color="auto"/>
          </w:divBdr>
        </w:div>
        <w:div w:id="578714316">
          <w:marLeft w:val="640"/>
          <w:marRight w:val="0"/>
          <w:marTop w:val="0"/>
          <w:marBottom w:val="0"/>
          <w:divBdr>
            <w:top w:val="none" w:sz="0" w:space="0" w:color="auto"/>
            <w:left w:val="none" w:sz="0" w:space="0" w:color="auto"/>
            <w:bottom w:val="none" w:sz="0" w:space="0" w:color="auto"/>
            <w:right w:val="none" w:sz="0" w:space="0" w:color="auto"/>
          </w:divBdr>
        </w:div>
        <w:div w:id="638650595">
          <w:marLeft w:val="640"/>
          <w:marRight w:val="0"/>
          <w:marTop w:val="0"/>
          <w:marBottom w:val="0"/>
          <w:divBdr>
            <w:top w:val="none" w:sz="0" w:space="0" w:color="auto"/>
            <w:left w:val="none" w:sz="0" w:space="0" w:color="auto"/>
            <w:bottom w:val="none" w:sz="0" w:space="0" w:color="auto"/>
            <w:right w:val="none" w:sz="0" w:space="0" w:color="auto"/>
          </w:divBdr>
        </w:div>
        <w:div w:id="1043095157">
          <w:marLeft w:val="640"/>
          <w:marRight w:val="0"/>
          <w:marTop w:val="0"/>
          <w:marBottom w:val="0"/>
          <w:divBdr>
            <w:top w:val="none" w:sz="0" w:space="0" w:color="auto"/>
            <w:left w:val="none" w:sz="0" w:space="0" w:color="auto"/>
            <w:bottom w:val="none" w:sz="0" w:space="0" w:color="auto"/>
            <w:right w:val="none" w:sz="0" w:space="0" w:color="auto"/>
          </w:divBdr>
        </w:div>
        <w:div w:id="1063600369">
          <w:marLeft w:val="640"/>
          <w:marRight w:val="0"/>
          <w:marTop w:val="0"/>
          <w:marBottom w:val="0"/>
          <w:divBdr>
            <w:top w:val="none" w:sz="0" w:space="0" w:color="auto"/>
            <w:left w:val="none" w:sz="0" w:space="0" w:color="auto"/>
            <w:bottom w:val="none" w:sz="0" w:space="0" w:color="auto"/>
            <w:right w:val="none" w:sz="0" w:space="0" w:color="auto"/>
          </w:divBdr>
        </w:div>
        <w:div w:id="1195653635">
          <w:marLeft w:val="640"/>
          <w:marRight w:val="0"/>
          <w:marTop w:val="0"/>
          <w:marBottom w:val="0"/>
          <w:divBdr>
            <w:top w:val="none" w:sz="0" w:space="0" w:color="auto"/>
            <w:left w:val="none" w:sz="0" w:space="0" w:color="auto"/>
            <w:bottom w:val="none" w:sz="0" w:space="0" w:color="auto"/>
            <w:right w:val="none" w:sz="0" w:space="0" w:color="auto"/>
          </w:divBdr>
        </w:div>
        <w:div w:id="1301302788">
          <w:marLeft w:val="640"/>
          <w:marRight w:val="0"/>
          <w:marTop w:val="0"/>
          <w:marBottom w:val="0"/>
          <w:divBdr>
            <w:top w:val="none" w:sz="0" w:space="0" w:color="auto"/>
            <w:left w:val="none" w:sz="0" w:space="0" w:color="auto"/>
            <w:bottom w:val="none" w:sz="0" w:space="0" w:color="auto"/>
            <w:right w:val="none" w:sz="0" w:space="0" w:color="auto"/>
          </w:divBdr>
        </w:div>
        <w:div w:id="1582257053">
          <w:marLeft w:val="640"/>
          <w:marRight w:val="0"/>
          <w:marTop w:val="0"/>
          <w:marBottom w:val="0"/>
          <w:divBdr>
            <w:top w:val="none" w:sz="0" w:space="0" w:color="auto"/>
            <w:left w:val="none" w:sz="0" w:space="0" w:color="auto"/>
            <w:bottom w:val="none" w:sz="0" w:space="0" w:color="auto"/>
            <w:right w:val="none" w:sz="0" w:space="0" w:color="auto"/>
          </w:divBdr>
        </w:div>
        <w:div w:id="1707094231">
          <w:marLeft w:val="640"/>
          <w:marRight w:val="0"/>
          <w:marTop w:val="0"/>
          <w:marBottom w:val="0"/>
          <w:divBdr>
            <w:top w:val="none" w:sz="0" w:space="0" w:color="auto"/>
            <w:left w:val="none" w:sz="0" w:space="0" w:color="auto"/>
            <w:bottom w:val="none" w:sz="0" w:space="0" w:color="auto"/>
            <w:right w:val="none" w:sz="0" w:space="0" w:color="auto"/>
          </w:divBdr>
        </w:div>
        <w:div w:id="1987858740">
          <w:marLeft w:val="640"/>
          <w:marRight w:val="0"/>
          <w:marTop w:val="0"/>
          <w:marBottom w:val="0"/>
          <w:divBdr>
            <w:top w:val="none" w:sz="0" w:space="0" w:color="auto"/>
            <w:left w:val="none" w:sz="0" w:space="0" w:color="auto"/>
            <w:bottom w:val="none" w:sz="0" w:space="0" w:color="auto"/>
            <w:right w:val="none" w:sz="0" w:space="0" w:color="auto"/>
          </w:divBdr>
        </w:div>
      </w:divsChild>
    </w:div>
    <w:div w:id="2053840339">
      <w:bodyDiv w:val="1"/>
      <w:marLeft w:val="0"/>
      <w:marRight w:val="0"/>
      <w:marTop w:val="0"/>
      <w:marBottom w:val="0"/>
      <w:divBdr>
        <w:top w:val="none" w:sz="0" w:space="0" w:color="auto"/>
        <w:left w:val="none" w:sz="0" w:space="0" w:color="auto"/>
        <w:bottom w:val="none" w:sz="0" w:space="0" w:color="auto"/>
        <w:right w:val="none" w:sz="0" w:space="0" w:color="auto"/>
      </w:divBdr>
      <w:divsChild>
        <w:div w:id="267858284">
          <w:marLeft w:val="640"/>
          <w:marRight w:val="0"/>
          <w:marTop w:val="0"/>
          <w:marBottom w:val="0"/>
          <w:divBdr>
            <w:top w:val="none" w:sz="0" w:space="0" w:color="auto"/>
            <w:left w:val="none" w:sz="0" w:space="0" w:color="auto"/>
            <w:bottom w:val="none" w:sz="0" w:space="0" w:color="auto"/>
            <w:right w:val="none" w:sz="0" w:space="0" w:color="auto"/>
          </w:divBdr>
        </w:div>
        <w:div w:id="326903901">
          <w:marLeft w:val="640"/>
          <w:marRight w:val="0"/>
          <w:marTop w:val="0"/>
          <w:marBottom w:val="0"/>
          <w:divBdr>
            <w:top w:val="none" w:sz="0" w:space="0" w:color="auto"/>
            <w:left w:val="none" w:sz="0" w:space="0" w:color="auto"/>
            <w:bottom w:val="none" w:sz="0" w:space="0" w:color="auto"/>
            <w:right w:val="none" w:sz="0" w:space="0" w:color="auto"/>
          </w:divBdr>
        </w:div>
        <w:div w:id="465244491">
          <w:marLeft w:val="640"/>
          <w:marRight w:val="0"/>
          <w:marTop w:val="0"/>
          <w:marBottom w:val="0"/>
          <w:divBdr>
            <w:top w:val="none" w:sz="0" w:space="0" w:color="auto"/>
            <w:left w:val="none" w:sz="0" w:space="0" w:color="auto"/>
            <w:bottom w:val="none" w:sz="0" w:space="0" w:color="auto"/>
            <w:right w:val="none" w:sz="0" w:space="0" w:color="auto"/>
          </w:divBdr>
        </w:div>
        <w:div w:id="494734195">
          <w:marLeft w:val="640"/>
          <w:marRight w:val="0"/>
          <w:marTop w:val="0"/>
          <w:marBottom w:val="0"/>
          <w:divBdr>
            <w:top w:val="none" w:sz="0" w:space="0" w:color="auto"/>
            <w:left w:val="none" w:sz="0" w:space="0" w:color="auto"/>
            <w:bottom w:val="none" w:sz="0" w:space="0" w:color="auto"/>
            <w:right w:val="none" w:sz="0" w:space="0" w:color="auto"/>
          </w:divBdr>
        </w:div>
        <w:div w:id="646327752">
          <w:marLeft w:val="640"/>
          <w:marRight w:val="0"/>
          <w:marTop w:val="0"/>
          <w:marBottom w:val="0"/>
          <w:divBdr>
            <w:top w:val="none" w:sz="0" w:space="0" w:color="auto"/>
            <w:left w:val="none" w:sz="0" w:space="0" w:color="auto"/>
            <w:bottom w:val="none" w:sz="0" w:space="0" w:color="auto"/>
            <w:right w:val="none" w:sz="0" w:space="0" w:color="auto"/>
          </w:divBdr>
        </w:div>
        <w:div w:id="823157500">
          <w:marLeft w:val="640"/>
          <w:marRight w:val="0"/>
          <w:marTop w:val="0"/>
          <w:marBottom w:val="0"/>
          <w:divBdr>
            <w:top w:val="none" w:sz="0" w:space="0" w:color="auto"/>
            <w:left w:val="none" w:sz="0" w:space="0" w:color="auto"/>
            <w:bottom w:val="none" w:sz="0" w:space="0" w:color="auto"/>
            <w:right w:val="none" w:sz="0" w:space="0" w:color="auto"/>
          </w:divBdr>
        </w:div>
        <w:div w:id="959410658">
          <w:marLeft w:val="640"/>
          <w:marRight w:val="0"/>
          <w:marTop w:val="0"/>
          <w:marBottom w:val="0"/>
          <w:divBdr>
            <w:top w:val="none" w:sz="0" w:space="0" w:color="auto"/>
            <w:left w:val="none" w:sz="0" w:space="0" w:color="auto"/>
            <w:bottom w:val="none" w:sz="0" w:space="0" w:color="auto"/>
            <w:right w:val="none" w:sz="0" w:space="0" w:color="auto"/>
          </w:divBdr>
        </w:div>
        <w:div w:id="1280994231">
          <w:marLeft w:val="640"/>
          <w:marRight w:val="0"/>
          <w:marTop w:val="0"/>
          <w:marBottom w:val="0"/>
          <w:divBdr>
            <w:top w:val="none" w:sz="0" w:space="0" w:color="auto"/>
            <w:left w:val="none" w:sz="0" w:space="0" w:color="auto"/>
            <w:bottom w:val="none" w:sz="0" w:space="0" w:color="auto"/>
            <w:right w:val="none" w:sz="0" w:space="0" w:color="auto"/>
          </w:divBdr>
        </w:div>
        <w:div w:id="1759059773">
          <w:marLeft w:val="640"/>
          <w:marRight w:val="0"/>
          <w:marTop w:val="0"/>
          <w:marBottom w:val="0"/>
          <w:divBdr>
            <w:top w:val="none" w:sz="0" w:space="0" w:color="auto"/>
            <w:left w:val="none" w:sz="0" w:space="0" w:color="auto"/>
            <w:bottom w:val="none" w:sz="0" w:space="0" w:color="auto"/>
            <w:right w:val="none" w:sz="0" w:space="0" w:color="auto"/>
          </w:divBdr>
        </w:div>
        <w:div w:id="1885024837">
          <w:marLeft w:val="640"/>
          <w:marRight w:val="0"/>
          <w:marTop w:val="0"/>
          <w:marBottom w:val="0"/>
          <w:divBdr>
            <w:top w:val="none" w:sz="0" w:space="0" w:color="auto"/>
            <w:left w:val="none" w:sz="0" w:space="0" w:color="auto"/>
            <w:bottom w:val="none" w:sz="0" w:space="0" w:color="auto"/>
            <w:right w:val="none" w:sz="0" w:space="0" w:color="auto"/>
          </w:divBdr>
        </w:div>
        <w:div w:id="1963026653">
          <w:marLeft w:val="640"/>
          <w:marRight w:val="0"/>
          <w:marTop w:val="0"/>
          <w:marBottom w:val="0"/>
          <w:divBdr>
            <w:top w:val="none" w:sz="0" w:space="0" w:color="auto"/>
            <w:left w:val="none" w:sz="0" w:space="0" w:color="auto"/>
            <w:bottom w:val="none" w:sz="0" w:space="0" w:color="auto"/>
            <w:right w:val="none" w:sz="0" w:space="0" w:color="auto"/>
          </w:divBdr>
        </w:div>
        <w:div w:id="1977027902">
          <w:marLeft w:val="640"/>
          <w:marRight w:val="0"/>
          <w:marTop w:val="0"/>
          <w:marBottom w:val="0"/>
          <w:divBdr>
            <w:top w:val="none" w:sz="0" w:space="0" w:color="auto"/>
            <w:left w:val="none" w:sz="0" w:space="0" w:color="auto"/>
            <w:bottom w:val="none" w:sz="0" w:space="0" w:color="auto"/>
            <w:right w:val="none" w:sz="0" w:space="0" w:color="auto"/>
          </w:divBdr>
        </w:div>
        <w:div w:id="2052731946">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7.png"/><Relationship Id="rId18" Type="http://schemas.openxmlformats.org/officeDocument/2006/relationships/image" Target="media/image12.svg"/><Relationship Id="rId26" Type="http://schemas.openxmlformats.org/officeDocument/2006/relationships/image" Target="media/image20.sv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svg"/><Relationship Id="rId20" Type="http://schemas.openxmlformats.org/officeDocument/2006/relationships/image" Target="media/image14.sv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sv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glossaryDocument" Target="glossary/document.xml"/><Relationship Id="rId10" Type="http://schemas.openxmlformats.org/officeDocument/2006/relationships/image" Target="media/image4.sv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svg"/><Relationship Id="rId22" Type="http://schemas.openxmlformats.org/officeDocument/2006/relationships/image" Target="media/image16.svg"/><Relationship Id="rId27"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6E8B74980F04C12BBBD1F3C8626F013"/>
        <w:category>
          <w:name w:val="Général"/>
          <w:gallery w:val="placeholder"/>
        </w:category>
        <w:types>
          <w:type w:val="bbPlcHdr"/>
        </w:types>
        <w:behaviors>
          <w:behavior w:val="content"/>
        </w:behaviors>
        <w:guid w:val="{EE7959D0-15F1-4938-A696-AB04FE867122}"/>
      </w:docPartPr>
      <w:docPartBody>
        <w:p w:rsidR="00954F9E" w:rsidRDefault="00714211" w:rsidP="00714211">
          <w:pPr>
            <w:pStyle w:val="66E8B74980F04C12BBBD1F3C8626F013"/>
          </w:pPr>
          <w:r w:rsidRPr="004D6CB0">
            <w:rPr>
              <w:rStyle w:val="Textedelespacerserv"/>
            </w:rPr>
            <w:t>Cliquez ou appuyez ici pour entrer du texte.</w:t>
          </w:r>
        </w:p>
      </w:docPartBody>
    </w:docPart>
    <w:docPart>
      <w:docPartPr>
        <w:name w:val="24F901B06F384BBAA44BC55F3BE9885F"/>
        <w:category>
          <w:name w:val="Général"/>
          <w:gallery w:val="placeholder"/>
        </w:category>
        <w:types>
          <w:type w:val="bbPlcHdr"/>
        </w:types>
        <w:behaviors>
          <w:behavior w:val="content"/>
        </w:behaviors>
        <w:guid w:val="{5FAF050D-2418-4156-A41D-FB8CADDCFA5C}"/>
      </w:docPartPr>
      <w:docPartBody>
        <w:p w:rsidR="00954F9E" w:rsidRDefault="00714211" w:rsidP="00714211">
          <w:pPr>
            <w:pStyle w:val="24F901B06F384BBAA44BC55F3BE9885F"/>
          </w:pPr>
          <w:r w:rsidRPr="004D6CB0">
            <w:rPr>
              <w:rStyle w:val="Textedelespacerserv"/>
            </w:rPr>
            <w:t>Cliquez ou appuyez ici pour entrer du texte.</w:t>
          </w:r>
        </w:p>
      </w:docPartBody>
    </w:docPart>
    <w:docPart>
      <w:docPartPr>
        <w:name w:val="DefaultPlaceholder_-1854013440"/>
        <w:category>
          <w:name w:val="Général"/>
          <w:gallery w:val="placeholder"/>
        </w:category>
        <w:types>
          <w:type w:val="bbPlcHdr"/>
        </w:types>
        <w:behaviors>
          <w:behavior w:val="content"/>
        </w:behaviors>
        <w:guid w:val="{35482BF8-5959-415B-B127-400F56929B34}"/>
      </w:docPartPr>
      <w:docPartBody>
        <w:p w:rsidR="00954F9E" w:rsidRDefault="00714211">
          <w:r w:rsidRPr="00E00EE6">
            <w:rPr>
              <w:rStyle w:val="Textedelespacerserv"/>
            </w:rPr>
            <w:t>Cliquez ou appuyez ici pour entrer du texte.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sDel="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4211"/>
    <w:rsid w:val="00714211"/>
    <w:rsid w:val="0080361A"/>
    <w:rsid w:val="00954F9E"/>
    <w:rsid w:val="00C92042"/>
    <w:rsid w:val="00D41B0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80361A"/>
    <w:rPr>
      <w:color w:val="808080"/>
    </w:rPr>
  </w:style>
  <w:style w:type="paragraph" w:customStyle="1" w:styleId="66E8B74980F04C12BBBD1F3C8626F013">
    <w:name w:val="66E8B74980F04C12BBBD1F3C8626F013"/>
    <w:rsid w:val="00714211"/>
  </w:style>
  <w:style w:type="paragraph" w:customStyle="1" w:styleId="24F901B06F384BBAA44BC55F3BE9885F">
    <w:name w:val="24F901B06F384BBAA44BC55F3BE9885F"/>
    <w:rsid w:val="0071421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92D28AE-EAE1-4518-AB39-23DA652A723E}">
  <we:reference id="wa104382081" version="1.55.1.0" store="fr-FR" storeType="OMEX"/>
  <we:alternateReferences>
    <we:reference id="WA104382081" version="1.55.1.0" store="" storeType="OMEX"/>
  </we:alternateReferences>
  <we:properties>
    <we:property name="MENDELEY_BIBLIOGRAPHY_IS_DIRTY" value="true"/>
    <we:property name="MENDELEY_BIBLIOGRAPHY_LAST_MODIFIED" value="1767629293147"/>
    <we:property name="MENDELEY_CITATIONS" value="[{&quot;citationID&quot;:&quot;MENDELEY_CITATION_9d2a228a-83a7-43ea-9855-cc9c80e6c596&quot;,&quot;properties&quot;:{&quot;noteIndex&quot;:0},&quot;isEdited&quot;:false,&quot;manualOverride&quot;:{&quot;isManuallyOverridden&quot;:false,&quot;citeprocText&quot;:&quot;[1]&quot;,&quot;manualOverrideText&quot;:&quot;&quot;},&quot;citationTag&quot;:&quot;MENDELEY_CITATION_v3_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&quot;,&quot;citationItems&quot;:[{&quot;id&quot;:&quot;49fa4ddd-b9b0-3ba3-9ebb-025c86154fe5&quot;,&quot;itemData&quot;:{&quot;type&quot;:&quot;article-journal&quot;,&quot;id&quot;:&quot;49fa4ddd-b9b0-3ba3-9ebb-025c86154fe5&quot;,&quot;title&quot;:&quot;Var∣Decrypt: a novel and user-friendly tool to explore and prioritize variants in whole-exome sequencing data&quot;,&quot;author&quot;:[{&quot;family&quot;:&quot;Salma&quot;,&quot;given&quot;:&quot;Mohammad&quot;,&quot;parse-names&quot;:false,&quot;dropping-particle&quot;:&quot;&quot;,&quot;non-dropping-particle&quot;:&quot;&quot;},{&quot;family&quot;:&quot;Alaterre&quot;,&quot;given&quot;:&quot;Elina&quot;,&quot;parse-names&quot;:false,&quot;dropping-particle&quot;:&quot;&quot;,&quot;non-dropping-particle&quot;:&quot;&quot;},{&quot;family&quot;:&quot;Moreaux&quot;,&quot;given&quot;:&quot;Jérôme&quot;,&quot;parse-names&quot;:false,&quot;dropping-particle&quot;:&quot;&quot;,&quot;non-dropping-particle&quot;:&quot;&quot;},{&quot;family&quot;:&quot;Soler&quot;,&quot;given&quot;:&quot;Eric&quot;,&quot;parse-names&quot;:false,&quot;dropping-particle&quot;:&quot;&quot;,&quot;non-dropping-particle&quot;:&quot;&quot;}],&quot;container-title&quot;:&quot;Epigenetics &amp; chromatin&quot;,&quot;accessed&quot;:{&quot;date-parts&quot;:[[2025,1,3]]},&quot;DOI&quot;:&quot;10.1186/S13072-023-00497-4&quot;,&quot;ISSN&quot;:&quot;1756-8935&quot;,&quot;PMID&quot;:&quot;37312221&quot;,&quot;URL&quot;:&quot;https://pubmed.ncbi.nlm.nih.gov/37312221/&quot;,&quot;issued&quot;:{&quot;date-parts&quot;:[[2023,12,1]]},&quot;abstract&quot;:&quot;Background: High-throughput sequencing (HTS) offers unprecedented opportunities for the discovery of causative gene variants in multiple human disorders including cancers, and has revolutionized clinical diagnostics. However, despite more than a decade of use of HTS-based assays, extracting relevant functional information from whole-exome sequencing (WES) data remains challenging, especially for non-specialists lacking in-depth bioinformatic skills. Results: To address this limitation, we developed Var∣Decrypt, a web-based tool designed to greatly facilitate WES data browsing and analysis. Var∣Decrypt offers a wide range of gene and variant filtering possibilities, clustering and enrichment tools, providing an efficient way to derive patient-specific functional information and to prioritize gene variants for functional analyses. We applied Var∣Decrypt on WES datasets of 10 acute erythroid leukemia patients, a rare and aggressive form of leukemia, and recovered known disease oncogenes in addition to novel putative drivers. We additionally validated the performance of Var∣Decrypt using an independent dataset of ~ 90 multiple myeloma WES, recapitulating the identified deregulated genes and pathways, showing the general applicability and versatility of Var∣Decrypt for WES analysis. Conclusion: Despite years of use of WES in human health for diagnosis and discovery of disease drivers, WES data analysis still remains a complex task requiring advanced bioinformatic skills. In that context, there is a need for user-friendly all-in-one dedicated tools for data analysis, to allow biologists and clinicians to extract relevant biological information from patient datasets. Here, we provide Var∣Decrypt (trial version accessible here: https://vardecrypt.com/app/vardecrypt), a simple and intuitive Rshiny application created to fill this gap. Source code and detailed user tutorial are available at https://gitlab.com/mohammadsalma/vardecrypt .&quot;,&quot;publisher&quot;:&quot;Epigenetics Chromatin&quot;,&quot;issue&quot;:&quot;1&quot;,&quot;volume&quot;:&quot;16&quot;,&quot;container-title-short&quot;:&quot;Epigenetics Chromatin&quot;},&quot;isTemporary&quot;:false}]},{&quot;citationID&quot;:&quot;MENDELEY_CITATION_9e265f39-f31c-4c01-9b6d-e210246874b8&quot;,&quot;properties&quot;:{&quot;noteIndex&quot;:0},&quot;isEdited&quot;:false,&quot;manualOverride&quot;:{&quot;isManuallyOverridden&quot;:false,&quot;citeprocText&quot;:&quot;[2]&quot;,&quot;manualOverrideText&quot;:&quot;&quot;},&quot;citationTag&quot;:&quot;MENDELEY_CITATION_v3_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&quot;,&quot;citationItems&quot;:[{&quot;id&quot;:&quot;91d6ccff-3ac7-35b4-aa91-d1fc2e66be02&quot;,&quot;itemData&quot;:{&quot;type&quot;:&quot;article-journal&quot;,&quot;id&quot;:&quot;91d6ccff-3ac7-35b4-aa91-d1fc2e66be02&quot;,&quot;title&quot;:&quot;Quiescence Modulates Stem Cell Maintenance and Regenerative Capacity in the Aging Brain&quot;,&quot;author&quot;:[{&quot;family&quot;:&quot;Kalamakis&quot;,&quot;given&quot;:&quot;Georgios&quot;,&quot;parse-names&quot;:false,&quot;dropping-particle&quot;:&quot;&quot;,&quot;non-dropping-particle&quot;:&quot;&quot;},{&quot;family&quot;:&quot;Brüne&quot;,&quot;given&quot;:&quot;Daniel&quot;,&quot;parse-names&quot;:false,&quot;dropping-particle&quot;:&quot;&quot;,&quot;non-dropping-particle&quot;:&quot;&quot;},{&quot;family&quot;:&quot;Ravichandran&quot;,&quot;given&quot;:&quot;Srikanth&quot;,&quot;parse-names&quot;:false,&quot;dropping-particle&quot;:&quot;&quot;,&quot;non-dropping-particle&quot;:&quot;&quot;},{&quot;family&quot;:&quot;Bolz&quot;,&quot;given&quot;:&quot;Jan&quot;,&quot;parse-names&quot;:false,&quot;dropping-particle&quot;:&quot;&quot;,&quot;non-dropping-particle&quot;:&quot;&quot;},{&quot;family&quot;:&quot;Fan&quot;,&quot;given&quot;:&quot;Wenqiang&quot;,&quot;parse-names&quot;:false,&quot;dropping-particle&quot;:&quot;&quot;,&quot;non-dropping-particle&quot;:&quot;&quot;},{&quot;family&quot;:&quot;Ziebell&quot;,&quot;given&quot;:&quot;Frederik&quot;,&quot;parse-names&quot;:false,&quot;dropping-particle&quot;:&quot;&quot;,&quot;non-dropping-particle&quot;:&quot;&quot;},{&quot;family&quot;:&quot;Stiehl&quot;,&quot;given&quot;:&quot;Thomas&quot;,&quot;parse-names&quot;:false,&quot;dropping-particle&quot;:&quot;&quot;,&quot;non-dropping-particle&quot;:&quot;&quot;},{&quot;family&quot;:&quot;Catalá-Martinez&quot;,&quot;given&quot;:&quot;Francisco&quot;,&quot;parse-names&quot;:false,&quot;dropping-particle&quot;:&quot;&quot;,&quot;non-dropping-particle&quot;:&quot;&quot;},{&quot;family&quot;:&quot;Kupke&quot;,&quot;given&quot;:&quot;Janina&quot;,&quot;parse-names&quot;:false,&quot;dropping-particle&quot;:&quot;&quot;,&quot;non-dropping-particle&quot;:&quot;&quot;},{&quot;family&quot;:&quot;Zhao&quot;,&quot;given&quot;:&quot;Sheng&quot;,&quot;parse-names&quot;:false,&quot;dropping-particle&quot;:&quot;&quot;,&quot;non-dropping-particle&quot;:&quot;&quot;},{&quot;family&quot;:&quot;Llorens-Bobadilla&quot;,&quot;given&quot;:&quot;Enric&quot;,&quot;parse-names&quot;:false,&quot;dropping-particle&quot;:&quot;&quot;,&quot;non-dropping-particle&quot;:&quot;&quot;},{&quot;family&quot;:&quot;Bauer&quot;,&quot;given&quot;:&quot;Katharina&quot;,&quot;parse-names&quot;:false,&quot;dropping-particle&quot;:&quot;&quot;,&quot;non-dropping-particle&quot;:&quot;&quot;},{&quot;family&quot;:&quot;Limpert&quot;,&quot;given&quot;:&quot;Stefanie&quot;,&quot;parse-names&quot;:false,&quot;dropping-particle&quot;:&quot;&quot;,&quot;non-dropping-particle&quot;:&quot;&quot;},{&quot;family&quot;:&quot;Berger&quot;,&quot;given&quot;:&quot;Birgit&quot;,&quot;parse-names&quot;:false,&quot;dropping-particle&quot;:&quot;&quot;,&quot;non-dropping-particle&quot;:&quot;&quot;},{&quot;family&quot;:&quot;Christen&quot;,&quot;given&quot;:&quot;Urs&quot;,&quot;parse-names&quot;:false,&quot;dropping-particle&quot;:&quot;&quot;,&quot;non-dropping-particle&quot;:&quot;&quot;},{&quot;family&quot;:&quot;Schmezer&quot;,&quot;given&quot;:&quot;Peter&quot;,&quot;parse-names&quot;:false,&quot;dropping-particle&quot;:&quot;&quot;,&quot;non-dropping-particle&quot;:&quot;&quot;},{&quot;family&quot;:&quot;Mallm&quot;,&quot;given&quot;:&quot;Jan Philipp&quot;,&quot;parse-names&quot;:false,&quot;dropping-particle&quot;:&quot;&quot;,&quot;non-dropping-particle&quot;:&quot;&quot;},{&quot;family&quot;:&quot;Berninger&quot;,&quot;given&quot;:&quot;Benedikt&quot;,&quot;parse-names&quot;:false,&quot;dropping-particle&quot;:&quot;&quot;,&quot;non-dropping-particle&quot;:&quot;&quot;},{&quot;family&quot;:&quot;Anders&quot;,&quot;given&quot;:&quot;Simon&quot;,&quot;parse-names&quot;:false,&quot;dropping-particle&quot;:&quot;&quot;,&quot;non-dropping-particle&quot;:&quot;&quot;},{&quot;family&quot;:&quot;Sol&quot;,&quot;given&quot;:&quot;Antonio&quot;,&quot;parse-names&quot;:false,&quot;dropping-particle&quot;:&quot;del&quot;,&quot;non-dropping-particle&quot;:&quot;&quot;},{&quot;family&quot;:&quot;Marciniak-Czochra&quot;,&quot;given&quot;:&quot;Anna&quot;,&quot;parse-names&quot;:false,&quot;dropping-particle&quot;:&quot;&quot;,&quot;non-dropping-particle&quot;:&quot;&quot;},{&quot;family&quot;:&quot;Martin-Villalba&quot;,&quot;given&quot;:&quot;Ana&quot;,&quot;parse-names&quot;:false,&quot;dropping-particle&quot;:&quot;&quot;,&quot;non-dropping-particle&quot;:&quot;&quot;}],&quot;container-title&quot;:&quot;Cell&quot;,&quot;DOI&quot;:&quot;10.1016/j.cell.2019.01.040&quot;,&quot;ISSN&quot;:&quot;0092-8674, 1097-4172&quot;,&quot;PMID&quot;:&quot;30827680&quot;,&quot;URL&quot;:&quot;https://www.cell.com/cell/abstract/S0092-8674(19)30103-5&quot;,&quot;issued&quot;:{&quot;date-parts&quot;:[[2019,3]]},&quot;page&quot;:&quot;1407–1419.e14&quot;,&quot;language&quot;:&quot;English&quot;,&quot;issue&quot;:&quot;6&quot;,&quot;volume&quot;:&quot;176&quot;,&quot;container-title-short&quot;:&quot;Cell&quot;},&quot;isTemporary&quot;:false}]},{&quot;citationID&quot;:&quot;MENDELEY_CITATION_42f712c9-88ed-4e38-bf79-d7f89c18ed42&quot;,&quot;properties&quot;:{&quot;noteIndex&quot;:0},&quot;isEdited&quot;:false,&quot;manualOverride&quot;:{&quot;isManuallyOverridden&quot;:false,&quot;citeprocText&quot;:&quot;[3]&quot;,&quot;manualOverrideText&quot;:&quot;&quot;},&quot;citationTag&quot;:&quot;MENDELEY_CITATION_v3_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&quot;,&quot;citationItems&quot;:[{&quot;id&quot;:&quot;c2a815a7-3f8a-3238-990a-f142afcba39a&quot;,&quot;itemData&quot;:{&quot;type&quot;:&quot;article-journal&quot;,&quot;id&quot;:&quot;c2a815a7-3f8a-3238-990a-f142afcba39a&quot;,&quot;title&quot;:&quot;DIA-NN: neural networks and interference correction enable deep proteome coverage in high throughput&quot;,&quot;author&quot;:[{&quot;family&quot;:&quot;Demichev&quot;,&quot;given&quot;:&quot;Vadim&quot;,&quot;parse-names&quot;:false,&quot;dropping-particle&quot;:&quot;&quot;,&quot;non-dropping-particle&quot;:&quot;&quot;},{&quot;family&quot;:&quot;Messner&quot;,&quot;given&quot;:&quot;Christoph B.&quot;,&quot;parse-names&quot;:false,&quot;dropping-particle&quot;:&quot;&quot;,&quot;non-dropping-particle&quot;:&quot;&quot;},{&quot;family&quot;:&quot;Vernardis&quot;,&quot;given&quot;:&quot;Spyros I.&quot;,&quot;parse-names&quot;:false,&quot;dropping-particle&quot;:&quot;&quot;,&quot;non-dropping-particle&quot;:&quot;&quot;},{&quot;family&quot;:&quot;Lilley&quot;,&quot;given&quot;:&quot;Kathryn S.&quot;,&quot;parse-names&quot;:false,&quot;dropping-particle&quot;:&quot;&quot;,&quot;non-dropping-particle&quot;:&quot;&quot;},{&quot;family&quot;:&quot;Ralser&quot;,&quot;given&quot;:&quot;Markus&quot;,&quot;parse-names&quot;:false,&quot;dropping-particle&quot;:&quot;&quot;,&quot;non-dropping-particle&quot;:&quot;&quot;}],&quot;container-title&quot;:&quot;Nature Methods 2019 17:1&quot;,&quot;accessed&quot;:{&quot;date-parts&quot;:[[2025,3,7]]},&quot;DOI&quot;:&quot;10.1038/s41592-019-0638-x&quot;,&quot;ISSN&quot;:&quot;1548-7105&quot;,&quot;PMID&quot;:&quot;31768060&quot;,&quot;URL&quot;:&quot;https://www.nature.com/articles/s41592-019-0638-x&quot;,&quot;issued&quot;:{&quot;date-parts&quot;:[[2019,11,25]]},&quot;page&quot;:&quot;41-44&quot;,&quot;abstract&quot;:&quot;We present an easy-to-use integrated software suite, DIA-NN, that exploits deep neural networks and new quantification and signal correction strategies for the processing of data-independent acquisition (DIA) proteomics experiments. DIA-NN improves the identification and quantification performance in conventional DIA proteomic applications, and is particularly beneficial for high-throughput applications, as it is fast and enables deep and confident proteome coverage when used in combination with fast chromatographic methods. A deep learning-based software tool, DIA-NN, enables deep proteome analysis from data generated using fast chromatographic approaches and data-independent acquisition mass spectrometry.&quot;,&quot;publisher&quot;:&quot;Nature Publishing Group&quot;,&quot;issue&quot;:&quot;1&quot;,&quot;volume&quot;:&quot;17&quot;,&quot;container-title-short&quot;:&quot;&quot;},&quot;isTemporary&quot;:false}]},{&quot;citationID&quot;:&quot;MENDELEY_CITATION_da53005a-06b8-477f-a4a3-adc5f23a941b&quot;,&quot;properties&quot;:{&quot;noteIndex&quot;:0},&quot;isEdited&quot;:false,&quot;manualOverride&quot;:{&quot;isManuallyOverridden&quot;:false,&quot;citeprocText&quot;:&quot;[4]&quot;,&quot;manualOverrideText&quot;:&quot;&quot;},&quot;citationTag&quot;:&quot;MENDELEY_CITATION_v3_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&quot;,&quot;citationItems&quot;:[{&quot;id&quot;:&quot;1a03a9c2-47e9-37d6-b9bf-a98d99beb46e&quot;,&quot;itemData&quot;:{&quot;type&quot;:&quot;article-journal&quot;,&quot;id&quot;:&quot;1a03a9c2-47e9-37d6-b9bf-a98d99beb46e&quot;,&quot;title&quot;:&quot;DIAgui: a Shiny application to process the output from DIA-NN&quot;,&quot;author&quot;:[{&quot;family&quot;:&quot;Gerault&quot;,&quot;given&quot;:&quot;Marc Antoine&quot;,&quot;parse-names&quot;:false,&quot;dropping-particle&quot;:&quot;&quot;,&quot;non-dropping-particle&quot;:&quot;&quot;},{&quot;family&quot;:&quot;Camoin&quot;,&quot;given&quot;:&quot;Luc&quot;,&quot;parse-names&quot;:false,&quot;dropping-particle&quot;:&quot;&quot;,&quot;non-dropping-particle&quot;:&quot;&quot;},{&quot;family&quot;:&quot;Granjeaud&quot;,&quot;given&quot;:&quot;Samuel&quot;,&quot;parse-names&quot;:false,&quot;dropping-particle&quot;:&quot;&quot;,&quot;non-dropping-particle&quot;:&quot;&quot;}],&quot;container-title&quot;:&quot;Bioinformatics Advances&quot;,&quot;accessed&quot;:{&quot;date-parts&quot;:[[2025,3,7]]},&quot;DOI&quot;:&quot;10.1093/BIOADV/VBAE001&quot;,&quot;ISBN&quot;:&quot;001/7529239&quot;,&quot;ISSN&quot;:&quot;26350041&quot;,&quot;URL&quot;:&quot;https://dx.doi.org/10.1093/bioadv/vbae001&quot;,&quot;issued&quot;:{&quot;date-parts&quot;:[[2024,1,5]]},&quot;abstract&quot;:&quot;DIAgui is an R package to simplify the processing of the report file from the DIA-NN software thanks to a Shiny application. It returns the quantification of either the precursors, the peptides, the proteins, or the genes thanks to the MaxLFQ algorithm. In addition, the latest version provides the Top3 and iBAQ quantification and the number of peptides used for the quantification. In the end, DIAgui produces ready-to-interpret files from the results of DIA mass spectrometry analysis and provides visualization and statistical tools that can be used in a user-friendly way.&quot;,&quot;publisher&quot;:&quot;Oxford Academic&quot;,&quot;issue&quot;:&quot;1&quot;,&quot;volume&quot;:&quot;4&quot;,&quot;container-title-short&quot;:&quot;&quot;},&quot;isTemporary&quot;:false}]},{&quot;citationID&quot;:&quot;MENDELEY_CITATION_0b769d33-117e-444b-afdc-992493f02a21&quot;,&quot;properties&quot;:{&quot;noteIndex&quot;:0},&quot;isEdited&quot;:false,&quot;manualOverride&quot;:{&quot;isManuallyOverridden&quot;:false,&quot;citeprocText&quot;:&quot;[5]&quot;,&quot;manualOverrideText&quot;:&quot;&quot;},&quot;citationTag&quot;:&quot;MENDELEY_CITATION_v3_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&quot;,&quot;citationItems&quot;:[{&quot;id&quot;:&quot;466b0064-b86f-3209-a9a1-4424e58fd418&quot;,&quot;itemData&quot;:{&quot;type&quot;:&quot;article-journal&quot;,&quot;id&quot;:&quot;466b0064-b86f-3209-a9a1-4424e58fd418&quot;,&quot;title&quot;:&quot;The Perseus computational platform for comprehensive analysis of (prote)omics data&quot;,&quot;author&quot;:[{&quot;family&quot;:&quot;Tyanova&quot;,&quot;given&quot;:&quot;Stefka&quot;,&quot;parse-names&quot;:false,&quot;dropping-particle&quot;:&quot;&quot;,&quot;non-dropping-particle&quot;:&quot;&quot;},{&quot;family&quot;:&quot;Temu&quot;,&quot;given&quot;:&quot;Tikira&quot;,&quot;parse-names&quot;:false,&quot;dropping-particle&quot;:&quot;&quot;,&quot;non-dropping-particle&quot;:&quot;&quot;},{&quot;family&quot;:&quot;Sinitcyn&quot;,&quot;given&quot;:&quot;Pavel&quot;,&quot;parse-names&quot;:false,&quot;dropping-particle&quot;:&quot;&quot;,&quot;non-dropping-particle&quot;:&quot;&quot;},{&quot;family&quot;:&quot;Carlson&quot;,&quot;given&quot;:&quot;Arthur&quot;,&quot;parse-names&quot;:false,&quot;dropping-particle&quot;:&quot;&quot;,&quot;non-dropping-particle&quot;:&quot;&quot;},{&quot;family&quot;:&quot;Hein&quot;,&quot;given&quot;:&quot;Marco Y.&quot;,&quot;parse-names&quot;:false,&quot;dropping-particle&quot;:&quot;&quot;,&quot;non-dropping-particle&quot;:&quot;&quot;},{&quot;family&quot;:&quot;Geiger&quot;,&quot;given&quot;:&quot;Tamar&quot;,&quot;parse-names&quot;:false,&quot;dropping-particle&quot;:&quot;&quot;,&quot;non-dropping-particle&quot;:&quot;&quot;},{&quot;family&quot;:&quot;Mann&quot;,&quot;given&quot;:&quot;Matthias&quot;,&quot;parse-names&quot;:false,&quot;dropping-particle&quot;:&quot;&quot;,&quot;non-dropping-particle&quot;:&quot;&quot;},{&quot;family&quot;:&quot;Cox&quot;,&quot;given&quot;:&quot;Jürgen&quot;,&quot;parse-names&quot;:false,&quot;dropping-particle&quot;:&quot;&quot;,&quot;non-dropping-particle&quot;:&quot;&quot;}],&quot;container-title&quot;:&quot;Nature Methods 2016 13:9&quot;,&quot;accessed&quot;:{&quot;date-parts&quot;:[[2025,3,7]]},&quot;DOI&quot;:&quot;10.1038/nmeth.3901&quot;,&quot;ISSN&quot;:&quot;1548-7105&quot;,&quot;PMID&quot;:&quot;27348712&quot;,&quot;URL&quot;:&quot;https://www.nature.com/articles/nmeth.3901&quot;,&quot;issued&quot;:{&quot;date-parts&quot;:[[2016,6,27]]},&quot;page&quot;:&quot;731-740&quot;,&quot;abstract&quot;:&quot;Perseus is a comprehensive, user-friendly software platform for the biological analysis of quantitative proteomics data. It is intended to help biologists with little bioinformatics training to interpret protein expression, post-translational modification and interaction data. Also in this issue, see the Perspective by Röst et al. A main bottleneck in proteomics is the downstream biological analysis of highly multivariate quantitative protein abundance data generated using mass-spectrometry-based analysis. We developed the Perseus software platform ( http://www.perseus-framework.org ) to support biological and biomedical researchers in interpreting protein quantification, interaction and post-translational modification data. Perseus contains a comprehensive portfolio of statistical tools for high-dimensional omics data analysis covering normalization, pattern recognition, time-series analysis, cross-omics comparisons and multiple-hypothesis testing. A machine learning module supports the classification and validation of patient groups for diagnosis and prognosis, and it also detects predictive protein signatures. Central to Perseus is a user-friendly, interactive workflow environment that provides complete documentation of computational methods used in a publication. All activities in Perseus are realized as plugins, and users can extend the software by programming their own, which can be shared through a plugin store. We anticipate that Perseus's arsenal of algorithms and its intuitive usability will empower interdisciplinary analysis of complex large data sets.&quot;,&quot;publisher&quot;:&quot;Nature Publishing Group&quot;,&quot;issue&quot;:&quot;9&quot;,&quot;volume&quot;:&quot;13&quot;,&quot;container-title-short&quot;:&quot;&quot;},&quot;isTemporary&quot;:false}]},{&quot;citationID&quot;:&quot;MENDELEY_CITATION_e7d29ef3-9fff-4ada-9708-437316059ba7&quot;,&quot;properties&quot;:{&quot;noteIndex&quot;:0},&quot;isEdited&quot;:false,&quot;manualOverride&quot;:{&quot;isManuallyOverridden&quot;:false,&quot;citeprocText&quot;:&quot;[6]&quot;,&quot;manualOverrideText&quot;:&quot;&quot;},&quot;citationTag&quot;:&quot;MENDELEY_CITATION_v3_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&quot;,&quot;citationItems&quot;:[{&quot;id&quot;:&quot;a97ba313-5099-3400-814b-0c5ace0a6e70&quot;,&quot;itemData&quot;:{&quot;type&quot;:&quot;article-journal&quot;,&quot;id&quot;:&quot;a97ba313-5099-3400-814b-0c5ace0a6e70&quot;,&quot;title&quot;:&quot;The PRIDE database and related tools and resources in 2019: improving support for quantification data&quot;,&quot;author&quot;:[{&quot;family&quot;:&quot;Perez-Riverol&quot;,&quot;given&quot;:&quot;Yasset&quot;,&quot;parse-names&quot;:false,&quot;dropping-particle&quot;:&quot;&quot;,&quot;non-dropping-particle&quot;:&quot;&quot;},{&quot;family&quot;:&quot;Csordas&quot;,&quot;given&quot;:&quot;Attila&quot;,&quot;parse-names&quot;:false,&quot;dropping-particle&quot;:&quot;&quot;,&quot;non-dropping-particle&quot;:&quot;&quot;},{&quot;family&quot;:&quot;Bai&quot;,&quot;given&quot;:&quot;Jingwen&quot;,&quot;parse-names&quot;:false,&quot;dropping-particle&quot;:&quot;&quot;,&quot;non-dropping-particle&quot;:&quot;&quot;},{&quot;family&quot;:&quot;Bernal-Llinares&quot;,&quot;given&quot;:&quot;Manuel&quot;,&quot;parse-names&quot;:false,&quot;dropping-particle&quot;:&quot;&quot;,&quot;non-dropping-particle&quot;:&quot;&quot;},{&quot;family&quot;:&quot;Hewapathirana&quot;,&quot;given&quot;:&quot;Suresh&quot;,&quot;parse-names&quot;:false,&quot;dropping-particle&quot;:&quot;&quot;,&quot;non-dropping-particle&quot;:&quot;&quot;},{&quot;family&quot;:&quot;Kundu&quot;,&quot;given&quot;:&quot;Deepti J.&quot;,&quot;parse-names&quot;:false,&quot;dropping-particle&quot;:&quot;&quot;,&quot;non-dropping-particle&quot;:&quot;&quot;},{&quot;family&quot;:&quot;Inuganti&quot;,&quot;given&quot;:&quot;Avinash&quot;,&quot;parse-names&quot;:false,&quot;dropping-particle&quot;:&quot;&quot;,&quot;non-dropping-particle&quot;:&quot;&quot;},{&quot;family&quot;:&quot;Griss&quot;,&quot;given&quot;:&quot;Johannes&quot;,&quot;parse-names&quot;:false,&quot;dropping-particle&quot;:&quot;&quot;,&quot;non-dropping-particle&quot;:&quot;&quot;},{&quot;family&quot;:&quot;Mayer&quot;,&quot;given&quot;:&quot;Gerhard&quot;,&quot;parse-names&quot;:false,&quot;dropping-particle&quot;:&quot;&quot;,&quot;non-dropping-particle&quot;:&quot;&quot;},{&quot;family&quot;:&quot;Eisenacher&quot;,&quot;given&quot;:&quot;Martin&quot;,&quot;parse-names&quot;:false,&quot;dropping-particle&quot;:&quot;&quot;,&quot;non-dropping-particle&quot;:&quot;&quot;},{&quot;family&quot;:&quot;Pérez&quot;,&quot;given&quot;:&quot;Enrique&quot;,&quot;parse-names&quot;:false,&quot;dropping-particle&quot;:&quot;&quot;,&quot;non-dropping-particle&quot;:&quot;&quot;},{&quot;family&quot;:&quot;Uszkoreit&quot;,&quot;given&quot;:&quot;Julian&quot;,&quot;parse-names&quot;:false,&quot;dropping-particle&quot;:&quot;&quot;,&quot;non-dropping-particle&quot;:&quot;&quot;},{&quot;family&quot;:&quot;Pfeuffer&quot;,&quot;given&quot;:&quot;Julianus&quot;,&quot;parse-names&quot;:false,&quot;dropping-particle&quot;:&quot;&quot;,&quot;non-dropping-particle&quot;:&quot;&quot;},{&quot;family&quot;:&quot;Sachsenberg&quot;,&quot;given&quot;:&quot;Timo&quot;,&quot;parse-names&quot;:false,&quot;dropping-particle&quot;:&quot;&quot;,&quot;non-dropping-particle&quot;:&quot;&quot;},{&quot;family&quot;:&quot;Yilmaz&quot;,&quot;given&quot;:&quot;Şule&quot;,&quot;parse-names&quot;:false,&quot;dropping-particle&quot;:&quot;&quot;,&quot;non-dropping-particle&quot;:&quot;&quot;},{&quot;family&quot;:&quot;Tiwary&quot;,&quot;given&quot;:&quot;Shivani&quot;,&quot;parse-names&quot;:false,&quot;dropping-particle&quot;:&quot;&quot;,&quot;non-dropping-particle&quot;:&quot;&quot;},{&quot;family&quot;:&quot;Cox&quot;,&quot;given&quot;:&quot;Jürgen&quot;,&quot;parse-names&quot;:false,&quot;dropping-particle&quot;:&quot;&quot;,&quot;non-dropping-particle&quot;:&quot;&quot;},{&quot;family&quot;:&quot;Audain&quot;,&quot;given&quot;:&quot;Enrique&quot;,&quot;parse-names&quot;:false,&quot;dropping-particle&quot;:&quot;&quot;,&quot;non-dropping-particle&quot;:&quot;&quot;},{&quot;family&quot;:&quot;Walzer&quot;,&quot;given&quot;:&quot;Mathias&quot;,&quot;parse-names&quot;:false,&quot;dropping-particle&quot;:&quot;&quot;,&quot;non-dropping-particle&quot;:&quot;&quot;},{&quot;family&quot;:&quot;Jarnuczak&quot;,&quot;given&quot;:&quot;Andrew F.&quot;,&quot;parse-names&quot;:false,&quot;dropping-particle&quot;:&quot;&quot;,&quot;non-dropping-particle&quot;:&quot;&quot;},{&quot;family&quot;:&quot;Ternent&quot;,&quot;given&quot;:&quot;Tobias&quot;,&quot;parse-names&quot;:false,&quot;dropping-particle&quot;:&quot;&quot;,&quot;non-dropping-particle&quot;:&quot;&quot;},{&quot;family&quot;:&quot;Brazma&quot;,&quot;given&quot;:&quot;Alvis&quot;,&quot;parse-names&quot;:false,&quot;dropping-particle&quot;:&quot;&quot;,&quot;non-dropping-particle&quot;:&quot;&quot;},{&quot;family&quot;:&quot;Vizcaíno&quot;,&quot;given&quot;:&quot;Juan Antonio&quot;,&quot;parse-names&quot;:false,&quot;dropping-particle&quot;:&quot;&quot;,&quot;non-dropping-particle&quot;:&quot;&quot;}],&quot;container-title&quot;:&quot;Nucleic Acids Research&quot;,&quot;container-title-short&quot;:&quot;Nucleic Acids Res&quot;,&quot;accessed&quot;:{&quot;date-parts&quot;:[[2025,3,7]]},&quot;DOI&quot;:&quot;10.1093/NAR/GKY1106&quot;,&quot;ISSN&quot;:&quot;13624962&quot;,&quot;PMID&quot;:&quot;30395289&quot;,&quot;URL&quot;:&quot;https://pmc.ncbi.nlm.nih.gov/articles/PMC6323896/&quot;,&quot;issued&quot;:{&quot;date-parts&quot;:[[2018,1,8]]},&quot;page&quot;:&quot;D442&quot;,&quot;abstract&quot;:&quot;The PRoteomics IDEntifications (PRIDE) database (https://www.ebi.ac.uk/pride/) is the world's largest data repository of mass spectrometry-based proteomics data, and is one of the founding members of the global ProteomeXchange (PX) consortium. In this manuscript, we summarize the developments in PRIDE resources and related tools since the previous update manuscript was published in Nucleic Acids Research in 2016. In the last 3 years, public data sharing through PRIDE (as part of PX) has definitely become the norm in the field. In parallel, data re-use of public proteomics data has increased enormously, with multiple applications. We first describe the new architecture of PRIDE Archive, the archival component of PRIDE. PRIDE Archive and the related data submission framework have been further developed to support the increase in submitted data volumes and additional data types. A new scalable and fault tolerant storage backend, Application Programming Interface and web interface have been implemented, as a part of an ongoing process. Additionally, we emphasize the improved support for quantitative proteomics data through the mzTab format. At last, we outline key statistics on the current data contents and volume of downloads, and how PRIDE data are starting to be disseminated to added-value resources including Ensembl, UniProt and Expression Atlas.&quot;,&quot;publisher&quot;:&quot;Oxford University Press&quot;,&quot;issue&quot;:&quot;Database issue&quot;,&quot;volume&quot;:&quot;47&quot;},&quot;isTemporary&quot;:false}]}]"/>
    <we:property name="MENDELEY_CITATIONS_LOCALE_CODE" value="&quot;en-US&quot;"/>
    <we:property name="MENDELEY_CITATIONS_STYLE" value="{&quot;id&quot;:&quot;https://www.zotero.org/styles/acta-neuropathologica-communications&quot;,&quot;title&quot;:&quot;Acta Neuropathologica Communications&quot;,&quot;format&quot;:&quot;numeric&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422F1D-CDBB-4D1D-8902-CCD87DB7CA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TotalTime>
  <Pages>20</Pages>
  <Words>3406</Words>
  <Characters>18739</Characters>
  <Application>Microsoft Office Word</Application>
  <DocSecurity>0</DocSecurity>
  <Lines>156</Lines>
  <Paragraphs>44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Leonor Garcia</dc:creator>
  <cp:keywords/>
  <dc:description/>
  <cp:lastModifiedBy>Leonor Garcia</cp:lastModifiedBy>
  <cp:revision>19</cp:revision>
  <cp:lastPrinted>2025-12-11T11:00:00Z</cp:lastPrinted>
  <dcterms:created xsi:type="dcterms:W3CDTF">2026-01-05T11:12:00Z</dcterms:created>
  <dcterms:modified xsi:type="dcterms:W3CDTF">2026-01-09T14:26:00Z</dcterms:modified>
</cp:coreProperties>
</file>