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FA1A92" w14:textId="77777777" w:rsidR="00993B1F" w:rsidRPr="00D24ABC" w:rsidRDefault="00993B1F" w:rsidP="00993B1F">
      <w:pPr>
        <w:spacing w:line="276" w:lineRule="auto"/>
        <w:jc w:val="center"/>
        <w:rPr>
          <w:rFonts w:asciiTheme="majorBidi" w:hAnsiTheme="majorBidi" w:cstheme="majorBidi"/>
          <w:b/>
          <w:bCs/>
        </w:rPr>
      </w:pPr>
      <w:r w:rsidRPr="00D24ABC">
        <w:rPr>
          <w:rFonts w:asciiTheme="majorBidi" w:hAnsiTheme="majorBidi" w:cstheme="majorBidi"/>
          <w:b/>
          <w:bCs/>
        </w:rPr>
        <w:t>Functional Re-tooling of Rhizosphere Guilds Is Driven by Agricultural Management and Scion Genotype</w:t>
      </w:r>
    </w:p>
    <w:p w14:paraId="05DA2EFB" w14:textId="77777777" w:rsidR="00993B1F" w:rsidRPr="002C7519" w:rsidRDefault="00993B1F" w:rsidP="00993B1F">
      <w:pPr>
        <w:spacing w:line="276" w:lineRule="auto"/>
        <w:jc w:val="center"/>
        <w:rPr>
          <w:rFonts w:asciiTheme="majorBidi" w:hAnsiTheme="majorBidi" w:cstheme="majorBidi"/>
        </w:rPr>
      </w:pPr>
      <w:r w:rsidRPr="002C7519">
        <w:rPr>
          <w:rFonts w:asciiTheme="majorBidi" w:hAnsiTheme="majorBidi" w:cstheme="majorBidi"/>
        </w:rPr>
        <w:t>Mohammad Zarrabian</w:t>
      </w:r>
      <w:r w:rsidRPr="002C7519">
        <w:rPr>
          <w:rFonts w:asciiTheme="majorBidi" w:hAnsiTheme="majorBidi" w:cstheme="majorBidi"/>
          <w:vertAlign w:val="superscript"/>
        </w:rPr>
        <w:t>1</w:t>
      </w:r>
      <w:r w:rsidRPr="002C7519">
        <w:rPr>
          <w:rFonts w:asciiTheme="majorBidi" w:hAnsiTheme="majorBidi" w:cstheme="majorBidi"/>
        </w:rPr>
        <w:t>, Sherif M. Sherif</w:t>
      </w:r>
      <w:r w:rsidRPr="002C7519">
        <w:rPr>
          <w:rFonts w:asciiTheme="majorBidi" w:hAnsiTheme="majorBidi" w:cstheme="majorBidi"/>
          <w:vertAlign w:val="superscript"/>
        </w:rPr>
        <w:t>1*</w:t>
      </w:r>
    </w:p>
    <w:p w14:paraId="1E4901CB" w14:textId="77777777" w:rsidR="00993B1F" w:rsidRPr="002C7519" w:rsidRDefault="00993B1F" w:rsidP="00993B1F">
      <w:pPr>
        <w:spacing w:line="276" w:lineRule="auto"/>
        <w:jc w:val="both"/>
        <w:rPr>
          <w:rFonts w:asciiTheme="majorBidi" w:hAnsiTheme="majorBidi" w:cstheme="majorBidi"/>
          <w:sz w:val="20"/>
          <w:szCs w:val="20"/>
        </w:rPr>
      </w:pPr>
      <w:r w:rsidRPr="002C7519">
        <w:rPr>
          <w:rFonts w:asciiTheme="majorBidi" w:hAnsiTheme="majorBidi" w:cstheme="majorBidi"/>
          <w:sz w:val="20"/>
          <w:szCs w:val="20"/>
        </w:rPr>
        <w:t>1. Virginia Tech, School of Plant and Environmental Sciences, Alson H. Smith Jr. Agricultural Research and Extension Center, Winchester, VA, 22602, United States.</w:t>
      </w:r>
    </w:p>
    <w:p w14:paraId="71D67B78" w14:textId="77777777" w:rsidR="00993B1F" w:rsidRPr="002C7519" w:rsidRDefault="00993B1F" w:rsidP="00993B1F">
      <w:pPr>
        <w:spacing w:line="276" w:lineRule="auto"/>
        <w:jc w:val="both"/>
        <w:rPr>
          <w:rFonts w:asciiTheme="majorBidi" w:hAnsiTheme="majorBidi" w:cstheme="majorBidi"/>
          <w:sz w:val="20"/>
          <w:szCs w:val="20"/>
        </w:rPr>
      </w:pPr>
      <w:r w:rsidRPr="002C7519">
        <w:rPr>
          <w:rFonts w:asciiTheme="majorBidi" w:hAnsiTheme="majorBidi" w:cstheme="majorBidi"/>
          <w:sz w:val="20"/>
          <w:szCs w:val="20"/>
        </w:rPr>
        <w:t xml:space="preserve">* Corresponding author:  Sherif M. Sherif; E-mail address: ssherif@vt.edu; Tel: +1 (540)- 232-6035 </w:t>
      </w:r>
    </w:p>
    <w:p w14:paraId="37A78DB8" w14:textId="23BD51DC" w:rsidR="00993B1F" w:rsidRDefault="00993B1F">
      <w:pPr>
        <w:rPr>
          <w:noProof/>
        </w:rPr>
      </w:pPr>
    </w:p>
    <w:p w14:paraId="3580F845" w14:textId="77777777" w:rsidR="00993B1F" w:rsidRDefault="00993B1F">
      <w:pPr>
        <w:rPr>
          <w:noProof/>
        </w:rPr>
      </w:pPr>
    </w:p>
    <w:p w14:paraId="21EF024C" w14:textId="77777777" w:rsidR="00993B1F" w:rsidRDefault="00993B1F">
      <w:pPr>
        <w:rPr>
          <w:noProof/>
        </w:rPr>
      </w:pPr>
    </w:p>
    <w:p w14:paraId="1E5CDF28" w14:textId="77777777" w:rsidR="00993B1F" w:rsidRDefault="00993B1F">
      <w:pPr>
        <w:rPr>
          <w:noProof/>
        </w:rPr>
      </w:pPr>
    </w:p>
    <w:p w14:paraId="02476315" w14:textId="77777777" w:rsidR="00993B1F" w:rsidRDefault="00993B1F">
      <w:pPr>
        <w:rPr>
          <w:noProof/>
        </w:rPr>
      </w:pPr>
    </w:p>
    <w:p w14:paraId="2218D0EC" w14:textId="77777777" w:rsidR="00993B1F" w:rsidRDefault="00993B1F">
      <w:pPr>
        <w:rPr>
          <w:noProof/>
        </w:rPr>
      </w:pPr>
    </w:p>
    <w:p w14:paraId="653BA8E4" w14:textId="77777777" w:rsidR="00993B1F" w:rsidRDefault="00993B1F">
      <w:pPr>
        <w:rPr>
          <w:noProof/>
        </w:rPr>
      </w:pPr>
    </w:p>
    <w:p w14:paraId="56AA4722" w14:textId="77777777" w:rsidR="00993B1F" w:rsidRDefault="00993B1F">
      <w:pPr>
        <w:rPr>
          <w:noProof/>
        </w:rPr>
      </w:pPr>
    </w:p>
    <w:p w14:paraId="56EF4378" w14:textId="77777777" w:rsidR="00993B1F" w:rsidRDefault="00993B1F">
      <w:pPr>
        <w:rPr>
          <w:noProof/>
        </w:rPr>
      </w:pPr>
    </w:p>
    <w:p w14:paraId="6F498D13" w14:textId="77777777" w:rsidR="00993B1F" w:rsidRDefault="00993B1F">
      <w:pPr>
        <w:rPr>
          <w:noProof/>
        </w:rPr>
      </w:pPr>
    </w:p>
    <w:p w14:paraId="2ACA6897" w14:textId="77777777" w:rsidR="00993B1F" w:rsidRDefault="00993B1F">
      <w:pPr>
        <w:rPr>
          <w:noProof/>
        </w:rPr>
      </w:pPr>
    </w:p>
    <w:p w14:paraId="5B087644" w14:textId="77777777" w:rsidR="00993B1F" w:rsidRDefault="00993B1F">
      <w:pPr>
        <w:rPr>
          <w:noProof/>
        </w:rPr>
      </w:pPr>
    </w:p>
    <w:p w14:paraId="11AD3A70" w14:textId="77777777" w:rsidR="00993B1F" w:rsidRDefault="00993B1F">
      <w:pPr>
        <w:rPr>
          <w:noProof/>
        </w:rPr>
      </w:pPr>
    </w:p>
    <w:p w14:paraId="62CE92DB" w14:textId="77777777" w:rsidR="00993B1F" w:rsidRDefault="00993B1F">
      <w:pPr>
        <w:rPr>
          <w:noProof/>
        </w:rPr>
      </w:pPr>
    </w:p>
    <w:p w14:paraId="0EB73078" w14:textId="3DA7A0BF" w:rsidR="009D6F13" w:rsidRDefault="006D5904">
      <w:pPr>
        <w:rPr>
          <w:noProof/>
        </w:rPr>
      </w:pPr>
      <w:r>
        <w:rPr>
          <w:noProof/>
        </w:rPr>
        <w:lastRenderedPageBreak/>
        <w:drawing>
          <wp:inline distT="0" distB="0" distL="0" distR="0" wp14:anchorId="2CABEAC8" wp14:editId="579C82D9">
            <wp:extent cx="5943600" cy="2875915"/>
            <wp:effectExtent l="0" t="0" r="0" b="635"/>
            <wp:docPr id="3012347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2875915"/>
                    </a:xfrm>
                    <a:prstGeom prst="rect">
                      <a:avLst/>
                    </a:prstGeom>
                    <a:noFill/>
                    <a:ln>
                      <a:noFill/>
                    </a:ln>
                  </pic:spPr>
                </pic:pic>
              </a:graphicData>
            </a:graphic>
          </wp:inline>
        </w:drawing>
      </w:r>
    </w:p>
    <w:p w14:paraId="53942849" w14:textId="2F7AEA5E" w:rsidR="00993B1F" w:rsidRPr="00993B1F" w:rsidRDefault="006D5904" w:rsidP="00993B1F">
      <w:pPr>
        <w:jc w:val="both"/>
        <w:rPr>
          <w:rFonts w:asciiTheme="majorBidi" w:hAnsiTheme="majorBidi" w:cstheme="majorBidi"/>
        </w:rPr>
      </w:pPr>
      <w:r w:rsidRPr="00993B1F">
        <w:rPr>
          <w:rFonts w:asciiTheme="majorBidi" w:hAnsiTheme="majorBidi" w:cstheme="majorBidi"/>
        </w:rPr>
        <w:t>Fig</w:t>
      </w:r>
      <w:r w:rsidR="003963BA">
        <w:rPr>
          <w:rFonts w:asciiTheme="majorBidi" w:hAnsiTheme="majorBidi" w:cstheme="majorBidi"/>
        </w:rPr>
        <w:t>.</w:t>
      </w:r>
      <w:r w:rsidRPr="00993B1F">
        <w:rPr>
          <w:rFonts w:asciiTheme="majorBidi" w:hAnsiTheme="majorBidi" w:cstheme="majorBidi"/>
        </w:rPr>
        <w:t xml:space="preserve"> S</w:t>
      </w:r>
      <w:r w:rsidR="003963BA">
        <w:rPr>
          <w:rFonts w:asciiTheme="majorBidi" w:hAnsiTheme="majorBidi" w:cstheme="majorBidi"/>
        </w:rPr>
        <w:t>1</w:t>
      </w:r>
      <w:r w:rsidRPr="00993B1F">
        <w:rPr>
          <w:rFonts w:asciiTheme="majorBidi" w:hAnsiTheme="majorBidi" w:cstheme="majorBidi"/>
        </w:rPr>
        <w:t xml:space="preserve"> </w:t>
      </w:r>
      <w:r w:rsidR="00993B1F" w:rsidRPr="00993B1F">
        <w:rPr>
          <w:rFonts w:asciiTheme="majorBidi" w:hAnsiTheme="majorBidi" w:cstheme="majorBidi"/>
        </w:rPr>
        <w:t xml:space="preserve">Rarefaction curves for bacterial and fungal communities. The plots show sample-based rarefaction curves for (A) bacterial (16S) and (B) fungal (ITS) communities. The y-axis represents the number of observed </w:t>
      </w:r>
      <w:r w:rsidR="00993B1F">
        <w:rPr>
          <w:rFonts w:asciiTheme="majorBidi" w:hAnsiTheme="majorBidi" w:cstheme="majorBidi"/>
        </w:rPr>
        <w:t>s</w:t>
      </w:r>
      <w:r w:rsidR="00993B1F" w:rsidRPr="00993B1F">
        <w:rPr>
          <w:rFonts w:asciiTheme="majorBidi" w:hAnsiTheme="majorBidi" w:cstheme="majorBidi"/>
        </w:rPr>
        <w:t xml:space="preserve">pecies (ASVs), and the x-axis represents the sequencing depth (sample size). Each line represents an individual sample (n=15 for each plot). The clear approach of all curves toward an asymptote indicates that the sequencing depth was sufficient to capture </w:t>
      </w:r>
      <w:proofErr w:type="gramStart"/>
      <w:r w:rsidR="00993B1F" w:rsidRPr="00993B1F">
        <w:rPr>
          <w:rFonts w:asciiTheme="majorBidi" w:hAnsiTheme="majorBidi" w:cstheme="majorBidi"/>
        </w:rPr>
        <w:t>the vast majority of</w:t>
      </w:r>
      <w:proofErr w:type="gramEnd"/>
      <w:r w:rsidR="00993B1F" w:rsidRPr="00993B1F">
        <w:rPr>
          <w:rFonts w:asciiTheme="majorBidi" w:hAnsiTheme="majorBidi" w:cstheme="majorBidi"/>
        </w:rPr>
        <w:t xml:space="preserve"> microbial richness within each sample.</w:t>
      </w:r>
    </w:p>
    <w:p w14:paraId="0C323BFC" w14:textId="75DA4877" w:rsidR="006D5904" w:rsidRDefault="006D5904" w:rsidP="006D5904">
      <w:pPr>
        <w:ind w:firstLine="720"/>
        <w:rPr>
          <w:rFonts w:asciiTheme="majorBidi" w:hAnsiTheme="majorBidi" w:cstheme="majorBidi"/>
        </w:rPr>
      </w:pPr>
    </w:p>
    <w:p w14:paraId="12DDC015" w14:textId="6B2DDFA1" w:rsidR="00422A89" w:rsidRDefault="005C4148" w:rsidP="00D138C1">
      <w:pPr>
        <w:jc w:val="center"/>
        <w:rPr>
          <w:noProof/>
        </w:rPr>
      </w:pPr>
      <w:r>
        <w:rPr>
          <w:noProof/>
        </w:rPr>
        <w:lastRenderedPageBreak/>
        <w:drawing>
          <wp:inline distT="0" distB="0" distL="0" distR="0" wp14:anchorId="1F4D9AD4" wp14:editId="6B729668">
            <wp:extent cx="5943600" cy="3851910"/>
            <wp:effectExtent l="0" t="0" r="0" b="0"/>
            <wp:docPr id="3933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3851910"/>
                    </a:xfrm>
                    <a:prstGeom prst="rect">
                      <a:avLst/>
                    </a:prstGeom>
                    <a:noFill/>
                    <a:ln>
                      <a:noFill/>
                    </a:ln>
                  </pic:spPr>
                </pic:pic>
              </a:graphicData>
            </a:graphic>
          </wp:inline>
        </w:drawing>
      </w:r>
    </w:p>
    <w:p w14:paraId="2F20ADFA" w14:textId="2EC63F50" w:rsidR="00E75B28" w:rsidRPr="00E75B28" w:rsidRDefault="00D138C1" w:rsidP="00466C80">
      <w:pPr>
        <w:jc w:val="both"/>
        <w:rPr>
          <w:rFonts w:asciiTheme="majorBidi" w:hAnsiTheme="majorBidi" w:cstheme="majorBidi"/>
        </w:rPr>
      </w:pPr>
      <w:r w:rsidRPr="00466C80">
        <w:rPr>
          <w:rFonts w:asciiTheme="majorBidi" w:hAnsiTheme="majorBidi" w:cstheme="majorBidi"/>
        </w:rPr>
        <w:t>Fig</w:t>
      </w:r>
      <w:r w:rsidR="003963BA">
        <w:rPr>
          <w:rFonts w:asciiTheme="majorBidi" w:hAnsiTheme="majorBidi" w:cstheme="majorBidi"/>
        </w:rPr>
        <w:t>.</w:t>
      </w:r>
      <w:r w:rsidRPr="00466C80">
        <w:rPr>
          <w:rFonts w:asciiTheme="majorBidi" w:hAnsiTheme="majorBidi" w:cstheme="majorBidi"/>
        </w:rPr>
        <w:t xml:space="preserve"> S2 </w:t>
      </w:r>
      <w:r w:rsidR="00ED150D" w:rsidRPr="00466C80">
        <w:rPr>
          <w:rFonts w:asciiTheme="majorBidi" w:hAnsiTheme="majorBidi" w:cstheme="majorBidi"/>
        </w:rPr>
        <w:t xml:space="preserve">Total microbial richness (ASV count) across management systems and treatment groups. </w:t>
      </w:r>
      <w:r w:rsidR="00E75B28" w:rsidRPr="00E75B28">
        <w:rPr>
          <w:rFonts w:asciiTheme="majorBidi" w:hAnsiTheme="majorBidi" w:cstheme="majorBidi"/>
        </w:rPr>
        <w:t>Bar plots show the total number of Amplicon Sequence Variants (ASVs) for (A) Bacteria and (B) Fungi, pooled at different levels. The numbers above each bar indicate the ASV count.</w:t>
      </w:r>
      <w:r w:rsidR="00466C80" w:rsidRPr="00466C80">
        <w:rPr>
          <w:rFonts w:asciiTheme="majorBidi" w:hAnsiTheme="majorBidi" w:cstheme="majorBidi"/>
        </w:rPr>
        <w:t xml:space="preserve"> </w:t>
      </w:r>
      <w:r w:rsidR="00E75B28" w:rsidRPr="00E75B28">
        <w:rPr>
          <w:rFonts w:asciiTheme="majorBidi" w:hAnsiTheme="majorBidi" w:cstheme="majorBidi"/>
        </w:rPr>
        <w:t>The Total</w:t>
      </w:r>
      <w:r w:rsidR="00175D6A" w:rsidRPr="00466C80">
        <w:rPr>
          <w:rFonts w:asciiTheme="majorBidi" w:hAnsiTheme="majorBidi" w:cstheme="majorBidi"/>
        </w:rPr>
        <w:t xml:space="preserve"> </w:t>
      </w:r>
      <w:r w:rsidR="00E75B28" w:rsidRPr="00E75B28">
        <w:rPr>
          <w:rFonts w:asciiTheme="majorBidi" w:hAnsiTheme="majorBidi" w:cstheme="majorBidi"/>
        </w:rPr>
        <w:t>bar represents all ASVs found across all 15 samples (all 5 treatment groups).</w:t>
      </w:r>
      <w:r w:rsidR="00466C80" w:rsidRPr="00466C80">
        <w:rPr>
          <w:rFonts w:asciiTheme="majorBidi" w:hAnsiTheme="majorBidi" w:cstheme="majorBidi"/>
        </w:rPr>
        <w:t xml:space="preserve"> </w:t>
      </w:r>
      <w:r w:rsidR="00E75B28" w:rsidRPr="00E75B28">
        <w:rPr>
          <w:rFonts w:asciiTheme="majorBidi" w:hAnsiTheme="majorBidi" w:cstheme="majorBidi"/>
        </w:rPr>
        <w:t xml:space="preserve">The Organic (n=6) and Conventional (n=6) bars represent the pooled ASVs from the 12-sample subset (Liberty and Enterprise scions on MM.111 rootstock only). This is the valid, </w:t>
      </w:r>
      <w:r w:rsidR="009668AA">
        <w:rPr>
          <w:rFonts w:asciiTheme="majorBidi" w:hAnsiTheme="majorBidi" w:cstheme="majorBidi"/>
        </w:rPr>
        <w:t>unconfounded</w:t>
      </w:r>
      <w:r w:rsidR="00E75B28" w:rsidRPr="00E75B28">
        <w:rPr>
          <w:rFonts w:asciiTheme="majorBidi" w:hAnsiTheme="majorBidi" w:cstheme="majorBidi"/>
        </w:rPr>
        <w:t xml:space="preserve"> management comparison.</w:t>
      </w:r>
      <w:r w:rsidR="00466C80" w:rsidRPr="00466C80">
        <w:rPr>
          <w:rFonts w:asciiTheme="majorBidi" w:hAnsiTheme="majorBidi" w:cstheme="majorBidi"/>
        </w:rPr>
        <w:t xml:space="preserve"> </w:t>
      </w:r>
      <w:r w:rsidR="00E75B28" w:rsidRPr="00E75B28">
        <w:rPr>
          <w:rFonts w:asciiTheme="majorBidi" w:hAnsiTheme="majorBidi" w:cstheme="majorBidi"/>
        </w:rPr>
        <w:t>The five individual bars show the pooled ASVs for each respective treatment group, including the confounded Conventional</w:t>
      </w:r>
      <w:r w:rsidR="00466C80" w:rsidRPr="00466C80">
        <w:rPr>
          <w:rFonts w:asciiTheme="majorBidi" w:hAnsiTheme="majorBidi" w:cstheme="majorBidi"/>
        </w:rPr>
        <w:t xml:space="preserve"> </w:t>
      </w:r>
      <w:r w:rsidR="00E75B28" w:rsidRPr="00E75B28">
        <w:rPr>
          <w:rFonts w:asciiTheme="majorBidi" w:hAnsiTheme="majorBidi" w:cstheme="majorBidi"/>
        </w:rPr>
        <w:t>X6398 group (G210 rootstock).</w:t>
      </w:r>
    </w:p>
    <w:p w14:paraId="536EA8D6" w14:textId="64A4EF01" w:rsidR="00D138C1" w:rsidRDefault="00D138C1" w:rsidP="00ED150D">
      <w:pPr>
        <w:rPr>
          <w:rFonts w:asciiTheme="majorBidi" w:hAnsiTheme="majorBidi" w:cstheme="majorBidi"/>
        </w:rPr>
      </w:pPr>
    </w:p>
    <w:p w14:paraId="27D5E2E8" w14:textId="77777777" w:rsidR="00D138C1" w:rsidRDefault="00D138C1" w:rsidP="00D138C1">
      <w:pPr>
        <w:rPr>
          <w:rFonts w:asciiTheme="majorBidi" w:hAnsiTheme="majorBidi" w:cstheme="majorBidi"/>
        </w:rPr>
      </w:pPr>
    </w:p>
    <w:p w14:paraId="4F8CD0E7" w14:textId="42C9929C" w:rsidR="009D203B" w:rsidRDefault="009D203B" w:rsidP="00D138C1">
      <w:pPr>
        <w:rPr>
          <w:rFonts w:asciiTheme="majorBidi" w:hAnsiTheme="majorBidi" w:cstheme="majorBidi"/>
        </w:rPr>
      </w:pPr>
      <w:r w:rsidRPr="009D203B">
        <w:rPr>
          <w:rFonts w:asciiTheme="majorBidi" w:hAnsiTheme="majorBidi" w:cstheme="majorBidi"/>
          <w:noProof/>
        </w:rPr>
        <w:lastRenderedPageBreak/>
        <w:drawing>
          <wp:inline distT="0" distB="0" distL="0" distR="0" wp14:anchorId="20C913CB" wp14:editId="3932A7B0">
            <wp:extent cx="5943600" cy="2943225"/>
            <wp:effectExtent l="0" t="0" r="0" b="9525"/>
            <wp:docPr id="20355447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2943225"/>
                    </a:xfrm>
                    <a:prstGeom prst="rect">
                      <a:avLst/>
                    </a:prstGeom>
                    <a:noFill/>
                    <a:ln>
                      <a:noFill/>
                    </a:ln>
                  </pic:spPr>
                </pic:pic>
              </a:graphicData>
            </a:graphic>
          </wp:inline>
        </w:drawing>
      </w:r>
    </w:p>
    <w:p w14:paraId="3CA7DCCA" w14:textId="19CD278A" w:rsidR="00D138C1" w:rsidRDefault="0092119B" w:rsidP="00225B00">
      <w:pPr>
        <w:rPr>
          <w:rFonts w:asciiTheme="majorBidi" w:hAnsiTheme="majorBidi" w:cstheme="majorBidi"/>
        </w:rPr>
      </w:pPr>
      <w:r w:rsidRPr="00466C80">
        <w:rPr>
          <w:rFonts w:asciiTheme="majorBidi" w:hAnsiTheme="majorBidi" w:cstheme="majorBidi"/>
        </w:rPr>
        <w:t>Fig</w:t>
      </w:r>
      <w:r w:rsidR="003963BA">
        <w:rPr>
          <w:rFonts w:asciiTheme="majorBidi" w:hAnsiTheme="majorBidi" w:cstheme="majorBidi"/>
        </w:rPr>
        <w:t>.</w:t>
      </w:r>
      <w:r w:rsidRPr="00466C80">
        <w:rPr>
          <w:rFonts w:asciiTheme="majorBidi" w:hAnsiTheme="majorBidi" w:cstheme="majorBidi"/>
        </w:rPr>
        <w:t xml:space="preserve"> S</w:t>
      </w:r>
      <w:r w:rsidR="003963BA">
        <w:rPr>
          <w:rFonts w:asciiTheme="majorBidi" w:hAnsiTheme="majorBidi" w:cstheme="majorBidi"/>
        </w:rPr>
        <w:t>3</w:t>
      </w:r>
      <w:r w:rsidRPr="00466C80">
        <w:rPr>
          <w:rFonts w:asciiTheme="majorBidi" w:hAnsiTheme="majorBidi" w:cstheme="majorBidi"/>
        </w:rPr>
        <w:t xml:space="preserve"> </w:t>
      </w:r>
      <w:r w:rsidR="00225B00" w:rsidRPr="00225B00">
        <w:rPr>
          <w:rFonts w:asciiTheme="majorBidi" w:hAnsiTheme="majorBidi" w:cstheme="majorBidi"/>
        </w:rPr>
        <w:t>Separation of soil microbial communities by scion-rootstock combinations under Conventional management.</w:t>
      </w:r>
      <w:r w:rsidR="00225B00">
        <w:rPr>
          <w:rFonts w:asciiTheme="majorBidi" w:hAnsiTheme="majorBidi" w:cstheme="majorBidi"/>
        </w:rPr>
        <w:t xml:space="preserve"> </w:t>
      </w:r>
      <w:r w:rsidR="00225B00" w:rsidRPr="00225B00">
        <w:rPr>
          <w:rFonts w:asciiTheme="majorBidi" w:hAnsiTheme="majorBidi" w:cstheme="majorBidi"/>
        </w:rPr>
        <w:t>Principal Coordinates Analysis (PCoA) plots display the Bray-Curtis dissimilarity between samples. The figure compares two scions on MM.111 rootstock (Enterprise and Liberty) versus the X6398 combination on G.20 rootstock within the conventional orchard system.</w:t>
      </w:r>
      <w:r w:rsidR="00225B00">
        <w:rPr>
          <w:rFonts w:asciiTheme="majorBidi" w:hAnsiTheme="majorBidi" w:cstheme="majorBidi"/>
        </w:rPr>
        <w:t xml:space="preserve"> </w:t>
      </w:r>
      <w:r w:rsidR="00225B00" w:rsidRPr="00225B00">
        <w:rPr>
          <w:rFonts w:asciiTheme="majorBidi" w:hAnsiTheme="majorBidi" w:cstheme="majorBidi"/>
        </w:rPr>
        <w:t xml:space="preserve">(A) Bacterial Community. (B) Fungal Community. </w:t>
      </w:r>
    </w:p>
    <w:p w14:paraId="12DECC61" w14:textId="06F2696E" w:rsidR="00D138C1" w:rsidRDefault="0016177D" w:rsidP="0016177D">
      <w:pPr>
        <w:jc w:val="center"/>
        <w:rPr>
          <w:rFonts w:asciiTheme="majorBidi" w:hAnsiTheme="majorBidi" w:cstheme="majorBidi"/>
        </w:rPr>
      </w:pPr>
      <w:r>
        <w:rPr>
          <w:noProof/>
        </w:rPr>
        <w:lastRenderedPageBreak/>
        <w:drawing>
          <wp:inline distT="0" distB="0" distL="0" distR="0" wp14:anchorId="1CA1D6D7" wp14:editId="7D7329C6">
            <wp:extent cx="4461003" cy="6435285"/>
            <wp:effectExtent l="0" t="0" r="0" b="3810"/>
            <wp:docPr id="1761156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64580" cy="6440445"/>
                    </a:xfrm>
                    <a:prstGeom prst="rect">
                      <a:avLst/>
                    </a:prstGeom>
                    <a:noFill/>
                    <a:ln>
                      <a:noFill/>
                    </a:ln>
                  </pic:spPr>
                </pic:pic>
              </a:graphicData>
            </a:graphic>
          </wp:inline>
        </w:drawing>
      </w:r>
    </w:p>
    <w:p w14:paraId="360435E0" w14:textId="5B77E3BA" w:rsidR="0016177D" w:rsidRDefault="0016177D" w:rsidP="00032398">
      <w:pPr>
        <w:tabs>
          <w:tab w:val="left" w:pos="1124"/>
        </w:tabs>
        <w:jc w:val="both"/>
        <w:rPr>
          <w:rFonts w:asciiTheme="majorBidi" w:hAnsiTheme="majorBidi" w:cstheme="majorBidi"/>
        </w:rPr>
      </w:pPr>
      <w:r w:rsidRPr="008F4603">
        <w:rPr>
          <w:rFonts w:asciiTheme="majorBidi" w:hAnsiTheme="majorBidi" w:cstheme="majorBidi"/>
        </w:rPr>
        <w:t xml:space="preserve">Fig </w:t>
      </w:r>
      <w:r w:rsidR="00E41A85" w:rsidRPr="008F4603">
        <w:rPr>
          <w:rFonts w:asciiTheme="majorBidi" w:hAnsiTheme="majorBidi" w:cstheme="majorBidi"/>
        </w:rPr>
        <w:t>S</w:t>
      </w:r>
      <w:r w:rsidR="00DD20A0">
        <w:rPr>
          <w:rFonts w:asciiTheme="majorBidi" w:hAnsiTheme="majorBidi" w:cstheme="majorBidi"/>
        </w:rPr>
        <w:t>4</w:t>
      </w:r>
      <w:r w:rsidR="003963BA">
        <w:rPr>
          <w:rFonts w:asciiTheme="majorBidi" w:hAnsiTheme="majorBidi" w:cstheme="majorBidi"/>
        </w:rPr>
        <w:t>.</w:t>
      </w:r>
      <w:r w:rsidR="008F4603" w:rsidRPr="008F4603">
        <w:rPr>
          <w:rFonts w:ascii="Times New Roman" w:eastAsia="Times New Roman" w:hAnsi="Times New Roman" w:cs="Times New Roman"/>
          <w:kern w:val="0"/>
          <w14:ligatures w14:val="none"/>
        </w:rPr>
        <w:t xml:space="preserve"> </w:t>
      </w:r>
      <w:r w:rsidR="008F4603" w:rsidRPr="008F4603">
        <w:rPr>
          <w:rFonts w:asciiTheme="majorBidi" w:hAnsiTheme="majorBidi" w:cstheme="majorBidi"/>
        </w:rPr>
        <w:t xml:space="preserve">Biomarker taxa differentially abundant between management systems identified by LEfSe. </w:t>
      </w:r>
      <w:r w:rsidR="003138F0">
        <w:rPr>
          <w:rFonts w:asciiTheme="majorBidi" w:hAnsiTheme="majorBidi" w:cstheme="majorBidi"/>
        </w:rPr>
        <w:t xml:space="preserve">The analysis was </w:t>
      </w:r>
      <w:r w:rsidR="00550DB6">
        <w:rPr>
          <w:rFonts w:asciiTheme="majorBidi" w:hAnsiTheme="majorBidi" w:cstheme="majorBidi"/>
        </w:rPr>
        <w:t>based</w:t>
      </w:r>
      <w:r w:rsidR="003138F0">
        <w:rPr>
          <w:rFonts w:asciiTheme="majorBidi" w:hAnsiTheme="majorBidi" w:cstheme="majorBidi"/>
        </w:rPr>
        <w:t xml:space="preserve"> on the </w:t>
      </w:r>
      <w:r w:rsidR="00550DB6">
        <w:rPr>
          <w:rFonts w:asciiTheme="majorBidi" w:hAnsiTheme="majorBidi" w:cstheme="majorBidi"/>
        </w:rPr>
        <w:t>12-sub</w:t>
      </w:r>
      <w:r w:rsidR="003138F0">
        <w:rPr>
          <w:rFonts w:asciiTheme="majorBidi" w:hAnsiTheme="majorBidi" w:cstheme="majorBidi"/>
        </w:rPr>
        <w:t xml:space="preserve"> sample </w:t>
      </w:r>
      <w:r w:rsidR="00550DB6">
        <w:rPr>
          <w:rFonts w:asciiTheme="majorBidi" w:hAnsiTheme="majorBidi" w:cstheme="majorBidi"/>
        </w:rPr>
        <w:t>containing the Liberty and Enterprise in both framing systems</w:t>
      </w:r>
      <w:r w:rsidR="0092119B">
        <w:rPr>
          <w:rFonts w:asciiTheme="majorBidi" w:hAnsiTheme="majorBidi" w:cstheme="majorBidi"/>
        </w:rPr>
        <w:t>,</w:t>
      </w:r>
      <w:r w:rsidR="00550DB6">
        <w:rPr>
          <w:rFonts w:asciiTheme="majorBidi" w:hAnsiTheme="majorBidi" w:cstheme="majorBidi"/>
        </w:rPr>
        <w:t xml:space="preserve"> excluding X6398. </w:t>
      </w:r>
      <w:r w:rsidR="008F4603" w:rsidRPr="008F4603">
        <w:rPr>
          <w:rFonts w:asciiTheme="majorBidi" w:hAnsiTheme="majorBidi" w:cstheme="majorBidi"/>
        </w:rPr>
        <w:t xml:space="preserve">Plots show the results of a Linear discriminant analysis Effect Size (LEfSe) analysis comparing </w:t>
      </w:r>
      <w:r w:rsidR="008F4603">
        <w:rPr>
          <w:rFonts w:asciiTheme="majorBidi" w:hAnsiTheme="majorBidi" w:cstheme="majorBidi"/>
        </w:rPr>
        <w:t>o</w:t>
      </w:r>
      <w:r w:rsidR="008F4603" w:rsidRPr="008F4603">
        <w:rPr>
          <w:rFonts w:asciiTheme="majorBidi" w:hAnsiTheme="majorBidi" w:cstheme="majorBidi"/>
        </w:rPr>
        <w:t xml:space="preserve">rganic (green) and </w:t>
      </w:r>
      <w:r w:rsidR="008F4603">
        <w:rPr>
          <w:rFonts w:asciiTheme="majorBidi" w:hAnsiTheme="majorBidi" w:cstheme="majorBidi"/>
        </w:rPr>
        <w:t>c</w:t>
      </w:r>
      <w:r w:rsidR="008F4603" w:rsidRPr="008F4603">
        <w:rPr>
          <w:rFonts w:asciiTheme="majorBidi" w:hAnsiTheme="majorBidi" w:cstheme="majorBidi"/>
        </w:rPr>
        <w:t xml:space="preserve">onventional (red) management systems for (A) bacterial and (B) fungal communities. The length of the bar represents the LDA Score (log10), indicating the effect size of each taxon as a statistically significant biomarker. Taxa are considered significant biomarkers if their LDA score is &gt; </w:t>
      </w:r>
      <w:r w:rsidR="00032398" w:rsidRPr="00032398">
        <w:rPr>
          <w:rFonts w:asciiTheme="majorBidi" w:hAnsiTheme="majorBidi" w:cstheme="majorBidi"/>
        </w:rPr>
        <w:t>2.0.</w:t>
      </w:r>
      <w:r w:rsidR="00032398">
        <w:rPr>
          <w:rFonts w:asciiTheme="majorBidi" w:hAnsiTheme="majorBidi" w:cstheme="majorBidi"/>
          <w:b/>
          <w:bCs/>
        </w:rPr>
        <w:t xml:space="preserve"> </w:t>
      </w:r>
    </w:p>
    <w:p w14:paraId="388A7DA0" w14:textId="77777777" w:rsidR="00801E34" w:rsidRDefault="00801E34" w:rsidP="0016177D">
      <w:pPr>
        <w:tabs>
          <w:tab w:val="left" w:pos="1124"/>
        </w:tabs>
        <w:rPr>
          <w:rFonts w:asciiTheme="majorBidi" w:hAnsiTheme="majorBidi" w:cstheme="majorBidi"/>
        </w:rPr>
      </w:pPr>
    </w:p>
    <w:p w14:paraId="557C3ACE" w14:textId="77777777" w:rsidR="00801E34" w:rsidRDefault="00801E34" w:rsidP="0016177D">
      <w:pPr>
        <w:tabs>
          <w:tab w:val="left" w:pos="1124"/>
        </w:tabs>
        <w:rPr>
          <w:rFonts w:asciiTheme="majorBidi" w:hAnsiTheme="majorBidi" w:cstheme="majorBidi"/>
        </w:rPr>
      </w:pPr>
    </w:p>
    <w:p w14:paraId="15A25EC5" w14:textId="77777777" w:rsidR="00801E34" w:rsidRDefault="00801E34" w:rsidP="0016177D">
      <w:pPr>
        <w:tabs>
          <w:tab w:val="left" w:pos="1124"/>
        </w:tabs>
        <w:rPr>
          <w:rFonts w:asciiTheme="majorBidi" w:hAnsiTheme="majorBidi" w:cstheme="majorBidi"/>
        </w:rPr>
      </w:pPr>
    </w:p>
    <w:p w14:paraId="5CD8CB49" w14:textId="77AFBEA6" w:rsidR="00801E34" w:rsidRDefault="006F4AA0" w:rsidP="0016177D">
      <w:pPr>
        <w:tabs>
          <w:tab w:val="left" w:pos="1124"/>
        </w:tabs>
        <w:rPr>
          <w:rFonts w:asciiTheme="majorBidi" w:hAnsiTheme="majorBidi" w:cstheme="majorBidi"/>
        </w:rPr>
      </w:pPr>
      <w:r w:rsidRPr="006F4AA0">
        <w:rPr>
          <w:rFonts w:asciiTheme="majorBidi" w:hAnsiTheme="majorBidi" w:cstheme="majorBidi"/>
          <w:noProof/>
        </w:rPr>
        <w:drawing>
          <wp:inline distT="0" distB="0" distL="0" distR="0" wp14:anchorId="37439D04" wp14:editId="2A53B6CD">
            <wp:extent cx="5943600" cy="4323715"/>
            <wp:effectExtent l="0" t="0" r="0" b="635"/>
            <wp:docPr id="791798251" name="Picture 1" descr="A close-up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798251" name="Picture 1" descr="A close-up of a graph&#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4323715"/>
                    </a:xfrm>
                    <a:prstGeom prst="rect">
                      <a:avLst/>
                    </a:prstGeom>
                    <a:noFill/>
                    <a:ln>
                      <a:noFill/>
                    </a:ln>
                  </pic:spPr>
                </pic:pic>
              </a:graphicData>
            </a:graphic>
          </wp:inline>
        </w:drawing>
      </w:r>
    </w:p>
    <w:p w14:paraId="2EB004E1" w14:textId="08F30BB1" w:rsidR="00032398" w:rsidRPr="00032398" w:rsidRDefault="00801E34" w:rsidP="009F055D">
      <w:pPr>
        <w:tabs>
          <w:tab w:val="left" w:pos="1124"/>
        </w:tabs>
        <w:jc w:val="both"/>
        <w:rPr>
          <w:rFonts w:asciiTheme="majorBidi" w:hAnsiTheme="majorBidi" w:cstheme="majorBidi"/>
        </w:rPr>
      </w:pPr>
      <w:r>
        <w:rPr>
          <w:rFonts w:asciiTheme="majorBidi" w:hAnsiTheme="majorBidi" w:cstheme="majorBidi"/>
        </w:rPr>
        <w:t>Fig S</w:t>
      </w:r>
      <w:r w:rsidR="00CB6320">
        <w:rPr>
          <w:rFonts w:asciiTheme="majorBidi" w:hAnsiTheme="majorBidi" w:cstheme="majorBidi"/>
        </w:rPr>
        <w:t>5</w:t>
      </w:r>
      <w:r w:rsidR="003963BA">
        <w:rPr>
          <w:rFonts w:asciiTheme="majorBidi" w:hAnsiTheme="majorBidi" w:cstheme="majorBidi"/>
        </w:rPr>
        <w:t>.</w:t>
      </w:r>
      <w:r w:rsidR="00032398" w:rsidRPr="00032398">
        <w:rPr>
          <w:rFonts w:asciiTheme="majorBidi" w:hAnsiTheme="majorBidi" w:cstheme="majorBidi"/>
        </w:rPr>
        <w:t xml:space="preserve"> Heatmap of predicted bacterial functional profiles (FAPROTAX). The heatmap illustrates the relative abundance (Z-score) of predicted bacterial functions across all 1</w:t>
      </w:r>
      <w:r w:rsidR="00550DB6">
        <w:rPr>
          <w:rFonts w:asciiTheme="majorBidi" w:hAnsiTheme="majorBidi" w:cstheme="majorBidi"/>
        </w:rPr>
        <w:t>2</w:t>
      </w:r>
      <w:r w:rsidR="00032398" w:rsidRPr="00032398">
        <w:rPr>
          <w:rFonts w:asciiTheme="majorBidi" w:hAnsiTheme="majorBidi" w:cstheme="majorBidi"/>
        </w:rPr>
        <w:t xml:space="preserve"> samples</w:t>
      </w:r>
      <w:r w:rsidR="0092119B">
        <w:rPr>
          <w:rFonts w:asciiTheme="majorBidi" w:hAnsiTheme="majorBidi" w:cstheme="majorBidi"/>
        </w:rPr>
        <w:t>,</w:t>
      </w:r>
      <w:r w:rsidR="00550DB6">
        <w:rPr>
          <w:rFonts w:asciiTheme="majorBidi" w:hAnsiTheme="majorBidi" w:cstheme="majorBidi"/>
        </w:rPr>
        <w:t xml:space="preserve"> excluding X6398.</w:t>
      </w:r>
      <w:r w:rsidR="00032398" w:rsidRPr="00032398">
        <w:rPr>
          <w:rFonts w:asciiTheme="majorBidi" w:hAnsiTheme="majorBidi" w:cstheme="majorBidi"/>
        </w:rPr>
        <w:t xml:space="preserve"> Functions (rows) and samples (columns) are clustered using hierarchical clustering based on Euclidean distance. Red cells indicate a higher relative abundance of a specific function compared to the mean, while blue cells indicate a lower relative abundance. </w:t>
      </w:r>
    </w:p>
    <w:p w14:paraId="3B751DE7" w14:textId="31B7ED9A" w:rsidR="00801E34" w:rsidRDefault="00801E34" w:rsidP="0016177D">
      <w:pPr>
        <w:tabs>
          <w:tab w:val="left" w:pos="1124"/>
        </w:tabs>
        <w:rPr>
          <w:rFonts w:asciiTheme="majorBidi" w:hAnsiTheme="majorBidi" w:cstheme="majorBidi"/>
        </w:rPr>
      </w:pPr>
    </w:p>
    <w:p w14:paraId="3F18A93B" w14:textId="1DB94F38" w:rsidR="001B16A2" w:rsidRDefault="00406777" w:rsidP="0016177D">
      <w:pPr>
        <w:tabs>
          <w:tab w:val="left" w:pos="1124"/>
        </w:tabs>
        <w:rPr>
          <w:rFonts w:asciiTheme="majorBidi" w:hAnsiTheme="majorBidi" w:cstheme="majorBidi"/>
        </w:rPr>
      </w:pPr>
      <w:r>
        <w:rPr>
          <w:noProof/>
        </w:rPr>
        <w:lastRenderedPageBreak/>
        <w:drawing>
          <wp:inline distT="0" distB="0" distL="0" distR="0" wp14:anchorId="259216F1" wp14:editId="0A5D00F8">
            <wp:extent cx="5943600" cy="2765425"/>
            <wp:effectExtent l="0" t="0" r="0" b="0"/>
            <wp:docPr id="3605836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2765425"/>
                    </a:xfrm>
                    <a:prstGeom prst="rect">
                      <a:avLst/>
                    </a:prstGeom>
                    <a:noFill/>
                    <a:ln>
                      <a:noFill/>
                    </a:ln>
                  </pic:spPr>
                </pic:pic>
              </a:graphicData>
            </a:graphic>
          </wp:inline>
        </w:drawing>
      </w:r>
    </w:p>
    <w:p w14:paraId="2A29E863" w14:textId="2DC0823D" w:rsidR="00762744" w:rsidRPr="00762744" w:rsidRDefault="001B16A2" w:rsidP="00762744">
      <w:pPr>
        <w:tabs>
          <w:tab w:val="left" w:pos="1124"/>
        </w:tabs>
        <w:jc w:val="both"/>
        <w:rPr>
          <w:rFonts w:asciiTheme="majorBidi" w:hAnsiTheme="majorBidi" w:cstheme="majorBidi"/>
        </w:rPr>
      </w:pPr>
      <w:r>
        <w:rPr>
          <w:rFonts w:asciiTheme="majorBidi" w:hAnsiTheme="majorBidi" w:cstheme="majorBidi"/>
        </w:rPr>
        <w:t>Fig</w:t>
      </w:r>
      <w:r w:rsidR="003963BA">
        <w:rPr>
          <w:rFonts w:asciiTheme="majorBidi" w:hAnsiTheme="majorBidi" w:cstheme="majorBidi"/>
        </w:rPr>
        <w:t>.</w:t>
      </w:r>
      <w:r w:rsidRPr="00762744">
        <w:rPr>
          <w:rFonts w:asciiTheme="majorBidi" w:hAnsiTheme="majorBidi" w:cstheme="majorBidi"/>
        </w:rPr>
        <w:t xml:space="preserve"> S</w:t>
      </w:r>
      <w:r w:rsidR="00177FAF">
        <w:rPr>
          <w:rFonts w:asciiTheme="majorBidi" w:hAnsiTheme="majorBidi" w:cstheme="majorBidi"/>
        </w:rPr>
        <w:t>6</w:t>
      </w:r>
      <w:r w:rsidR="00762744" w:rsidRPr="00762744">
        <w:rPr>
          <w:rFonts w:ascii="Times New Roman" w:eastAsia="Times New Roman" w:hAnsi="Times New Roman" w:cs="Times New Roman"/>
          <w:kern w:val="0"/>
          <w14:ligatures w14:val="none"/>
        </w:rPr>
        <w:t xml:space="preserve"> </w:t>
      </w:r>
      <w:r w:rsidR="00762744" w:rsidRPr="00762744">
        <w:rPr>
          <w:rFonts w:asciiTheme="majorBidi" w:hAnsiTheme="majorBidi" w:cstheme="majorBidi"/>
        </w:rPr>
        <w:t>Principal Coordinates Analysis (PCoA) of predicted functional profiles. PCoA plots based on Bray-</w:t>
      </w:r>
      <w:proofErr w:type="gramStart"/>
      <w:r w:rsidR="00762744" w:rsidRPr="00762744">
        <w:rPr>
          <w:rFonts w:asciiTheme="majorBidi" w:hAnsiTheme="majorBidi" w:cstheme="majorBidi"/>
        </w:rPr>
        <w:t>Curtis</w:t>
      </w:r>
      <w:proofErr w:type="gramEnd"/>
      <w:r w:rsidR="00762744" w:rsidRPr="00762744">
        <w:rPr>
          <w:rFonts w:asciiTheme="majorBidi" w:hAnsiTheme="majorBidi" w:cstheme="majorBidi"/>
        </w:rPr>
        <w:t xml:space="preserve"> dissimilarity of predicted functional profiles for (A) bacterial communities (FAPROTAX) and (B) fungal communities (FUNGuild). Points are colored by Farming System (Conventional = </w:t>
      </w:r>
      <w:r w:rsidR="00762744">
        <w:rPr>
          <w:rFonts w:asciiTheme="majorBidi" w:hAnsiTheme="majorBidi" w:cstheme="majorBidi"/>
        </w:rPr>
        <w:t>orange</w:t>
      </w:r>
      <w:r w:rsidR="00762744" w:rsidRPr="00762744">
        <w:rPr>
          <w:rFonts w:asciiTheme="majorBidi" w:hAnsiTheme="majorBidi" w:cstheme="majorBidi"/>
        </w:rPr>
        <w:t>, Organic = blue) and shaped by Scion Type (Enterprise = circle, Liberty = triangle, X6398 = square). The percent variation explained by each principal coordinate axis is shown in parentheses. The bacterial functional plot (A) shows high variability and no clear clustering by management. The fungal functional plot (B) shows a clear and significant separation between organic and conventional systems.</w:t>
      </w:r>
    </w:p>
    <w:p w14:paraId="7F5AB8DE" w14:textId="24C4E5F9" w:rsidR="001B16A2" w:rsidRDefault="001B16A2" w:rsidP="0016177D">
      <w:pPr>
        <w:tabs>
          <w:tab w:val="left" w:pos="1124"/>
        </w:tabs>
        <w:rPr>
          <w:rFonts w:asciiTheme="majorBidi" w:hAnsiTheme="majorBidi" w:cstheme="majorBidi"/>
        </w:rPr>
      </w:pPr>
    </w:p>
    <w:p w14:paraId="0792D38C" w14:textId="62B369B6" w:rsidR="007E2AAC" w:rsidRDefault="0054263A" w:rsidP="0016177D">
      <w:pPr>
        <w:tabs>
          <w:tab w:val="left" w:pos="1124"/>
        </w:tabs>
        <w:rPr>
          <w:rFonts w:asciiTheme="majorBidi" w:hAnsiTheme="majorBidi" w:cstheme="majorBidi"/>
        </w:rPr>
      </w:pPr>
      <w:r>
        <w:rPr>
          <w:rFonts w:asciiTheme="majorBidi" w:hAnsiTheme="majorBidi" w:cstheme="majorBidi"/>
          <w:noProof/>
        </w:rPr>
        <w:lastRenderedPageBreak/>
        <w:drawing>
          <wp:inline distT="0" distB="0" distL="0" distR="0" wp14:anchorId="0C368E19" wp14:editId="1A9BB675">
            <wp:extent cx="5941060" cy="4434840"/>
            <wp:effectExtent l="0" t="0" r="2540" b="3810"/>
            <wp:docPr id="16633673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1060" cy="4434840"/>
                    </a:xfrm>
                    <a:prstGeom prst="rect">
                      <a:avLst/>
                    </a:prstGeom>
                    <a:noFill/>
                    <a:ln>
                      <a:noFill/>
                    </a:ln>
                  </pic:spPr>
                </pic:pic>
              </a:graphicData>
            </a:graphic>
          </wp:inline>
        </w:drawing>
      </w:r>
    </w:p>
    <w:p w14:paraId="3CFB9944" w14:textId="3393785E" w:rsidR="00762744" w:rsidRPr="00762744" w:rsidRDefault="007E2AAC" w:rsidP="000D4101">
      <w:pPr>
        <w:tabs>
          <w:tab w:val="left" w:pos="1124"/>
        </w:tabs>
        <w:jc w:val="both"/>
        <w:rPr>
          <w:rFonts w:asciiTheme="majorBidi" w:hAnsiTheme="majorBidi" w:cstheme="majorBidi"/>
        </w:rPr>
      </w:pPr>
      <w:r w:rsidRPr="00762744">
        <w:rPr>
          <w:rFonts w:asciiTheme="majorBidi" w:hAnsiTheme="majorBidi" w:cstheme="majorBidi"/>
        </w:rPr>
        <w:t>Fig</w:t>
      </w:r>
      <w:r w:rsidR="003963BA">
        <w:rPr>
          <w:rFonts w:asciiTheme="majorBidi" w:hAnsiTheme="majorBidi" w:cstheme="majorBidi"/>
        </w:rPr>
        <w:t>.</w:t>
      </w:r>
      <w:r w:rsidRPr="00762744">
        <w:rPr>
          <w:rFonts w:asciiTheme="majorBidi" w:hAnsiTheme="majorBidi" w:cstheme="majorBidi"/>
        </w:rPr>
        <w:t xml:space="preserve"> S</w:t>
      </w:r>
      <w:r w:rsidR="003963BA">
        <w:rPr>
          <w:rFonts w:asciiTheme="majorBidi" w:hAnsiTheme="majorBidi" w:cstheme="majorBidi"/>
        </w:rPr>
        <w:t>7</w:t>
      </w:r>
      <w:r w:rsidR="00762744" w:rsidRPr="00762744">
        <w:rPr>
          <w:rFonts w:ascii="Times New Roman" w:eastAsia="Times New Roman" w:hAnsi="Times New Roman" w:cs="Times New Roman"/>
          <w:kern w:val="0"/>
          <w14:ligatures w14:val="none"/>
        </w:rPr>
        <w:t xml:space="preserve"> </w:t>
      </w:r>
      <w:r w:rsidR="00762744" w:rsidRPr="00762744">
        <w:rPr>
          <w:rFonts w:asciiTheme="majorBidi" w:hAnsiTheme="majorBidi" w:cstheme="majorBidi"/>
        </w:rPr>
        <w:t xml:space="preserve">Predicted bacterial functions (FAPROTAX) differ significantly between management systems. </w:t>
      </w:r>
      <w:r w:rsidR="00066305">
        <w:rPr>
          <w:rFonts w:asciiTheme="majorBidi" w:hAnsiTheme="majorBidi" w:cstheme="majorBidi"/>
        </w:rPr>
        <w:t xml:space="preserve">The analysis was based on the 12-sub sample containing the Liberty and Enterprise in both framing systems excluding </w:t>
      </w:r>
      <w:proofErr w:type="gramStart"/>
      <w:r w:rsidR="00066305">
        <w:rPr>
          <w:rFonts w:asciiTheme="majorBidi" w:hAnsiTheme="majorBidi" w:cstheme="majorBidi"/>
        </w:rPr>
        <w:t>the X6398</w:t>
      </w:r>
      <w:proofErr w:type="gramEnd"/>
      <w:r w:rsidR="00066305">
        <w:rPr>
          <w:rFonts w:asciiTheme="majorBidi" w:hAnsiTheme="majorBidi" w:cstheme="majorBidi"/>
        </w:rPr>
        <w:t xml:space="preserve">. </w:t>
      </w:r>
      <w:r w:rsidR="000D4101">
        <w:rPr>
          <w:rFonts w:asciiTheme="majorBidi" w:hAnsiTheme="majorBidi" w:cstheme="majorBidi"/>
        </w:rPr>
        <w:t>B</w:t>
      </w:r>
      <w:r w:rsidR="000D4101" w:rsidRPr="000D4101">
        <w:rPr>
          <w:rFonts w:asciiTheme="majorBidi" w:hAnsiTheme="majorBidi" w:cstheme="majorBidi"/>
        </w:rPr>
        <w:t xml:space="preserve">oxplots show the predicted relative abundance (%) of key bacterial functions comparing Organic (green) and Conventional (orange) management systems (n=6). Boxes represent the interquartile range (IQR) with the central line denoting the median. Statistical significance was determined by a one-way ANOVA comparing the two management groups. The resulting </w:t>
      </w:r>
      <w:r w:rsidR="000D4101" w:rsidRPr="000D4101">
        <w:rPr>
          <w:rFonts w:asciiTheme="majorBidi" w:hAnsiTheme="majorBidi" w:cstheme="majorBidi"/>
          <w:i/>
          <w:iCs/>
        </w:rPr>
        <w:t>p</w:t>
      </w:r>
      <w:r w:rsidR="000D4101" w:rsidRPr="000D4101">
        <w:rPr>
          <w:rFonts w:asciiTheme="majorBidi" w:hAnsiTheme="majorBidi" w:cstheme="majorBidi"/>
        </w:rPr>
        <w:t>-value is displayed for each comparison. Different letters</w:t>
      </w:r>
      <w:r w:rsidR="000D4101">
        <w:rPr>
          <w:rFonts w:asciiTheme="majorBidi" w:hAnsiTheme="majorBidi" w:cstheme="majorBidi"/>
        </w:rPr>
        <w:t xml:space="preserve"> </w:t>
      </w:r>
      <w:r w:rsidR="000D4101" w:rsidRPr="000D4101">
        <w:rPr>
          <w:rFonts w:asciiTheme="majorBidi" w:hAnsiTheme="majorBidi" w:cstheme="majorBidi"/>
        </w:rPr>
        <w:t>above bars indicate significant differences between individual treatment groups (</w:t>
      </w:r>
      <w:r w:rsidR="000D4101" w:rsidRPr="000D4101">
        <w:rPr>
          <w:rFonts w:asciiTheme="majorBidi" w:hAnsiTheme="majorBidi" w:cstheme="majorBidi"/>
          <w:i/>
          <w:iCs/>
        </w:rPr>
        <w:t>p</w:t>
      </w:r>
      <w:r w:rsidR="000D4101" w:rsidRPr="000D4101">
        <w:rPr>
          <w:rFonts w:asciiTheme="majorBidi" w:hAnsiTheme="majorBidi" w:cstheme="majorBidi"/>
        </w:rPr>
        <w:t xml:space="preserve"> &lt; 0.05) determined by a Fisher's LSD post-hoc test.</w:t>
      </w:r>
    </w:p>
    <w:p w14:paraId="399D8869" w14:textId="1B33A038" w:rsidR="007E2AAC" w:rsidRDefault="007E2AAC" w:rsidP="0016177D">
      <w:pPr>
        <w:tabs>
          <w:tab w:val="left" w:pos="1124"/>
        </w:tabs>
        <w:rPr>
          <w:rFonts w:asciiTheme="majorBidi" w:hAnsiTheme="majorBidi" w:cstheme="majorBidi"/>
        </w:rPr>
      </w:pPr>
    </w:p>
    <w:p w14:paraId="18410127" w14:textId="618D9117" w:rsidR="00C67E38" w:rsidRDefault="00814A3A" w:rsidP="0016177D">
      <w:pPr>
        <w:tabs>
          <w:tab w:val="left" w:pos="1124"/>
        </w:tabs>
        <w:rPr>
          <w:rFonts w:asciiTheme="majorBidi" w:hAnsiTheme="majorBidi" w:cstheme="majorBidi"/>
        </w:rPr>
      </w:pPr>
      <w:r>
        <w:rPr>
          <w:rFonts w:asciiTheme="majorBidi" w:hAnsiTheme="majorBidi" w:cstheme="majorBidi"/>
          <w:noProof/>
        </w:rPr>
        <w:lastRenderedPageBreak/>
        <w:drawing>
          <wp:inline distT="0" distB="0" distL="0" distR="0" wp14:anchorId="7360BCD0" wp14:editId="4D3ABDBB">
            <wp:extent cx="5930265" cy="4302125"/>
            <wp:effectExtent l="0" t="0" r="0" b="3175"/>
            <wp:docPr id="8329337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0265" cy="4302125"/>
                    </a:xfrm>
                    <a:prstGeom prst="rect">
                      <a:avLst/>
                    </a:prstGeom>
                    <a:noFill/>
                    <a:ln>
                      <a:noFill/>
                    </a:ln>
                  </pic:spPr>
                </pic:pic>
              </a:graphicData>
            </a:graphic>
          </wp:inline>
        </w:drawing>
      </w:r>
    </w:p>
    <w:p w14:paraId="4170AE6D" w14:textId="23FC4F5E" w:rsidR="009E6D25" w:rsidRPr="00762744" w:rsidRDefault="00C67E38" w:rsidP="009E6D25">
      <w:pPr>
        <w:tabs>
          <w:tab w:val="left" w:pos="1124"/>
        </w:tabs>
        <w:jc w:val="both"/>
        <w:rPr>
          <w:rFonts w:asciiTheme="majorBidi" w:hAnsiTheme="majorBidi" w:cstheme="majorBidi"/>
        </w:rPr>
      </w:pPr>
      <w:r>
        <w:rPr>
          <w:rFonts w:asciiTheme="majorBidi" w:hAnsiTheme="majorBidi" w:cstheme="majorBidi"/>
        </w:rPr>
        <w:t>Fig</w:t>
      </w:r>
      <w:r w:rsidR="003963BA">
        <w:rPr>
          <w:rFonts w:asciiTheme="majorBidi" w:hAnsiTheme="majorBidi" w:cstheme="majorBidi"/>
        </w:rPr>
        <w:t>.</w:t>
      </w:r>
      <w:r>
        <w:rPr>
          <w:rFonts w:asciiTheme="majorBidi" w:hAnsiTheme="majorBidi" w:cstheme="majorBidi"/>
        </w:rPr>
        <w:t xml:space="preserve"> S</w:t>
      </w:r>
      <w:r w:rsidR="00B432F1">
        <w:rPr>
          <w:rFonts w:asciiTheme="majorBidi" w:hAnsiTheme="majorBidi" w:cstheme="majorBidi"/>
        </w:rPr>
        <w:t>8</w:t>
      </w:r>
      <w:r w:rsidR="000D4101" w:rsidRPr="000D4101">
        <w:rPr>
          <w:rFonts w:asciiTheme="majorBidi" w:hAnsiTheme="majorBidi" w:cstheme="majorBidi"/>
        </w:rPr>
        <w:t xml:space="preserve"> Scion-level comparison of significant FAPROTAX functions within each management system. </w:t>
      </w:r>
      <w:r w:rsidR="00726A5D">
        <w:rPr>
          <w:rFonts w:asciiTheme="majorBidi" w:hAnsiTheme="majorBidi" w:cstheme="majorBidi"/>
        </w:rPr>
        <w:t xml:space="preserve">The analysis was based on the 12-sub sample containing the Liberty and Enterprise in both framing systems excluding </w:t>
      </w:r>
      <w:proofErr w:type="gramStart"/>
      <w:r w:rsidR="00726A5D">
        <w:rPr>
          <w:rFonts w:asciiTheme="majorBidi" w:hAnsiTheme="majorBidi" w:cstheme="majorBidi"/>
        </w:rPr>
        <w:t>the X6398</w:t>
      </w:r>
      <w:proofErr w:type="gramEnd"/>
      <w:r w:rsidR="00726A5D">
        <w:rPr>
          <w:rFonts w:asciiTheme="majorBidi" w:hAnsiTheme="majorBidi" w:cstheme="majorBidi"/>
        </w:rPr>
        <w:t xml:space="preserve">. </w:t>
      </w:r>
      <w:r w:rsidR="00726A5D" w:rsidRPr="00E6595C">
        <w:rPr>
          <w:rFonts w:asciiTheme="majorBidi" w:hAnsiTheme="majorBidi" w:cstheme="majorBidi"/>
        </w:rPr>
        <w:t xml:space="preserve">The box plot related to </w:t>
      </w:r>
      <w:r w:rsidR="00726A5D">
        <w:rPr>
          <w:rFonts w:asciiTheme="majorBidi" w:hAnsiTheme="majorBidi" w:cstheme="majorBidi"/>
        </w:rPr>
        <w:t xml:space="preserve">X6398 </w:t>
      </w:r>
      <w:r w:rsidR="00726A5D" w:rsidRPr="00E6595C">
        <w:rPr>
          <w:rFonts w:asciiTheme="majorBidi" w:hAnsiTheme="majorBidi" w:cstheme="majorBidi"/>
        </w:rPr>
        <w:t>is provided for visual</w:t>
      </w:r>
      <w:r w:rsidR="00726A5D">
        <w:rPr>
          <w:rFonts w:asciiTheme="majorBidi" w:hAnsiTheme="majorBidi" w:cstheme="majorBidi"/>
        </w:rPr>
        <w:t>ization</w:t>
      </w:r>
      <w:r w:rsidR="00726A5D" w:rsidRPr="00E6595C">
        <w:rPr>
          <w:rFonts w:asciiTheme="majorBidi" w:hAnsiTheme="majorBidi" w:cstheme="majorBidi"/>
        </w:rPr>
        <w:t>.</w:t>
      </w:r>
      <w:r w:rsidR="00726A5D">
        <w:rPr>
          <w:rFonts w:asciiTheme="majorBidi" w:hAnsiTheme="majorBidi" w:cstheme="majorBidi"/>
        </w:rPr>
        <w:t xml:space="preserve"> </w:t>
      </w:r>
      <w:r w:rsidR="000D4101" w:rsidRPr="000D4101">
        <w:rPr>
          <w:rFonts w:asciiTheme="majorBidi" w:hAnsiTheme="majorBidi" w:cstheme="majorBidi"/>
        </w:rPr>
        <w:t xml:space="preserve">Boxplots show the relative abundance (%) of the three bacterial functions that were found to be significantly different in the main management comparison (from Fig. 6). The analysis is </w:t>
      </w:r>
      <w:proofErr w:type="gramStart"/>
      <w:r w:rsidR="000D4101" w:rsidRPr="000D4101">
        <w:rPr>
          <w:rFonts w:asciiTheme="majorBidi" w:hAnsiTheme="majorBidi" w:cstheme="majorBidi"/>
        </w:rPr>
        <w:t>faceted</w:t>
      </w:r>
      <w:proofErr w:type="gramEnd"/>
      <w:r w:rsidR="000D4101" w:rsidRPr="000D4101">
        <w:rPr>
          <w:rFonts w:asciiTheme="majorBidi" w:hAnsiTheme="majorBidi" w:cstheme="majorBidi"/>
        </w:rPr>
        <w:t xml:space="preserve"> by Management System (Conventional, left; Organic, right) to visualize the effect of Scion Type (x-axis) within each system. Statistical </w:t>
      </w:r>
      <w:r w:rsidR="000D4101" w:rsidRPr="000D4101">
        <w:rPr>
          <w:rFonts w:asciiTheme="majorBidi" w:hAnsiTheme="majorBidi" w:cstheme="majorBidi"/>
          <w:i/>
          <w:iCs/>
        </w:rPr>
        <w:t>p</w:t>
      </w:r>
      <w:r w:rsidR="000D4101" w:rsidRPr="000D4101">
        <w:rPr>
          <w:rFonts w:asciiTheme="majorBidi" w:hAnsiTheme="majorBidi" w:cstheme="majorBidi"/>
        </w:rPr>
        <w:t xml:space="preserve">-values shown are from a one-way ANOVA comparing scion types within that management system. </w:t>
      </w:r>
      <w:r w:rsidR="009E6D25" w:rsidRPr="000D4101">
        <w:rPr>
          <w:rFonts w:asciiTheme="majorBidi" w:hAnsiTheme="majorBidi" w:cstheme="majorBidi"/>
        </w:rPr>
        <w:t>Different letters</w:t>
      </w:r>
      <w:r w:rsidR="009E6D25">
        <w:rPr>
          <w:rFonts w:asciiTheme="majorBidi" w:hAnsiTheme="majorBidi" w:cstheme="majorBidi"/>
        </w:rPr>
        <w:t xml:space="preserve"> </w:t>
      </w:r>
      <w:r w:rsidR="009E6D25" w:rsidRPr="000D4101">
        <w:rPr>
          <w:rFonts w:asciiTheme="majorBidi" w:hAnsiTheme="majorBidi" w:cstheme="majorBidi"/>
        </w:rPr>
        <w:t>above bars indicate significant differences between individual treatment groups (</w:t>
      </w:r>
      <w:r w:rsidR="009E6D25" w:rsidRPr="000D4101">
        <w:rPr>
          <w:rFonts w:asciiTheme="majorBidi" w:hAnsiTheme="majorBidi" w:cstheme="majorBidi"/>
          <w:i/>
          <w:iCs/>
        </w:rPr>
        <w:t>p</w:t>
      </w:r>
      <w:r w:rsidR="009E6D25" w:rsidRPr="000D4101">
        <w:rPr>
          <w:rFonts w:asciiTheme="majorBidi" w:hAnsiTheme="majorBidi" w:cstheme="majorBidi"/>
        </w:rPr>
        <w:t xml:space="preserve"> &lt; 0.05) determined by a Fisher's LSD post-hoc test.</w:t>
      </w:r>
    </w:p>
    <w:p w14:paraId="3EF7A22C" w14:textId="1AE069EF" w:rsidR="00C67E38" w:rsidRDefault="00C67E38" w:rsidP="009E6D25">
      <w:pPr>
        <w:tabs>
          <w:tab w:val="left" w:pos="1124"/>
        </w:tabs>
        <w:jc w:val="both"/>
        <w:rPr>
          <w:rFonts w:asciiTheme="majorBidi" w:hAnsiTheme="majorBidi" w:cstheme="majorBidi"/>
        </w:rPr>
      </w:pPr>
    </w:p>
    <w:p w14:paraId="2C0068F5" w14:textId="77777777" w:rsidR="00214E7E" w:rsidRDefault="00214E7E" w:rsidP="0016177D">
      <w:pPr>
        <w:tabs>
          <w:tab w:val="left" w:pos="1124"/>
        </w:tabs>
        <w:rPr>
          <w:rFonts w:asciiTheme="majorBidi" w:hAnsiTheme="majorBidi" w:cstheme="majorBidi"/>
        </w:rPr>
      </w:pPr>
    </w:p>
    <w:p w14:paraId="47C7F23A" w14:textId="77777777" w:rsidR="00214E7E" w:rsidRDefault="00214E7E" w:rsidP="0016177D">
      <w:pPr>
        <w:tabs>
          <w:tab w:val="left" w:pos="1124"/>
        </w:tabs>
        <w:rPr>
          <w:rFonts w:asciiTheme="majorBidi" w:hAnsiTheme="majorBidi" w:cstheme="majorBidi"/>
        </w:rPr>
      </w:pPr>
    </w:p>
    <w:p w14:paraId="2E424801" w14:textId="77777777" w:rsidR="00214E7E" w:rsidRDefault="00214E7E" w:rsidP="0016177D">
      <w:pPr>
        <w:tabs>
          <w:tab w:val="left" w:pos="1124"/>
        </w:tabs>
        <w:rPr>
          <w:rFonts w:asciiTheme="majorBidi" w:hAnsiTheme="majorBidi" w:cstheme="majorBidi"/>
        </w:rPr>
      </w:pPr>
    </w:p>
    <w:p w14:paraId="54CF7245" w14:textId="0B303A1B" w:rsidR="00214E7E" w:rsidRDefault="00EE4F8B" w:rsidP="0016177D">
      <w:pPr>
        <w:tabs>
          <w:tab w:val="left" w:pos="1124"/>
        </w:tabs>
        <w:rPr>
          <w:noProof/>
        </w:rPr>
      </w:pPr>
      <w:r>
        <w:rPr>
          <w:noProof/>
        </w:rPr>
        <w:lastRenderedPageBreak/>
        <w:drawing>
          <wp:inline distT="0" distB="0" distL="0" distR="0" wp14:anchorId="66DAF683" wp14:editId="7C1234C0">
            <wp:extent cx="5943600" cy="5414010"/>
            <wp:effectExtent l="0" t="0" r="0" b="0"/>
            <wp:docPr id="5173343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5414010"/>
                    </a:xfrm>
                    <a:prstGeom prst="rect">
                      <a:avLst/>
                    </a:prstGeom>
                    <a:noFill/>
                    <a:ln>
                      <a:noFill/>
                    </a:ln>
                  </pic:spPr>
                </pic:pic>
              </a:graphicData>
            </a:graphic>
          </wp:inline>
        </w:drawing>
      </w:r>
    </w:p>
    <w:p w14:paraId="213CDD6A" w14:textId="1A98F3DA" w:rsidR="009F055D" w:rsidRPr="009F055D" w:rsidRDefault="00214E7E" w:rsidP="009F055D">
      <w:pPr>
        <w:jc w:val="both"/>
        <w:rPr>
          <w:rFonts w:asciiTheme="majorBidi" w:hAnsiTheme="majorBidi" w:cstheme="majorBidi"/>
        </w:rPr>
      </w:pPr>
      <w:r w:rsidRPr="009F055D">
        <w:rPr>
          <w:rFonts w:asciiTheme="majorBidi" w:hAnsiTheme="majorBidi" w:cstheme="majorBidi"/>
        </w:rPr>
        <w:t>Fig</w:t>
      </w:r>
      <w:r w:rsidR="003963BA">
        <w:rPr>
          <w:rFonts w:asciiTheme="majorBidi" w:hAnsiTheme="majorBidi" w:cstheme="majorBidi"/>
        </w:rPr>
        <w:t>.</w:t>
      </w:r>
      <w:r w:rsidRPr="009F055D">
        <w:rPr>
          <w:rFonts w:asciiTheme="majorBidi" w:hAnsiTheme="majorBidi" w:cstheme="majorBidi"/>
        </w:rPr>
        <w:t xml:space="preserve"> S</w:t>
      </w:r>
      <w:r w:rsidR="00BD426C">
        <w:rPr>
          <w:rFonts w:asciiTheme="majorBidi" w:hAnsiTheme="majorBidi" w:cstheme="majorBidi"/>
        </w:rPr>
        <w:t>9</w:t>
      </w:r>
      <w:r w:rsidR="009F055D" w:rsidRPr="009F055D">
        <w:rPr>
          <w:rFonts w:asciiTheme="majorBidi" w:hAnsiTheme="majorBidi" w:cstheme="majorBidi"/>
        </w:rPr>
        <w:t xml:space="preserve"> Heatmap of predicted fungal ecological guilds (FUNGuild). The heatmap illustrates the relative abundance (Z-score) of predicted fungal ecological guilds across all 1</w:t>
      </w:r>
      <w:r w:rsidR="000B72E1">
        <w:rPr>
          <w:rFonts w:asciiTheme="majorBidi" w:hAnsiTheme="majorBidi" w:cstheme="majorBidi"/>
        </w:rPr>
        <w:t>2</w:t>
      </w:r>
      <w:r w:rsidR="009F055D" w:rsidRPr="009F055D">
        <w:rPr>
          <w:rFonts w:asciiTheme="majorBidi" w:hAnsiTheme="majorBidi" w:cstheme="majorBidi"/>
        </w:rPr>
        <w:t xml:space="preserve"> samples</w:t>
      </w:r>
      <w:r w:rsidR="000B72E1" w:rsidRPr="000B72E1">
        <w:rPr>
          <w:rFonts w:asciiTheme="majorBidi" w:hAnsiTheme="majorBidi" w:cstheme="majorBidi"/>
        </w:rPr>
        <w:t xml:space="preserve"> </w:t>
      </w:r>
      <w:r w:rsidR="000B72E1">
        <w:rPr>
          <w:rFonts w:asciiTheme="majorBidi" w:hAnsiTheme="majorBidi" w:cstheme="majorBidi"/>
        </w:rPr>
        <w:t>excluding the X6398</w:t>
      </w:r>
      <w:r w:rsidR="009F055D" w:rsidRPr="009F055D">
        <w:rPr>
          <w:rFonts w:asciiTheme="majorBidi" w:hAnsiTheme="majorBidi" w:cstheme="majorBidi"/>
        </w:rPr>
        <w:t xml:space="preserve">. Guilds (rows) and samples (columns) are clustered using hierarchical clustering based on Euclidean distance. Red cells indicate a higher relative abundance of a specific guild compared to the mean, while blue cells indicate a lower relative abundance. </w:t>
      </w:r>
    </w:p>
    <w:p w14:paraId="409F29E6" w14:textId="3706DEAF" w:rsidR="00214E7E" w:rsidRDefault="00214E7E" w:rsidP="00214E7E">
      <w:pPr>
        <w:rPr>
          <w:rFonts w:asciiTheme="majorBidi" w:hAnsiTheme="majorBidi" w:cstheme="majorBidi"/>
        </w:rPr>
      </w:pPr>
    </w:p>
    <w:p w14:paraId="0697A901" w14:textId="77777777" w:rsidR="00214E7E" w:rsidRDefault="00214E7E" w:rsidP="00214E7E">
      <w:pPr>
        <w:rPr>
          <w:rFonts w:asciiTheme="majorBidi" w:hAnsiTheme="majorBidi" w:cstheme="majorBidi"/>
        </w:rPr>
      </w:pPr>
    </w:p>
    <w:p w14:paraId="61677794" w14:textId="77777777" w:rsidR="001B4937" w:rsidRDefault="001B4937" w:rsidP="00214E7E">
      <w:pPr>
        <w:rPr>
          <w:rFonts w:asciiTheme="majorBidi" w:hAnsiTheme="majorBidi" w:cstheme="majorBidi"/>
        </w:rPr>
      </w:pPr>
    </w:p>
    <w:p w14:paraId="554BC8F0" w14:textId="77777777" w:rsidR="001B4937" w:rsidRDefault="001B4937" w:rsidP="00214E7E">
      <w:pPr>
        <w:rPr>
          <w:rFonts w:asciiTheme="majorBidi" w:hAnsiTheme="majorBidi" w:cstheme="majorBidi"/>
        </w:rPr>
      </w:pPr>
    </w:p>
    <w:p w14:paraId="5F9B8055" w14:textId="77777777" w:rsidR="001B4937" w:rsidRDefault="001B4937" w:rsidP="00214E7E">
      <w:pPr>
        <w:rPr>
          <w:rFonts w:asciiTheme="majorBidi" w:hAnsiTheme="majorBidi" w:cstheme="majorBidi"/>
        </w:rPr>
      </w:pPr>
    </w:p>
    <w:p w14:paraId="200FCE58" w14:textId="77777777" w:rsidR="001B4937" w:rsidRDefault="001B4937" w:rsidP="00214E7E">
      <w:pPr>
        <w:rPr>
          <w:rFonts w:asciiTheme="majorBidi" w:hAnsiTheme="majorBidi" w:cstheme="majorBidi"/>
        </w:rPr>
      </w:pPr>
    </w:p>
    <w:p w14:paraId="560F0C91" w14:textId="77777777" w:rsidR="001B4937" w:rsidRDefault="001B4937" w:rsidP="00214E7E">
      <w:pPr>
        <w:rPr>
          <w:rFonts w:asciiTheme="majorBidi" w:hAnsiTheme="majorBidi" w:cstheme="majorBidi"/>
        </w:rPr>
      </w:pPr>
    </w:p>
    <w:p w14:paraId="3AE48329" w14:textId="77777777" w:rsidR="001B4937" w:rsidRDefault="001B4937" w:rsidP="00214E7E">
      <w:pPr>
        <w:rPr>
          <w:rFonts w:asciiTheme="majorBidi" w:hAnsiTheme="majorBidi" w:cstheme="majorBidi"/>
        </w:rPr>
      </w:pPr>
    </w:p>
    <w:p w14:paraId="6FB1B850" w14:textId="77777777" w:rsidR="001B4937" w:rsidRDefault="001B4937" w:rsidP="00214E7E">
      <w:pPr>
        <w:rPr>
          <w:rFonts w:asciiTheme="majorBidi" w:hAnsiTheme="majorBidi" w:cstheme="majorBidi"/>
        </w:rPr>
      </w:pPr>
    </w:p>
    <w:p w14:paraId="585F6058" w14:textId="77777777" w:rsidR="001B4937" w:rsidRDefault="001B4937" w:rsidP="00214E7E">
      <w:pPr>
        <w:rPr>
          <w:rFonts w:asciiTheme="majorBidi" w:hAnsiTheme="majorBidi" w:cstheme="majorBidi"/>
        </w:rPr>
      </w:pPr>
    </w:p>
    <w:p w14:paraId="412074B0" w14:textId="77777777" w:rsidR="001B4937" w:rsidRDefault="001B4937" w:rsidP="00214E7E">
      <w:pPr>
        <w:rPr>
          <w:rFonts w:asciiTheme="majorBidi" w:hAnsiTheme="majorBidi" w:cstheme="majorBidi"/>
        </w:rPr>
      </w:pPr>
    </w:p>
    <w:p w14:paraId="6BC67214" w14:textId="6AFAEE78" w:rsidR="001B4937" w:rsidRDefault="009E6D25" w:rsidP="00214E7E">
      <w:pPr>
        <w:rPr>
          <w:rFonts w:asciiTheme="majorBidi" w:hAnsiTheme="majorBidi" w:cstheme="majorBidi"/>
        </w:rPr>
      </w:pPr>
      <w:r>
        <w:rPr>
          <w:noProof/>
        </w:rPr>
        <w:drawing>
          <wp:inline distT="0" distB="0" distL="0" distR="0" wp14:anchorId="6A34F973" wp14:editId="340FF09D">
            <wp:extent cx="5943600" cy="5010150"/>
            <wp:effectExtent l="0" t="0" r="0" b="0"/>
            <wp:docPr id="9852361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5010150"/>
                    </a:xfrm>
                    <a:prstGeom prst="rect">
                      <a:avLst/>
                    </a:prstGeom>
                    <a:noFill/>
                    <a:ln>
                      <a:noFill/>
                    </a:ln>
                  </pic:spPr>
                </pic:pic>
              </a:graphicData>
            </a:graphic>
          </wp:inline>
        </w:drawing>
      </w:r>
    </w:p>
    <w:p w14:paraId="2EAE79A7" w14:textId="48F10E06" w:rsidR="009F055D" w:rsidRPr="00762744" w:rsidRDefault="00214E7E" w:rsidP="009F055D">
      <w:pPr>
        <w:tabs>
          <w:tab w:val="left" w:pos="1124"/>
        </w:tabs>
        <w:jc w:val="both"/>
        <w:rPr>
          <w:rFonts w:asciiTheme="majorBidi" w:hAnsiTheme="majorBidi" w:cstheme="majorBidi"/>
        </w:rPr>
      </w:pPr>
      <w:r w:rsidRPr="009E6D25">
        <w:rPr>
          <w:rFonts w:asciiTheme="majorBidi" w:hAnsiTheme="majorBidi" w:cstheme="majorBidi"/>
        </w:rPr>
        <w:t>Fig</w:t>
      </w:r>
      <w:r w:rsidR="003963BA">
        <w:rPr>
          <w:rFonts w:asciiTheme="majorBidi" w:hAnsiTheme="majorBidi" w:cstheme="majorBidi"/>
        </w:rPr>
        <w:t>.</w:t>
      </w:r>
      <w:r w:rsidRPr="009E6D25">
        <w:rPr>
          <w:rFonts w:asciiTheme="majorBidi" w:hAnsiTheme="majorBidi" w:cstheme="majorBidi"/>
        </w:rPr>
        <w:t xml:space="preserve"> S</w:t>
      </w:r>
      <w:r w:rsidR="00507910">
        <w:rPr>
          <w:rFonts w:asciiTheme="majorBidi" w:hAnsiTheme="majorBidi" w:cstheme="majorBidi"/>
        </w:rPr>
        <w:t>10</w:t>
      </w:r>
      <w:r w:rsidR="009E6D25" w:rsidRPr="009E6D25">
        <w:rPr>
          <w:rFonts w:asciiTheme="majorBidi" w:hAnsiTheme="majorBidi" w:cstheme="majorBidi"/>
        </w:rPr>
        <w:t xml:space="preserve"> Comparison of major fungal ecological guilds (FUNGuild) between management systems. </w:t>
      </w:r>
      <w:r w:rsidR="000D43DA">
        <w:rPr>
          <w:rFonts w:asciiTheme="majorBidi" w:hAnsiTheme="majorBidi" w:cstheme="majorBidi"/>
        </w:rPr>
        <w:t xml:space="preserve">The analysis was based on the 12-sub sample containing the Liberty and Enterprise in both framing systems excluding </w:t>
      </w:r>
      <w:proofErr w:type="gramStart"/>
      <w:r w:rsidR="000D43DA">
        <w:rPr>
          <w:rFonts w:asciiTheme="majorBidi" w:hAnsiTheme="majorBidi" w:cstheme="majorBidi"/>
        </w:rPr>
        <w:t>the X6398</w:t>
      </w:r>
      <w:proofErr w:type="gramEnd"/>
      <w:r w:rsidR="000D43DA">
        <w:rPr>
          <w:rFonts w:asciiTheme="majorBidi" w:hAnsiTheme="majorBidi" w:cstheme="majorBidi"/>
        </w:rPr>
        <w:t xml:space="preserve">. </w:t>
      </w:r>
      <w:r w:rsidR="009E6D25" w:rsidRPr="009E6D25">
        <w:rPr>
          <w:rFonts w:asciiTheme="majorBidi" w:hAnsiTheme="majorBidi" w:cstheme="majorBidi"/>
        </w:rPr>
        <w:t xml:space="preserve">Boxplots show the relative abundance (%) of four major ecological guilds (Plant Pathogenic Fungi, Fungal Parasites, Decomposer Saprotrophs, and Endophytic Fungi) comparing Conventional (red) and Organic (blue) systems (n=9 and n=6, respectively). Boxes represent the interquartile range (IQR) with the central line denoting the </w:t>
      </w:r>
      <w:r w:rsidR="009E6D25" w:rsidRPr="009E6D25">
        <w:rPr>
          <w:rFonts w:asciiTheme="majorBidi" w:hAnsiTheme="majorBidi" w:cstheme="majorBidi"/>
        </w:rPr>
        <w:lastRenderedPageBreak/>
        <w:t xml:space="preserve">median. </w:t>
      </w:r>
      <w:r w:rsidR="009F055D" w:rsidRPr="000D4101">
        <w:rPr>
          <w:rFonts w:asciiTheme="majorBidi" w:hAnsiTheme="majorBidi" w:cstheme="majorBidi"/>
        </w:rPr>
        <w:t xml:space="preserve">Statistical </w:t>
      </w:r>
      <w:r w:rsidR="009F055D" w:rsidRPr="000D4101">
        <w:rPr>
          <w:rFonts w:asciiTheme="majorBidi" w:hAnsiTheme="majorBidi" w:cstheme="majorBidi"/>
          <w:i/>
          <w:iCs/>
        </w:rPr>
        <w:t>p</w:t>
      </w:r>
      <w:r w:rsidR="009F055D" w:rsidRPr="000D4101">
        <w:rPr>
          <w:rFonts w:asciiTheme="majorBidi" w:hAnsiTheme="majorBidi" w:cstheme="majorBidi"/>
        </w:rPr>
        <w:t>-values shown are from a one-way ANOVA comparing scion types within that management system. Different letters</w:t>
      </w:r>
      <w:r w:rsidR="009F055D">
        <w:rPr>
          <w:rFonts w:asciiTheme="majorBidi" w:hAnsiTheme="majorBidi" w:cstheme="majorBidi"/>
        </w:rPr>
        <w:t xml:space="preserve"> </w:t>
      </w:r>
      <w:r w:rsidR="009F055D" w:rsidRPr="000D4101">
        <w:rPr>
          <w:rFonts w:asciiTheme="majorBidi" w:hAnsiTheme="majorBidi" w:cstheme="majorBidi"/>
        </w:rPr>
        <w:t>above bars indicate significant differences between individual treatment groups (</w:t>
      </w:r>
      <w:r w:rsidR="009F055D" w:rsidRPr="000D4101">
        <w:rPr>
          <w:rFonts w:asciiTheme="majorBidi" w:hAnsiTheme="majorBidi" w:cstheme="majorBidi"/>
          <w:i/>
          <w:iCs/>
        </w:rPr>
        <w:t>p</w:t>
      </w:r>
      <w:r w:rsidR="009F055D" w:rsidRPr="000D4101">
        <w:rPr>
          <w:rFonts w:asciiTheme="majorBidi" w:hAnsiTheme="majorBidi" w:cstheme="majorBidi"/>
        </w:rPr>
        <w:t xml:space="preserve"> &lt; 0.05) determined by a Fisher's LSD post-hoc test.</w:t>
      </w:r>
    </w:p>
    <w:p w14:paraId="122BB830" w14:textId="767DD774" w:rsidR="00214E7E" w:rsidRDefault="00214E7E" w:rsidP="009F055D">
      <w:pPr>
        <w:jc w:val="both"/>
        <w:rPr>
          <w:rFonts w:asciiTheme="majorBidi" w:hAnsiTheme="majorBidi" w:cstheme="majorBidi"/>
        </w:rPr>
      </w:pPr>
    </w:p>
    <w:p w14:paraId="5313E3D2" w14:textId="77777777" w:rsidR="00214E7E" w:rsidRDefault="00214E7E" w:rsidP="00214E7E">
      <w:pPr>
        <w:rPr>
          <w:rFonts w:asciiTheme="majorBidi" w:hAnsiTheme="majorBidi" w:cstheme="majorBidi"/>
        </w:rPr>
      </w:pPr>
    </w:p>
    <w:p w14:paraId="2A520D5E" w14:textId="77777777" w:rsidR="001B4937" w:rsidRDefault="001B4937" w:rsidP="00214E7E">
      <w:pPr>
        <w:rPr>
          <w:rFonts w:asciiTheme="majorBidi" w:hAnsiTheme="majorBidi" w:cstheme="majorBidi"/>
        </w:rPr>
      </w:pPr>
    </w:p>
    <w:p w14:paraId="5CF7F2B0" w14:textId="77777777" w:rsidR="001B4937" w:rsidRDefault="001B4937" w:rsidP="00214E7E">
      <w:pPr>
        <w:rPr>
          <w:rFonts w:asciiTheme="majorBidi" w:hAnsiTheme="majorBidi" w:cstheme="majorBidi"/>
        </w:rPr>
      </w:pPr>
    </w:p>
    <w:p w14:paraId="6584F779" w14:textId="7B90A1B2" w:rsidR="001B4937" w:rsidRDefault="001B4937" w:rsidP="00214E7E">
      <w:pPr>
        <w:rPr>
          <w:rFonts w:asciiTheme="majorBidi" w:hAnsiTheme="majorBidi" w:cstheme="majorBidi"/>
        </w:rPr>
      </w:pPr>
      <w:r>
        <w:rPr>
          <w:rFonts w:asciiTheme="majorBidi" w:hAnsiTheme="majorBidi" w:cstheme="majorBidi"/>
          <w:noProof/>
        </w:rPr>
        <w:drawing>
          <wp:inline distT="0" distB="0" distL="0" distR="0" wp14:anchorId="50AF51E4" wp14:editId="3A4EC963">
            <wp:extent cx="5935980" cy="4920615"/>
            <wp:effectExtent l="0" t="0" r="7620" b="0"/>
            <wp:docPr id="15060098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5980" cy="4920615"/>
                    </a:xfrm>
                    <a:prstGeom prst="rect">
                      <a:avLst/>
                    </a:prstGeom>
                    <a:noFill/>
                    <a:ln>
                      <a:noFill/>
                    </a:ln>
                  </pic:spPr>
                </pic:pic>
              </a:graphicData>
            </a:graphic>
          </wp:inline>
        </w:drawing>
      </w:r>
    </w:p>
    <w:p w14:paraId="0A4AB13C" w14:textId="6947CF73" w:rsidR="009F055D" w:rsidRPr="00762744" w:rsidRDefault="00214E7E" w:rsidP="00E6595C">
      <w:pPr>
        <w:tabs>
          <w:tab w:val="left" w:pos="1124"/>
        </w:tabs>
        <w:jc w:val="both"/>
        <w:rPr>
          <w:rFonts w:asciiTheme="majorBidi" w:hAnsiTheme="majorBidi" w:cstheme="majorBidi"/>
        </w:rPr>
      </w:pPr>
      <w:r w:rsidRPr="009F055D">
        <w:rPr>
          <w:rFonts w:asciiTheme="majorBidi" w:hAnsiTheme="majorBidi" w:cstheme="majorBidi"/>
        </w:rPr>
        <w:t>Fig</w:t>
      </w:r>
      <w:r w:rsidR="003963BA">
        <w:rPr>
          <w:rFonts w:asciiTheme="majorBidi" w:hAnsiTheme="majorBidi" w:cstheme="majorBidi"/>
        </w:rPr>
        <w:t>.</w:t>
      </w:r>
      <w:r w:rsidR="00A04947" w:rsidRPr="009F055D">
        <w:rPr>
          <w:rFonts w:asciiTheme="majorBidi" w:hAnsiTheme="majorBidi" w:cstheme="majorBidi"/>
        </w:rPr>
        <w:t xml:space="preserve"> S1</w:t>
      </w:r>
      <w:r w:rsidR="006212B9">
        <w:rPr>
          <w:rFonts w:asciiTheme="majorBidi" w:hAnsiTheme="majorBidi" w:cstheme="majorBidi"/>
        </w:rPr>
        <w:t>1</w:t>
      </w:r>
      <w:r w:rsidR="009F055D" w:rsidRPr="009F055D">
        <w:rPr>
          <w:rFonts w:asciiTheme="majorBidi" w:hAnsiTheme="majorBidi" w:cstheme="majorBidi"/>
        </w:rPr>
        <w:t xml:space="preserve"> Scion-level comparison of major fungal ecological guilds (FUNGuild) within each management system. </w:t>
      </w:r>
      <w:r w:rsidR="000D43DA">
        <w:rPr>
          <w:rFonts w:asciiTheme="majorBidi" w:hAnsiTheme="majorBidi" w:cstheme="majorBidi"/>
        </w:rPr>
        <w:t xml:space="preserve">The analysis was based on the 12-sub sample containing the Liberty and Enterprise in both framing systems excluding </w:t>
      </w:r>
      <w:proofErr w:type="gramStart"/>
      <w:r w:rsidR="000D43DA">
        <w:rPr>
          <w:rFonts w:asciiTheme="majorBidi" w:hAnsiTheme="majorBidi" w:cstheme="majorBidi"/>
        </w:rPr>
        <w:t>the X6398</w:t>
      </w:r>
      <w:proofErr w:type="gramEnd"/>
      <w:r w:rsidR="000D43DA">
        <w:rPr>
          <w:rFonts w:asciiTheme="majorBidi" w:hAnsiTheme="majorBidi" w:cstheme="majorBidi"/>
        </w:rPr>
        <w:t xml:space="preserve">. </w:t>
      </w:r>
      <w:r w:rsidR="00E6595C" w:rsidRPr="00E6595C">
        <w:rPr>
          <w:rFonts w:asciiTheme="majorBidi" w:hAnsiTheme="majorBidi" w:cstheme="majorBidi"/>
        </w:rPr>
        <w:t xml:space="preserve">The box plot related to </w:t>
      </w:r>
      <w:r w:rsidR="00E6595C">
        <w:rPr>
          <w:rFonts w:asciiTheme="majorBidi" w:hAnsiTheme="majorBidi" w:cstheme="majorBidi"/>
        </w:rPr>
        <w:t xml:space="preserve">X6398 </w:t>
      </w:r>
      <w:r w:rsidR="00E6595C" w:rsidRPr="00E6595C">
        <w:rPr>
          <w:rFonts w:asciiTheme="majorBidi" w:hAnsiTheme="majorBidi" w:cstheme="majorBidi"/>
        </w:rPr>
        <w:t>is provided for visual</w:t>
      </w:r>
      <w:r w:rsidR="00E6595C">
        <w:rPr>
          <w:rFonts w:asciiTheme="majorBidi" w:hAnsiTheme="majorBidi" w:cstheme="majorBidi"/>
        </w:rPr>
        <w:t>ization</w:t>
      </w:r>
      <w:r w:rsidR="00E6595C" w:rsidRPr="00E6595C">
        <w:rPr>
          <w:rFonts w:asciiTheme="majorBidi" w:hAnsiTheme="majorBidi" w:cstheme="majorBidi"/>
        </w:rPr>
        <w:t>.</w:t>
      </w:r>
      <w:r w:rsidR="00E6595C">
        <w:rPr>
          <w:rFonts w:asciiTheme="majorBidi" w:hAnsiTheme="majorBidi" w:cstheme="majorBidi"/>
        </w:rPr>
        <w:t xml:space="preserve"> </w:t>
      </w:r>
      <w:r w:rsidR="009F055D" w:rsidRPr="009F055D">
        <w:rPr>
          <w:rFonts w:asciiTheme="majorBidi" w:hAnsiTheme="majorBidi" w:cstheme="majorBidi"/>
        </w:rPr>
        <w:t xml:space="preserve">Boxplots show the relative abundance (%) of four major FUNGuilds (Plant Pathogens, Fungal Parasites, Decomposer Saprotrophs, and Endophytes). The analysis is </w:t>
      </w:r>
      <w:proofErr w:type="gramStart"/>
      <w:r w:rsidR="009F055D" w:rsidRPr="009F055D">
        <w:rPr>
          <w:rFonts w:asciiTheme="majorBidi" w:hAnsiTheme="majorBidi" w:cstheme="majorBidi"/>
        </w:rPr>
        <w:t>faceted</w:t>
      </w:r>
      <w:proofErr w:type="gramEnd"/>
      <w:r w:rsidR="009F055D" w:rsidRPr="009F055D">
        <w:rPr>
          <w:rFonts w:asciiTheme="majorBidi" w:hAnsiTheme="majorBidi" w:cstheme="majorBidi"/>
        </w:rPr>
        <w:t xml:space="preserve"> by Farming System (Conventional, left; Organic, right) to visualize the effect of Scion Type (x-</w:t>
      </w:r>
      <w:r w:rsidR="009F055D" w:rsidRPr="009F055D">
        <w:rPr>
          <w:rFonts w:asciiTheme="majorBidi" w:hAnsiTheme="majorBidi" w:cstheme="majorBidi"/>
        </w:rPr>
        <w:lastRenderedPageBreak/>
        <w:t xml:space="preserve">axis) within each system. </w:t>
      </w:r>
      <w:r w:rsidR="009F055D" w:rsidRPr="009E6D25">
        <w:rPr>
          <w:rFonts w:asciiTheme="majorBidi" w:hAnsiTheme="majorBidi" w:cstheme="majorBidi"/>
        </w:rPr>
        <w:t xml:space="preserve">Boxes represent the interquartile range (IQR) with the central line denoting the median. </w:t>
      </w:r>
      <w:r w:rsidR="009F055D" w:rsidRPr="000D4101">
        <w:rPr>
          <w:rFonts w:asciiTheme="majorBidi" w:hAnsiTheme="majorBidi" w:cstheme="majorBidi"/>
        </w:rPr>
        <w:t xml:space="preserve">Statistical </w:t>
      </w:r>
      <w:r w:rsidR="009F055D" w:rsidRPr="000D4101">
        <w:rPr>
          <w:rFonts w:asciiTheme="majorBidi" w:hAnsiTheme="majorBidi" w:cstheme="majorBidi"/>
          <w:i/>
          <w:iCs/>
        </w:rPr>
        <w:t>p</w:t>
      </w:r>
      <w:r w:rsidR="009F055D" w:rsidRPr="000D4101">
        <w:rPr>
          <w:rFonts w:asciiTheme="majorBidi" w:hAnsiTheme="majorBidi" w:cstheme="majorBidi"/>
        </w:rPr>
        <w:t>-values shown are from a one-way ANOVA comparing scion types within that management system. Different letters</w:t>
      </w:r>
      <w:r w:rsidR="009F055D">
        <w:rPr>
          <w:rFonts w:asciiTheme="majorBidi" w:hAnsiTheme="majorBidi" w:cstheme="majorBidi"/>
        </w:rPr>
        <w:t xml:space="preserve"> </w:t>
      </w:r>
      <w:r w:rsidR="009F055D" w:rsidRPr="000D4101">
        <w:rPr>
          <w:rFonts w:asciiTheme="majorBidi" w:hAnsiTheme="majorBidi" w:cstheme="majorBidi"/>
        </w:rPr>
        <w:t>above bars indicate significant differences between individual treatment groups (</w:t>
      </w:r>
      <w:r w:rsidR="009F055D" w:rsidRPr="000D4101">
        <w:rPr>
          <w:rFonts w:asciiTheme="majorBidi" w:hAnsiTheme="majorBidi" w:cstheme="majorBidi"/>
          <w:i/>
          <w:iCs/>
        </w:rPr>
        <w:t>p</w:t>
      </w:r>
      <w:r w:rsidR="009F055D" w:rsidRPr="000D4101">
        <w:rPr>
          <w:rFonts w:asciiTheme="majorBidi" w:hAnsiTheme="majorBidi" w:cstheme="majorBidi"/>
        </w:rPr>
        <w:t xml:space="preserve"> &lt; 0.05) determined by a Fisher's LSD post-hoc test.</w:t>
      </w:r>
    </w:p>
    <w:p w14:paraId="2C39AE78" w14:textId="6E7DF1AF" w:rsidR="009F055D" w:rsidRPr="009F055D" w:rsidRDefault="009F055D" w:rsidP="009F055D">
      <w:pPr>
        <w:jc w:val="both"/>
        <w:rPr>
          <w:rFonts w:asciiTheme="majorBidi" w:hAnsiTheme="majorBidi" w:cstheme="majorBidi"/>
        </w:rPr>
      </w:pPr>
    </w:p>
    <w:p w14:paraId="56C7CEEC" w14:textId="3BE6FEB2" w:rsidR="00214E7E" w:rsidRDefault="00214E7E" w:rsidP="00214E7E">
      <w:pPr>
        <w:rPr>
          <w:rFonts w:asciiTheme="majorBidi" w:hAnsiTheme="majorBidi" w:cstheme="majorBidi"/>
        </w:rPr>
      </w:pPr>
    </w:p>
    <w:p w14:paraId="526EB2B4" w14:textId="07331584" w:rsidR="00293BAA" w:rsidRDefault="0049461E" w:rsidP="00214E7E">
      <w:pPr>
        <w:rPr>
          <w:rFonts w:asciiTheme="majorBidi" w:hAnsiTheme="majorBidi" w:cstheme="majorBidi"/>
        </w:rPr>
      </w:pPr>
      <w:r>
        <w:rPr>
          <w:noProof/>
        </w:rPr>
        <w:drawing>
          <wp:inline distT="0" distB="0" distL="0" distR="0" wp14:anchorId="6105FA44" wp14:editId="70AE1CBE">
            <wp:extent cx="5943600" cy="5927725"/>
            <wp:effectExtent l="0" t="0" r="0" b="0"/>
            <wp:docPr id="1840414225" name="Picture 14" descr="A close-up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414225" name="Picture 14" descr="A close-up of a graph&#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5927725"/>
                    </a:xfrm>
                    <a:prstGeom prst="rect">
                      <a:avLst/>
                    </a:prstGeom>
                    <a:noFill/>
                    <a:ln>
                      <a:noFill/>
                    </a:ln>
                  </pic:spPr>
                </pic:pic>
              </a:graphicData>
            </a:graphic>
          </wp:inline>
        </w:drawing>
      </w:r>
    </w:p>
    <w:p w14:paraId="63ED11EC" w14:textId="77777777" w:rsidR="0049461E" w:rsidRDefault="0049461E" w:rsidP="0049461E">
      <w:pPr>
        <w:rPr>
          <w:rFonts w:asciiTheme="majorBidi" w:hAnsiTheme="majorBidi" w:cstheme="majorBidi"/>
        </w:rPr>
      </w:pPr>
    </w:p>
    <w:p w14:paraId="2B711539" w14:textId="502F97BB" w:rsidR="00401EBA" w:rsidRPr="0049461E" w:rsidRDefault="0049461E" w:rsidP="00AE219A">
      <w:pPr>
        <w:jc w:val="both"/>
        <w:rPr>
          <w:rFonts w:asciiTheme="majorBidi" w:hAnsiTheme="majorBidi" w:cstheme="majorBidi"/>
        </w:rPr>
      </w:pPr>
      <w:r w:rsidRPr="00321048">
        <w:rPr>
          <w:rFonts w:asciiTheme="majorBidi" w:hAnsiTheme="majorBidi" w:cstheme="majorBidi"/>
        </w:rPr>
        <w:lastRenderedPageBreak/>
        <w:t>Fig</w:t>
      </w:r>
      <w:r w:rsidR="003963BA">
        <w:rPr>
          <w:rFonts w:asciiTheme="majorBidi" w:hAnsiTheme="majorBidi" w:cstheme="majorBidi"/>
        </w:rPr>
        <w:t>.</w:t>
      </w:r>
      <w:r w:rsidRPr="00321048">
        <w:rPr>
          <w:rFonts w:asciiTheme="majorBidi" w:hAnsiTheme="majorBidi" w:cstheme="majorBidi"/>
        </w:rPr>
        <w:t xml:space="preserve"> S1</w:t>
      </w:r>
      <w:r w:rsidR="00331BB5">
        <w:rPr>
          <w:rFonts w:asciiTheme="majorBidi" w:hAnsiTheme="majorBidi" w:cstheme="majorBidi"/>
        </w:rPr>
        <w:t>2</w:t>
      </w:r>
      <w:r w:rsidRPr="00321048">
        <w:rPr>
          <w:rFonts w:asciiTheme="majorBidi" w:hAnsiTheme="majorBidi" w:cstheme="majorBidi"/>
        </w:rPr>
        <w:t xml:space="preserve"> </w:t>
      </w:r>
      <w:r w:rsidR="00321048" w:rsidRPr="00321048">
        <w:rPr>
          <w:rFonts w:asciiTheme="majorBidi" w:hAnsiTheme="majorBidi" w:cstheme="majorBidi"/>
        </w:rPr>
        <w:t>Differential abundance analysis of the X6398 scion within the conventional system.</w:t>
      </w:r>
      <w:r w:rsidR="00321048">
        <w:rPr>
          <w:rFonts w:asciiTheme="majorBidi" w:hAnsiTheme="majorBidi" w:cstheme="majorBidi"/>
        </w:rPr>
        <w:t xml:space="preserve"> </w:t>
      </w:r>
      <w:r w:rsidR="00321048" w:rsidRPr="00321048">
        <w:rPr>
          <w:rFonts w:asciiTheme="majorBidi" w:hAnsiTheme="majorBidi" w:cstheme="majorBidi"/>
        </w:rPr>
        <w:t>The volcano plots show the left column (A, B) displays bacterial taxa, and the right column (C, D) displays fungal taxa, while the rows show the comparison of X6398 against Enterprise (A, C) and Liberty (B, D). The x-axis represents the log2 fold change, and the y-axis represents the -log10 adjusted p-value (padj). Taxa with a padj &lt; 0.05 and a log2 fold change &gt; |1.0| are highlighted in color and labeled. Grey points represent non-significant taxa. These plots highlight the unique microbial taxa significantly enriched in the X6398 scion compared to the other two conventional scions.</w:t>
      </w:r>
    </w:p>
    <w:sectPr w:rsidR="00401EBA" w:rsidRPr="0049461E">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25863E" w14:textId="77777777" w:rsidR="002E6F76" w:rsidRDefault="002E6F76" w:rsidP="00993B1F">
      <w:pPr>
        <w:spacing w:after="0" w:line="240" w:lineRule="auto"/>
      </w:pPr>
      <w:r>
        <w:separator/>
      </w:r>
    </w:p>
  </w:endnote>
  <w:endnote w:type="continuationSeparator" w:id="0">
    <w:p w14:paraId="6D100963" w14:textId="77777777" w:rsidR="002E6F76" w:rsidRDefault="002E6F76" w:rsidP="00993B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22569FB" w14:textId="77777777" w:rsidR="002E6F76" w:rsidRDefault="002E6F76" w:rsidP="00993B1F">
      <w:pPr>
        <w:spacing w:after="0" w:line="240" w:lineRule="auto"/>
      </w:pPr>
      <w:r>
        <w:separator/>
      </w:r>
    </w:p>
  </w:footnote>
  <w:footnote w:type="continuationSeparator" w:id="0">
    <w:p w14:paraId="5C340368" w14:textId="77777777" w:rsidR="002E6F76" w:rsidRDefault="002E6F76" w:rsidP="00993B1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A72AF2"/>
    <w:multiLevelType w:val="multilevel"/>
    <w:tmpl w:val="5D76C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8E9476E"/>
    <w:multiLevelType w:val="multilevel"/>
    <w:tmpl w:val="FB6C2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33246183">
    <w:abstractNumId w:val="1"/>
  </w:num>
  <w:num w:numId="2" w16cid:durableId="15534148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2114"/>
    <w:rsid w:val="00014299"/>
    <w:rsid w:val="00027C10"/>
    <w:rsid w:val="00032398"/>
    <w:rsid w:val="0004092A"/>
    <w:rsid w:val="00041CBF"/>
    <w:rsid w:val="00063761"/>
    <w:rsid w:val="00066305"/>
    <w:rsid w:val="000A6D9E"/>
    <w:rsid w:val="000B72E1"/>
    <w:rsid w:val="000D1116"/>
    <w:rsid w:val="000D4101"/>
    <w:rsid w:val="000D43DA"/>
    <w:rsid w:val="0016177D"/>
    <w:rsid w:val="001705FA"/>
    <w:rsid w:val="00175D6A"/>
    <w:rsid w:val="00177FAF"/>
    <w:rsid w:val="001B16A2"/>
    <w:rsid w:val="001B4937"/>
    <w:rsid w:val="00214E7E"/>
    <w:rsid w:val="00225B00"/>
    <w:rsid w:val="00265437"/>
    <w:rsid w:val="00293BAA"/>
    <w:rsid w:val="002E6F76"/>
    <w:rsid w:val="003138F0"/>
    <w:rsid w:val="00321048"/>
    <w:rsid w:val="00331BB5"/>
    <w:rsid w:val="00352A53"/>
    <w:rsid w:val="003963BA"/>
    <w:rsid w:val="00401EBA"/>
    <w:rsid w:val="00406777"/>
    <w:rsid w:val="00422A89"/>
    <w:rsid w:val="004415B4"/>
    <w:rsid w:val="00466C80"/>
    <w:rsid w:val="0049461E"/>
    <w:rsid w:val="00507910"/>
    <w:rsid w:val="005106DC"/>
    <w:rsid w:val="0054263A"/>
    <w:rsid w:val="00550DB6"/>
    <w:rsid w:val="005909EA"/>
    <w:rsid w:val="005C4148"/>
    <w:rsid w:val="005C4EA7"/>
    <w:rsid w:val="005C7704"/>
    <w:rsid w:val="005F51FE"/>
    <w:rsid w:val="006212B9"/>
    <w:rsid w:val="006242D7"/>
    <w:rsid w:val="00633163"/>
    <w:rsid w:val="00666635"/>
    <w:rsid w:val="00692CFE"/>
    <w:rsid w:val="006A0ABF"/>
    <w:rsid w:val="006D5904"/>
    <w:rsid w:val="006F4AA0"/>
    <w:rsid w:val="00726A5D"/>
    <w:rsid w:val="00727E7F"/>
    <w:rsid w:val="00732965"/>
    <w:rsid w:val="00762744"/>
    <w:rsid w:val="007A5FE3"/>
    <w:rsid w:val="007B08E3"/>
    <w:rsid w:val="007E2AAC"/>
    <w:rsid w:val="00801E34"/>
    <w:rsid w:val="00814A3A"/>
    <w:rsid w:val="00840F99"/>
    <w:rsid w:val="008A0629"/>
    <w:rsid w:val="008F4603"/>
    <w:rsid w:val="0092119B"/>
    <w:rsid w:val="009668AA"/>
    <w:rsid w:val="00993B1F"/>
    <w:rsid w:val="009D203B"/>
    <w:rsid w:val="009D6F13"/>
    <w:rsid w:val="009E6D25"/>
    <w:rsid w:val="009F055D"/>
    <w:rsid w:val="00A04947"/>
    <w:rsid w:val="00A9313D"/>
    <w:rsid w:val="00AB3D35"/>
    <w:rsid w:val="00AE219A"/>
    <w:rsid w:val="00B403A1"/>
    <w:rsid w:val="00B432F1"/>
    <w:rsid w:val="00BB5943"/>
    <w:rsid w:val="00BC0732"/>
    <w:rsid w:val="00BD426C"/>
    <w:rsid w:val="00C1212F"/>
    <w:rsid w:val="00C428F1"/>
    <w:rsid w:val="00C617B5"/>
    <w:rsid w:val="00C67E38"/>
    <w:rsid w:val="00CA06BB"/>
    <w:rsid w:val="00CA06E5"/>
    <w:rsid w:val="00CA2114"/>
    <w:rsid w:val="00CB6320"/>
    <w:rsid w:val="00CC2077"/>
    <w:rsid w:val="00D138C1"/>
    <w:rsid w:val="00D6460B"/>
    <w:rsid w:val="00DD20A0"/>
    <w:rsid w:val="00E41A85"/>
    <w:rsid w:val="00E6595C"/>
    <w:rsid w:val="00E75B28"/>
    <w:rsid w:val="00EC109A"/>
    <w:rsid w:val="00ED150D"/>
    <w:rsid w:val="00EE4F8B"/>
    <w:rsid w:val="00F3414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BE0A76F"/>
  <w15:chartTrackingRefBased/>
  <w15:docId w15:val="{A294C98B-B93D-4496-8AF7-08CA2D8C22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A2114"/>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CA2114"/>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CA2114"/>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CA2114"/>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CA2114"/>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CA211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A211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A211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A211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A2114"/>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CA2114"/>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CA2114"/>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CA2114"/>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CA2114"/>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CA211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A211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A211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A2114"/>
    <w:rPr>
      <w:rFonts w:eastAsiaTheme="majorEastAsia" w:cstheme="majorBidi"/>
      <w:color w:val="272727" w:themeColor="text1" w:themeTint="D8"/>
    </w:rPr>
  </w:style>
  <w:style w:type="paragraph" w:styleId="Title">
    <w:name w:val="Title"/>
    <w:basedOn w:val="Normal"/>
    <w:next w:val="Normal"/>
    <w:link w:val="TitleChar"/>
    <w:uiPriority w:val="10"/>
    <w:qFormat/>
    <w:rsid w:val="00CA211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A211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A2114"/>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A211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A2114"/>
    <w:pPr>
      <w:spacing w:before="160"/>
      <w:jc w:val="center"/>
    </w:pPr>
    <w:rPr>
      <w:i/>
      <w:iCs/>
      <w:color w:val="404040" w:themeColor="text1" w:themeTint="BF"/>
    </w:rPr>
  </w:style>
  <w:style w:type="character" w:customStyle="1" w:styleId="QuoteChar">
    <w:name w:val="Quote Char"/>
    <w:basedOn w:val="DefaultParagraphFont"/>
    <w:link w:val="Quote"/>
    <w:uiPriority w:val="29"/>
    <w:rsid w:val="00CA2114"/>
    <w:rPr>
      <w:i/>
      <w:iCs/>
      <w:color w:val="404040" w:themeColor="text1" w:themeTint="BF"/>
    </w:rPr>
  </w:style>
  <w:style w:type="paragraph" w:styleId="ListParagraph">
    <w:name w:val="List Paragraph"/>
    <w:basedOn w:val="Normal"/>
    <w:uiPriority w:val="34"/>
    <w:qFormat/>
    <w:rsid w:val="00CA2114"/>
    <w:pPr>
      <w:ind w:left="720"/>
      <w:contextualSpacing/>
    </w:pPr>
  </w:style>
  <w:style w:type="character" w:styleId="IntenseEmphasis">
    <w:name w:val="Intense Emphasis"/>
    <w:basedOn w:val="DefaultParagraphFont"/>
    <w:uiPriority w:val="21"/>
    <w:qFormat/>
    <w:rsid w:val="00CA2114"/>
    <w:rPr>
      <w:i/>
      <w:iCs/>
      <w:color w:val="2F5496" w:themeColor="accent1" w:themeShade="BF"/>
    </w:rPr>
  </w:style>
  <w:style w:type="paragraph" w:styleId="IntenseQuote">
    <w:name w:val="Intense Quote"/>
    <w:basedOn w:val="Normal"/>
    <w:next w:val="Normal"/>
    <w:link w:val="IntenseQuoteChar"/>
    <w:uiPriority w:val="30"/>
    <w:qFormat/>
    <w:rsid w:val="00CA2114"/>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CA2114"/>
    <w:rPr>
      <w:i/>
      <w:iCs/>
      <w:color w:val="2F5496" w:themeColor="accent1" w:themeShade="BF"/>
    </w:rPr>
  </w:style>
  <w:style w:type="character" w:styleId="IntenseReference">
    <w:name w:val="Intense Reference"/>
    <w:basedOn w:val="DefaultParagraphFont"/>
    <w:uiPriority w:val="32"/>
    <w:qFormat/>
    <w:rsid w:val="00CA2114"/>
    <w:rPr>
      <w:b/>
      <w:bCs/>
      <w:smallCaps/>
      <w:color w:val="2F5496" w:themeColor="accent1" w:themeShade="BF"/>
      <w:spacing w:val="5"/>
    </w:rPr>
  </w:style>
  <w:style w:type="paragraph" w:styleId="NormalWeb">
    <w:name w:val="Normal (Web)"/>
    <w:basedOn w:val="Normal"/>
    <w:uiPriority w:val="99"/>
    <w:semiHidden/>
    <w:unhideWhenUsed/>
    <w:rsid w:val="00993B1F"/>
    <w:rPr>
      <w:rFonts w:ascii="Times New Roman" w:hAnsi="Times New Roman" w:cs="Times New Roman"/>
    </w:rPr>
  </w:style>
  <w:style w:type="paragraph" w:styleId="Header">
    <w:name w:val="header"/>
    <w:basedOn w:val="Normal"/>
    <w:link w:val="HeaderChar"/>
    <w:uiPriority w:val="99"/>
    <w:unhideWhenUsed/>
    <w:rsid w:val="00993B1F"/>
    <w:pPr>
      <w:tabs>
        <w:tab w:val="center" w:pos="4680"/>
        <w:tab w:val="right" w:pos="9360"/>
      </w:tabs>
      <w:spacing w:after="0" w:line="240" w:lineRule="auto"/>
    </w:pPr>
  </w:style>
  <w:style w:type="character" w:customStyle="1" w:styleId="HeaderChar">
    <w:name w:val="Header Char"/>
    <w:basedOn w:val="DefaultParagraphFont"/>
    <w:link w:val="Header"/>
    <w:uiPriority w:val="99"/>
    <w:rsid w:val="00993B1F"/>
  </w:style>
  <w:style w:type="paragraph" w:styleId="Footer">
    <w:name w:val="footer"/>
    <w:basedOn w:val="Normal"/>
    <w:link w:val="FooterChar"/>
    <w:uiPriority w:val="99"/>
    <w:unhideWhenUsed/>
    <w:rsid w:val="00993B1F"/>
    <w:pPr>
      <w:tabs>
        <w:tab w:val="center" w:pos="4680"/>
        <w:tab w:val="right" w:pos="9360"/>
      </w:tabs>
      <w:spacing w:after="0" w:line="240" w:lineRule="auto"/>
    </w:pPr>
  </w:style>
  <w:style w:type="character" w:customStyle="1" w:styleId="FooterChar">
    <w:name w:val="Footer Char"/>
    <w:basedOn w:val="DefaultParagraphFont"/>
    <w:link w:val="Footer"/>
    <w:uiPriority w:val="99"/>
    <w:rsid w:val="00993B1F"/>
  </w:style>
  <w:style w:type="character" w:styleId="Hyperlink">
    <w:name w:val="Hyperlink"/>
    <w:basedOn w:val="DefaultParagraphFont"/>
    <w:uiPriority w:val="99"/>
    <w:unhideWhenUsed/>
    <w:rsid w:val="00401EBA"/>
    <w:rPr>
      <w:color w:val="0563C1" w:themeColor="hyperlink"/>
      <w:u w:val="single"/>
    </w:rPr>
  </w:style>
  <w:style w:type="character" w:styleId="UnresolvedMention">
    <w:name w:val="Unresolved Mention"/>
    <w:basedOn w:val="DefaultParagraphFont"/>
    <w:uiPriority w:val="99"/>
    <w:semiHidden/>
    <w:unhideWhenUsed/>
    <w:rsid w:val="00401EB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265</TotalTime>
  <Pages>14</Pages>
  <Words>1203</Words>
  <Characters>7258</Characters>
  <Application>Microsoft Office Word</Application>
  <DocSecurity>0</DocSecurity>
  <Lines>154</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Zarrabian, Mohammad</dc:creator>
  <cp:keywords/>
  <dc:description/>
  <cp:lastModifiedBy>Zarrabian, Mohammad</cp:lastModifiedBy>
  <cp:revision>68</cp:revision>
  <dcterms:created xsi:type="dcterms:W3CDTF">2025-11-04T02:24:00Z</dcterms:created>
  <dcterms:modified xsi:type="dcterms:W3CDTF">2026-01-07T19:12:00Z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dbc9e51a-1dc0-4945-b037-825a099bc22f</vt:lpwstr>
  </property>
</Properties>
</file>