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40AD1" w14:textId="77777777" w:rsidR="00C81BE6" w:rsidRPr="00DE1F57" w:rsidRDefault="00C81BE6" w:rsidP="00C81BE6">
      <w:pPr>
        <w:pStyle w:val="Table"/>
        <w:spacing w:line="480" w:lineRule="auto"/>
      </w:pPr>
      <w:bookmarkStart w:id="0" w:name="_Ref206867160"/>
      <w:r w:rsidRPr="00DE1F57">
        <w:t xml:space="preserve">Supplementary table </w:t>
      </w:r>
      <w:r>
        <w:fldChar w:fldCharType="begin"/>
      </w:r>
      <w:r>
        <w:instrText xml:space="preserve"> SEQ Supplementary_table \* ROMAN </w:instrText>
      </w:r>
      <w:r>
        <w:fldChar w:fldCharType="separate"/>
      </w:r>
      <w:r w:rsidRPr="00DE1F57">
        <w:rPr>
          <w:noProof/>
        </w:rPr>
        <w:t>I</w:t>
      </w:r>
      <w:r>
        <w:rPr>
          <w:noProof/>
        </w:rPr>
        <w:fldChar w:fldCharType="end"/>
      </w:r>
      <w:bookmarkEnd w:id="0"/>
      <w:r w:rsidRPr="00DE1F57">
        <w:t>. Code of Content</w:t>
      </w:r>
    </w:p>
    <w:tbl>
      <w:tblPr>
        <w:tblW w:w="5000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3"/>
        <w:gridCol w:w="2357"/>
      </w:tblGrid>
      <w:tr w:rsidR="00C81BE6" w:rsidRPr="00DE1F57" w14:paraId="769DDE08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BFFAB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Content</w:t>
            </w:r>
          </w:p>
        </w:tc>
        <w:tc>
          <w:tcPr>
            <w:tcW w:w="12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025C5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Code</w:t>
            </w:r>
          </w:p>
        </w:tc>
      </w:tr>
      <w:tr w:rsidR="00C81BE6" w:rsidRPr="00DE1F57" w14:paraId="411EBE58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BC42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Comorbidities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FFD2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</w:p>
        </w:tc>
      </w:tr>
      <w:tr w:rsidR="00C81BE6" w:rsidRPr="00DE1F57" w14:paraId="36A42D7E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90A4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Hypertensive diseases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B937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</w:t>
            </w:r>
            <w:r w:rsidRPr="00DE1F57">
              <w:rPr>
                <w:rStyle w:val="FootnoteReference"/>
                <w:rFonts w:cs="Times New Roman"/>
                <w:kern w:val="0"/>
                <w:szCs w:val="20"/>
              </w:rPr>
              <w:footnoteReference w:id="1"/>
            </w:r>
            <w:r w:rsidRPr="00DE1F57">
              <w:rPr>
                <w:rFonts w:cs="Times New Roman"/>
                <w:kern w:val="0"/>
                <w:szCs w:val="20"/>
              </w:rPr>
              <w:t>: I10-I1A</w:t>
            </w:r>
          </w:p>
        </w:tc>
      </w:tr>
      <w:tr w:rsidR="00C81BE6" w:rsidRPr="00DE1F57" w14:paraId="6C2E4490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213A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lipoprotein metabolism and other lipidemias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83E6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E78</w:t>
            </w:r>
          </w:p>
        </w:tc>
      </w:tr>
      <w:tr w:rsidR="00C81BE6" w:rsidRPr="00DE1F57" w14:paraId="17A3D071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9380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Neoplasms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75E2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C00-D49</w:t>
            </w:r>
          </w:p>
        </w:tc>
      </w:tr>
      <w:tr w:rsidR="00C81BE6" w:rsidRPr="00DE1F57" w14:paraId="21AC5F2A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0437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Diabetes mellitus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8D97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E08-E13</w:t>
            </w:r>
          </w:p>
        </w:tc>
      </w:tr>
      <w:tr w:rsidR="00C81BE6" w:rsidRPr="00DE1F57" w14:paraId="1A9FED47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B951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Ischemic heart diseases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2799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I20-I25</w:t>
            </w:r>
          </w:p>
        </w:tc>
      </w:tr>
      <w:tr w:rsidR="00C81BE6" w:rsidRPr="00DE1F57" w14:paraId="69E08DE9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E789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Chronic kidney disease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4EA6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N18</w:t>
            </w:r>
          </w:p>
        </w:tc>
      </w:tr>
      <w:tr w:rsidR="00C81BE6" w:rsidRPr="00DE1F57" w14:paraId="7B79937F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11B7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Obesity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71BF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E66.9</w:t>
            </w:r>
          </w:p>
        </w:tc>
      </w:tr>
      <w:tr w:rsidR="00C81BE6" w:rsidRPr="00DE1F57" w14:paraId="4F6E3B61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1C602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Cerebrovascular diseases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0A88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I60-I69</w:t>
            </w:r>
          </w:p>
        </w:tc>
      </w:tr>
      <w:tr w:rsidR="00C81BE6" w:rsidRPr="00DE1F57" w14:paraId="4CEEDAF9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8DE2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Diseases of liver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EE61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K70-K77</w:t>
            </w:r>
          </w:p>
        </w:tc>
      </w:tr>
      <w:tr w:rsidR="00C81BE6" w:rsidRPr="00DE1F57" w14:paraId="7F153575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366A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Human immunodeficiency virus disease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54F6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B20</w:t>
            </w:r>
          </w:p>
        </w:tc>
      </w:tr>
      <w:tr w:rsidR="00C81BE6" w:rsidRPr="00DE1F57" w14:paraId="098C24D6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0BC1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Medications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BCE0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</w:p>
        </w:tc>
      </w:tr>
      <w:tr w:rsidR="00C81BE6" w:rsidRPr="00DE1F57" w14:paraId="71AD9E0F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DD91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Analgesics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D4B4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ATC</w:t>
            </w:r>
            <w:r w:rsidRPr="00DE1F57">
              <w:rPr>
                <w:rStyle w:val="FootnoteReference"/>
                <w:rFonts w:cs="Times New Roman"/>
                <w:kern w:val="0"/>
                <w:szCs w:val="20"/>
              </w:rPr>
              <w:footnoteReference w:id="2"/>
            </w:r>
            <w:r w:rsidRPr="00DE1F57">
              <w:rPr>
                <w:rFonts w:cs="Times New Roman"/>
                <w:kern w:val="0"/>
                <w:szCs w:val="20"/>
              </w:rPr>
              <w:t>: N02</w:t>
            </w:r>
          </w:p>
        </w:tc>
      </w:tr>
      <w:tr w:rsidR="00C81BE6" w:rsidRPr="00DE1F57" w14:paraId="081FF1CD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5995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Antiepileptics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95EA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ATC: N03</w:t>
            </w:r>
          </w:p>
        </w:tc>
      </w:tr>
      <w:tr w:rsidR="00C81BE6" w:rsidRPr="00DE1F57" w14:paraId="309F0B9C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BF88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Antidepressants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92BB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ATC: N06A</w:t>
            </w:r>
          </w:p>
        </w:tc>
      </w:tr>
      <w:tr w:rsidR="00C81BE6" w:rsidRPr="00DE1F57" w14:paraId="5C59DDD0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D2A6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NSAIDs (Non-steroidal anti-inflammatory drugs)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F826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ATC: M01A</w:t>
            </w:r>
          </w:p>
        </w:tc>
      </w:tr>
      <w:tr w:rsidR="00C81BE6" w:rsidRPr="00DE1F57" w14:paraId="2FAF9C42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F6A3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Corticosteroids for systemic use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A071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ATC: H02</w:t>
            </w:r>
          </w:p>
        </w:tc>
      </w:tr>
      <w:tr w:rsidR="00C81BE6" w:rsidRPr="00DE1F57" w14:paraId="74EC74ED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A56B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Valacyclovir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D499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RxNorm</w:t>
            </w:r>
            <w:r w:rsidRPr="00DE1F57">
              <w:rPr>
                <w:rStyle w:val="FootnoteReference"/>
                <w:rFonts w:cs="Times New Roman"/>
                <w:kern w:val="0"/>
                <w:szCs w:val="20"/>
              </w:rPr>
              <w:footnoteReference w:id="3"/>
            </w:r>
            <w:r w:rsidRPr="00DE1F57">
              <w:rPr>
                <w:rFonts w:cs="Times New Roman"/>
                <w:kern w:val="0"/>
                <w:szCs w:val="20"/>
              </w:rPr>
              <w:t>: 73645</w:t>
            </w:r>
          </w:p>
        </w:tc>
      </w:tr>
      <w:tr w:rsidR="00C81BE6" w:rsidRPr="00DE1F57" w14:paraId="0238D24C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E90D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Acyclovir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7AC4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RxNorm: 281</w:t>
            </w:r>
          </w:p>
        </w:tc>
      </w:tr>
      <w:tr w:rsidR="00C81BE6" w:rsidRPr="00DE1F57" w14:paraId="79564850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8716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Famciclovir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3FE7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RxNorm: 68099</w:t>
            </w:r>
          </w:p>
        </w:tc>
      </w:tr>
      <w:tr w:rsidR="00C81BE6" w:rsidRPr="00DE1F57" w14:paraId="025A062D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1158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  <w:lang w:val="fr-FR"/>
              </w:rPr>
            </w:pPr>
            <w:r w:rsidRPr="00DE1F57">
              <w:rPr>
                <w:rFonts w:cs="Times New Roman"/>
                <w:kern w:val="0"/>
                <w:szCs w:val="20"/>
                <w:lang w:val="fr-FR"/>
              </w:rPr>
              <w:t>Varicella zoster virus glycoprotein 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43CE9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RxNorm: 1986821</w:t>
            </w:r>
          </w:p>
        </w:tc>
      </w:tr>
      <w:tr w:rsidR="00C81BE6" w:rsidRPr="00DE1F57" w14:paraId="37ABC12E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B951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Varicella-zoster virus vaccine live (Oka-Merck) strain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425D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RxNorm: 1292422</w:t>
            </w:r>
          </w:p>
        </w:tc>
      </w:tr>
      <w:tr w:rsidR="00C81BE6" w:rsidRPr="00DE1F57" w14:paraId="276CADF9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EDE0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lastRenderedPageBreak/>
              <w:t>Zoster (shingles) vaccine (HZV), recombinant, subunit, adjuvanted, for intramuscular use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85DA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CPT</w:t>
            </w:r>
            <w:r w:rsidRPr="00DE1F57">
              <w:rPr>
                <w:rStyle w:val="FootnoteReference"/>
                <w:rFonts w:cs="Times New Roman"/>
                <w:kern w:val="0"/>
                <w:szCs w:val="20"/>
              </w:rPr>
              <w:footnoteReference w:id="4"/>
            </w:r>
            <w:r w:rsidRPr="00DE1F57">
              <w:rPr>
                <w:rFonts w:cs="Times New Roman"/>
                <w:kern w:val="0"/>
                <w:szCs w:val="20"/>
              </w:rPr>
              <w:t>: 90750</w:t>
            </w:r>
          </w:p>
        </w:tc>
      </w:tr>
      <w:tr w:rsidR="00C81BE6" w:rsidRPr="00DE1F57" w14:paraId="562D6274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B040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Zoster (shingles) vaccine (HZV), live, for subcutaneous injection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70AF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CPT: 90736</w:t>
            </w:r>
          </w:p>
        </w:tc>
      </w:tr>
      <w:tr w:rsidR="00C81BE6" w:rsidRPr="00DE1F57" w14:paraId="48B06F6E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6CE1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Outcome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DFD6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</w:p>
        </w:tc>
      </w:tr>
      <w:tr w:rsidR="00C81BE6" w:rsidRPr="00DE1F57" w14:paraId="2E1CF133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F9C3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8A7D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F30-F39</w:t>
            </w:r>
          </w:p>
        </w:tc>
      </w:tr>
      <w:tr w:rsidR="00C81BE6" w:rsidRPr="00DE1F57" w14:paraId="6A724865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E0D9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D22F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F40-F48</w:t>
            </w:r>
          </w:p>
        </w:tc>
      </w:tr>
      <w:tr w:rsidR="00C81BE6" w:rsidRPr="00DE1F57" w14:paraId="73A55A38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04A8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7A58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F50-F59</w:t>
            </w:r>
          </w:p>
        </w:tc>
      </w:tr>
      <w:tr w:rsidR="00C81BE6" w:rsidRPr="00DE1F57" w14:paraId="3A5B0859" w14:textId="77777777" w:rsidTr="00926A74">
        <w:trPr>
          <w:trHeight w:val="300"/>
          <w:jc w:val="center"/>
        </w:trPr>
        <w:tc>
          <w:tcPr>
            <w:tcW w:w="37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83091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125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FF61E3" w14:textId="77777777" w:rsidR="00C81BE6" w:rsidRPr="00DE1F57" w:rsidRDefault="00C81BE6" w:rsidP="00926A74">
            <w:pPr>
              <w:keepNext/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ICD-10-CM: F60-F69</w:t>
            </w:r>
          </w:p>
        </w:tc>
      </w:tr>
    </w:tbl>
    <w:p w14:paraId="515C11BA" w14:textId="77777777" w:rsidR="00C81BE6" w:rsidRPr="00DE1F57" w:rsidRDefault="00C81BE6" w:rsidP="00C81BE6">
      <w:pPr>
        <w:spacing w:after="0" w:line="480" w:lineRule="auto"/>
        <w:jc w:val="both"/>
        <w:rPr>
          <w:rFonts w:cs="Times New Roman"/>
          <w:szCs w:val="20"/>
        </w:rPr>
      </w:pPr>
    </w:p>
    <w:p w14:paraId="5420ECC7" w14:textId="77777777" w:rsidR="00C81BE6" w:rsidRPr="00DE1F57" w:rsidRDefault="00C81BE6" w:rsidP="00C81BE6">
      <w:pPr>
        <w:spacing w:after="0" w:line="480" w:lineRule="auto"/>
        <w:jc w:val="both"/>
        <w:rPr>
          <w:rFonts w:cs="Times New Roman"/>
          <w:szCs w:val="20"/>
        </w:rPr>
      </w:pPr>
      <w:r w:rsidRPr="00DE1F57">
        <w:rPr>
          <w:rFonts w:cs="Times New Roman"/>
          <w:szCs w:val="20"/>
        </w:rPr>
        <w:br w:type="page"/>
      </w:r>
    </w:p>
    <w:p w14:paraId="0E2870D4" w14:textId="77777777" w:rsidR="00C81BE6" w:rsidRPr="00DE1F57" w:rsidRDefault="00C81BE6" w:rsidP="00C81BE6">
      <w:pPr>
        <w:pStyle w:val="Table"/>
        <w:spacing w:line="480" w:lineRule="auto"/>
      </w:pPr>
      <w:r w:rsidRPr="00DE1F57">
        <w:lastRenderedPageBreak/>
        <w:t>Supplementary table II. Stratified analysis of sub-outcomes related to the risks of mental disorders across different groups</w:t>
      </w:r>
    </w:p>
    <w:tbl>
      <w:tblPr>
        <w:tblW w:w="5000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71"/>
        <w:gridCol w:w="1219"/>
        <w:gridCol w:w="1623"/>
        <w:gridCol w:w="1647"/>
      </w:tblGrid>
      <w:tr w:rsidR="00C81BE6" w:rsidRPr="00DE1F57" w14:paraId="5CAFA5A0" w14:textId="77777777" w:rsidTr="00926A74">
        <w:trPr>
          <w:trHeight w:val="721"/>
          <w:jc w:val="center"/>
        </w:trPr>
        <w:tc>
          <w:tcPr>
            <w:tcW w:w="26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7D230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bookmarkStart w:id="1" w:name="_Hlk196323338"/>
            <w:r w:rsidRPr="00DE1F57">
              <w:rPr>
                <w:rFonts w:eastAsia="PMingLiU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B564E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Postherpetic neuralgia 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EC2BC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Non-Postherpetic neuralgia 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58974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HR (95% C.I.)</w:t>
            </w:r>
          </w:p>
        </w:tc>
      </w:tr>
      <w:tr w:rsidR="00C81BE6" w:rsidRPr="00DE1F57" w14:paraId="6B82A6F5" w14:textId="77777777" w:rsidTr="00926A74">
        <w:trPr>
          <w:trHeight w:val="5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71E57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eastAsia="PMingLiU" w:cs="Times New Roman"/>
                <w:b/>
                <w:bCs/>
                <w:kern w:val="0"/>
                <w:szCs w:val="20"/>
              </w:rPr>
              <w:t>Age = 18-64 (N = 15364)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D914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B125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C046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C81BE6" w:rsidRPr="00DE1F57" w14:paraId="36C7CB50" w14:textId="77777777" w:rsidTr="00926A74">
        <w:trPr>
          <w:trHeight w:val="12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BEB6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3C07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273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C59F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215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461C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1.24 (1.03–1.48)</w:t>
            </w:r>
          </w:p>
        </w:tc>
      </w:tr>
      <w:tr w:rsidR="00C81BE6" w:rsidRPr="00DE1F57" w14:paraId="6BC3BCB7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F827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E121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392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8A89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280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77C9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1.37 (1.17–1.59)</w:t>
            </w:r>
          </w:p>
        </w:tc>
      </w:tr>
      <w:tr w:rsidR="00C81BE6" w:rsidRPr="00DE1F57" w14:paraId="62951F8A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BAF1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8F3E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60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0AF2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46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BDEF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1.27 (0.86–1.86)</w:t>
            </w:r>
          </w:p>
        </w:tc>
      </w:tr>
      <w:tr w:rsidR="00C81BE6" w:rsidRPr="00DE1F57" w14:paraId="605B1312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7D65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7707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10</w:t>
            </w:r>
            <w:r w:rsidRPr="00DE1F57">
              <w:rPr>
                <w:rFonts w:cs="Times New Roman"/>
                <w:iCs/>
                <w:noProof/>
                <w:color w:val="000000" w:themeColor="text1"/>
                <w:szCs w:val="20"/>
              </w:rPr>
              <w:t>*</w:t>
            </w:r>
            <w:r w:rsidRPr="00DE1F57">
              <w:rPr>
                <w:rFonts w:eastAsia="PMingLiU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29EC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1594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1.25 (0.47–3.35)</w:t>
            </w:r>
          </w:p>
        </w:tc>
      </w:tr>
      <w:tr w:rsidR="00C81BE6" w:rsidRPr="00DE1F57" w14:paraId="47C4B098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7734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eastAsia="PMingLiU" w:cs="Times New Roman"/>
                <w:b/>
                <w:bCs/>
                <w:kern w:val="0"/>
                <w:szCs w:val="20"/>
              </w:rPr>
              <w:t>Age ≥65 (N = 16851)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F420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5572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CCF44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C81BE6" w:rsidRPr="00DE1F57" w14:paraId="758990D6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79ED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5A65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259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AA08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252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D6E3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0.98 (0.83–1.17)</w:t>
            </w:r>
          </w:p>
        </w:tc>
      </w:tr>
      <w:tr w:rsidR="00C81BE6" w:rsidRPr="00DE1F57" w14:paraId="135F68A0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65AA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17F4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374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CBE3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313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AA59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1.15 (0.99–1.33)</w:t>
            </w:r>
          </w:p>
        </w:tc>
      </w:tr>
      <w:tr w:rsidR="00C81BE6" w:rsidRPr="00DE1F57" w14:paraId="2C64A9A2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D82A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9901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70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A8DC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50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D5AE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1.34 (0.93–1.93)</w:t>
            </w:r>
          </w:p>
        </w:tc>
      </w:tr>
      <w:tr w:rsidR="00C81BE6" w:rsidRPr="00DE1F57" w14:paraId="4A772B98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C664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D3F2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CE1A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9DB1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0.96 (0.19–4.74)</w:t>
            </w:r>
          </w:p>
        </w:tc>
      </w:tr>
      <w:tr w:rsidR="00C81BE6" w:rsidRPr="00DE1F57" w14:paraId="38F808E8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0341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eastAsia="PMingLiU" w:cs="Times New Roman"/>
                <w:b/>
                <w:bCs/>
                <w:kern w:val="0"/>
                <w:szCs w:val="20"/>
              </w:rPr>
              <w:t>Female (N = 17353)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A65D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0BD2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5137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C81BE6" w:rsidRPr="00DE1F57" w14:paraId="6B5BB802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A75D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860F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313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DFBF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250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7163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1.21 (1.03–1.43)</w:t>
            </w:r>
          </w:p>
        </w:tc>
      </w:tr>
      <w:tr w:rsidR="00C81BE6" w:rsidRPr="00DE1F57" w14:paraId="7AD7C9F5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F0CE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DD9C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520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93A9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418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926F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1.21 (1.06–1.37)</w:t>
            </w:r>
          </w:p>
        </w:tc>
      </w:tr>
      <w:tr w:rsidR="00C81BE6" w:rsidRPr="00DE1F57" w14:paraId="5DB56427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BB71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C97C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65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832C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63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16CB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1.00 (0.71–1.41)</w:t>
            </w:r>
          </w:p>
        </w:tc>
      </w:tr>
      <w:tr w:rsidR="00C81BE6" w:rsidRPr="00DE1F57" w14:paraId="7D81624C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00FC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F8FB9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8843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5A3F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2.25 (0.58–8.71)</w:t>
            </w:r>
          </w:p>
        </w:tc>
      </w:tr>
      <w:tr w:rsidR="00C81BE6" w:rsidRPr="00DE1F57" w14:paraId="5663711A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4F6C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eastAsia="PMingLiU" w:cs="Times New Roman"/>
                <w:b/>
                <w:bCs/>
                <w:kern w:val="0"/>
                <w:szCs w:val="20"/>
              </w:rPr>
              <w:t>Male (N = 11598)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BB27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A635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1A77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C81BE6" w:rsidRPr="00DE1F57" w14:paraId="11038E7F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F6D4A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9CFB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158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22AF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145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657D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1.07 (0.85–1.34)</w:t>
            </w:r>
          </w:p>
        </w:tc>
      </w:tr>
      <w:tr w:rsidR="00C81BE6" w:rsidRPr="00DE1F57" w14:paraId="5D0CA1B8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E5FF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lastRenderedPageBreak/>
              <w:t>Anxiety, dissociative, stress-related, somatoform and other nonpsychotic mental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5ACE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203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5F52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178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AA29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1.12 (0.91–1.37)</w:t>
            </w:r>
          </w:p>
        </w:tc>
      </w:tr>
      <w:tr w:rsidR="00C81BE6" w:rsidRPr="00DE1F57" w14:paraId="0D99C19E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4FD6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9AE3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45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E038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24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9E95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1.84 (1.12–3.01)</w:t>
            </w:r>
          </w:p>
        </w:tc>
      </w:tr>
      <w:tr w:rsidR="00C81BE6" w:rsidRPr="00DE1F57" w14:paraId="2CF86829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58C6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872F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F008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4785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N/A</w:t>
            </w:r>
          </w:p>
        </w:tc>
      </w:tr>
      <w:tr w:rsidR="00C81BE6" w:rsidRPr="00DE1F57" w14:paraId="04DABF49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0B13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eastAsia="PMingLiU" w:cs="Times New Roman"/>
                <w:b/>
                <w:bCs/>
                <w:kern w:val="0"/>
                <w:szCs w:val="20"/>
              </w:rPr>
              <w:t>White (N = 19490)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BF11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CABD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A131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C81BE6" w:rsidRPr="00DE1F57" w14:paraId="51E8C207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8FEE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7C44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329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1A1E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313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CC0A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1.02 (0.87–1.19)</w:t>
            </w:r>
          </w:p>
        </w:tc>
      </w:tr>
      <w:tr w:rsidR="00C81BE6" w:rsidRPr="00DE1F57" w14:paraId="2C88E3D8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8792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DD67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553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97DA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443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560A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1.21 (1.07–1.38)</w:t>
            </w:r>
          </w:p>
        </w:tc>
      </w:tr>
      <w:tr w:rsidR="00C81BE6" w:rsidRPr="00DE1F57" w14:paraId="3C36F5E4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9A9C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284F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75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2E8F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54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1312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1.35 (0.95–1.91)</w:t>
            </w:r>
          </w:p>
        </w:tc>
      </w:tr>
      <w:tr w:rsidR="00C81BE6" w:rsidRPr="00DE1F57" w14:paraId="285BBB12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3EE1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0CB8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CF39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9401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1.94 (0.49–7.75)</w:t>
            </w:r>
          </w:p>
        </w:tc>
      </w:tr>
      <w:tr w:rsidR="00C81BE6" w:rsidRPr="00DE1F57" w14:paraId="5B17076B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474C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eastAsia="PMingLiU" w:cs="Times New Roman"/>
                <w:b/>
                <w:bCs/>
                <w:kern w:val="0"/>
                <w:szCs w:val="20"/>
              </w:rPr>
              <w:t>Black (N = 2997)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1154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AA2A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EDAA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C81BE6" w:rsidRPr="00DE1F57" w14:paraId="5E8CE134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46A0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4D71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61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DCA2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36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0363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1.64 (1.09–2.48)</w:t>
            </w:r>
          </w:p>
        </w:tc>
      </w:tr>
      <w:tr w:rsidR="00C81BE6" w:rsidRPr="00DE1F57" w14:paraId="612BD33F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8601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AD77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62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A83E1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53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357C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1.13 (0.78–1.63)</w:t>
            </w:r>
          </w:p>
        </w:tc>
      </w:tr>
      <w:tr w:rsidR="00C81BE6" w:rsidRPr="00DE1F57" w14:paraId="70C28286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4032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0B001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00A7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D437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1.10 (0.40–3.04)</w:t>
            </w:r>
          </w:p>
        </w:tc>
      </w:tr>
      <w:tr w:rsidR="00C81BE6" w:rsidRPr="00DE1F57" w14:paraId="20C2813C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63B6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F1A77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2AAB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B2B2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N/A</w:t>
            </w:r>
          </w:p>
        </w:tc>
      </w:tr>
      <w:tr w:rsidR="00C81BE6" w:rsidRPr="00DE1F57" w14:paraId="7754B04B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4920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eastAsia="PMingLiU" w:cs="Times New Roman"/>
                <w:b/>
                <w:bCs/>
                <w:kern w:val="0"/>
                <w:szCs w:val="20"/>
              </w:rPr>
              <w:t>Asian (N = 1913)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29EA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C9E5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45D1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C81BE6" w:rsidRPr="00DE1F57" w14:paraId="248E7433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C253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C34C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0831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14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0EA6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0.62 (0.27–1.44)</w:t>
            </w:r>
          </w:p>
        </w:tc>
      </w:tr>
      <w:tr w:rsidR="00C81BE6" w:rsidRPr="00DE1F57" w14:paraId="2758D755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C942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B9A6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31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ED77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C50EA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1.50 (0.86–2.64)</w:t>
            </w:r>
          </w:p>
        </w:tc>
      </w:tr>
      <w:tr w:rsidR="00C81BE6" w:rsidRPr="00DE1F57" w14:paraId="2E19AA53" w14:textId="77777777" w:rsidTr="00926A74">
        <w:trPr>
          <w:trHeight w:val="331"/>
          <w:jc w:val="center"/>
        </w:trPr>
        <w:tc>
          <w:tcPr>
            <w:tcW w:w="26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9A5C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AA61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229B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7A3F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2.26 (0.58–8.74)</w:t>
            </w:r>
          </w:p>
        </w:tc>
      </w:tr>
      <w:tr w:rsidR="00C81BE6" w:rsidRPr="00DE1F57" w14:paraId="39699ED6" w14:textId="77777777" w:rsidTr="00926A74">
        <w:trPr>
          <w:trHeight w:val="63"/>
          <w:jc w:val="center"/>
        </w:trPr>
        <w:tc>
          <w:tcPr>
            <w:tcW w:w="26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A7EE1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65F48C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6372E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3CE6A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2.90 (0.30–27.92)</w:t>
            </w:r>
          </w:p>
        </w:tc>
      </w:tr>
    </w:tbl>
    <w:bookmarkEnd w:id="1"/>
    <w:p w14:paraId="23FF4F7C" w14:textId="77777777" w:rsidR="00C81BE6" w:rsidRPr="00DE1F57" w:rsidRDefault="00C81BE6" w:rsidP="00C81BE6">
      <w:pPr>
        <w:snapToGrid w:val="0"/>
        <w:spacing w:after="0" w:line="480" w:lineRule="auto"/>
        <w:jc w:val="both"/>
        <w:rPr>
          <w:rFonts w:cs="Times New Roman"/>
          <w:i/>
          <w:noProof/>
          <w:color w:val="000000" w:themeColor="text1"/>
          <w:szCs w:val="20"/>
        </w:rPr>
      </w:pPr>
      <w:r w:rsidRPr="00DE1F57">
        <w:rPr>
          <w:rFonts w:cs="Times New Roman"/>
          <w:iCs/>
          <w:noProof/>
          <w:color w:val="000000" w:themeColor="text1"/>
          <w:szCs w:val="20"/>
        </w:rPr>
        <w:t>*</w:t>
      </w:r>
      <w:r w:rsidRPr="00DE1F57">
        <w:rPr>
          <w:rFonts w:cs="Times New Roman"/>
          <w:i/>
          <w:noProof/>
          <w:color w:val="000000" w:themeColor="text1"/>
          <w:szCs w:val="20"/>
        </w:rPr>
        <w:t>If the patient's count is 1-10, the results indicate a count of 10.</w:t>
      </w:r>
    </w:p>
    <w:p w14:paraId="1499166D" w14:textId="77777777" w:rsidR="00C81BE6" w:rsidRPr="00DE1F57" w:rsidRDefault="00C81BE6" w:rsidP="00C81BE6">
      <w:pPr>
        <w:spacing w:after="0" w:line="480" w:lineRule="auto"/>
        <w:jc w:val="both"/>
        <w:rPr>
          <w:rFonts w:cs="Times New Roman"/>
          <w:szCs w:val="20"/>
        </w:rPr>
      </w:pPr>
      <w:r w:rsidRPr="00DE1F57">
        <w:rPr>
          <w:rFonts w:cs="Times New Roman"/>
          <w:szCs w:val="20"/>
        </w:rPr>
        <w:br w:type="page"/>
      </w:r>
    </w:p>
    <w:p w14:paraId="4FFE06EC" w14:textId="77777777" w:rsidR="00C81BE6" w:rsidRPr="00DE1F57" w:rsidRDefault="00C81BE6" w:rsidP="00C81BE6">
      <w:pPr>
        <w:pStyle w:val="Table"/>
        <w:spacing w:line="480" w:lineRule="auto"/>
      </w:pPr>
      <w:r w:rsidRPr="00DE1F57">
        <w:lastRenderedPageBreak/>
        <w:t>Supplementary table III. Comparison of risks of mental disorders for patients with different sites of herpes zoster involvement between PHN and non-PHN groups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38"/>
        <w:gridCol w:w="998"/>
        <w:gridCol w:w="1252"/>
        <w:gridCol w:w="1206"/>
        <w:gridCol w:w="1352"/>
        <w:gridCol w:w="1614"/>
      </w:tblGrid>
      <w:tr w:rsidR="00C81BE6" w:rsidRPr="00DE1F57" w14:paraId="09DDAF87" w14:textId="77777777" w:rsidTr="00926A74">
        <w:trPr>
          <w:trHeight w:val="168"/>
          <w:jc w:val="center"/>
        </w:trPr>
        <w:tc>
          <w:tcPr>
            <w:tcW w:w="157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C75D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2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214E0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Postherpetic neuralgia</w:t>
            </w:r>
          </w:p>
        </w:tc>
        <w:tc>
          <w:tcPr>
            <w:tcW w:w="136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BA969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Non-Postherpetic neuralgia</w:t>
            </w:r>
          </w:p>
        </w:tc>
        <w:tc>
          <w:tcPr>
            <w:tcW w:w="86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2F0B9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</w:p>
        </w:tc>
      </w:tr>
      <w:tr w:rsidR="00C81BE6" w:rsidRPr="00DE1F57" w14:paraId="77C63409" w14:textId="77777777" w:rsidTr="00926A74">
        <w:trPr>
          <w:trHeight w:val="375"/>
          <w:jc w:val="center"/>
        </w:trPr>
        <w:tc>
          <w:tcPr>
            <w:tcW w:w="15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A37C9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EEE58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N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E82284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No. of event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80FDD1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N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9608E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No. of event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E1494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>HR (95% C.I.)</w:t>
            </w:r>
          </w:p>
        </w:tc>
      </w:tr>
      <w:tr w:rsidR="00C81BE6" w:rsidRPr="00DE1F57" w14:paraId="6A4B2B13" w14:textId="77777777" w:rsidTr="00926A74">
        <w:trPr>
          <w:trHeight w:val="53"/>
          <w:jc w:val="center"/>
        </w:trPr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7436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>Zoster involvement of the brain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1329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768 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D92F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22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C8AC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768 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94440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26 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30E6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0.76 (0.43–1.33)</w:t>
            </w:r>
          </w:p>
        </w:tc>
      </w:tr>
      <w:tr w:rsidR="00C81BE6" w:rsidRPr="00DE1F57" w14:paraId="5FC01B18" w14:textId="77777777" w:rsidTr="00926A74">
        <w:trPr>
          <w:trHeight w:val="63"/>
          <w:jc w:val="center"/>
        </w:trPr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06C9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>Zoster ocular disease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1C96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1749 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815E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111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D6CE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1749 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7AAE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64 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4BA69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1.63 (1.20–2.21)</w:t>
            </w:r>
          </w:p>
        </w:tc>
      </w:tr>
      <w:tr w:rsidR="00C81BE6" w:rsidRPr="00DE1F57" w14:paraId="6C820A4D" w14:textId="77777777" w:rsidTr="00926A74">
        <w:trPr>
          <w:trHeight w:val="63"/>
          <w:jc w:val="center"/>
        </w:trPr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DC567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>Disseminated zoster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DD88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416 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900A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26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AA3F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416 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1156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16 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E954B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1.53 (0.82–2.85)</w:t>
            </w:r>
          </w:p>
        </w:tc>
      </w:tr>
      <w:tr w:rsidR="00C81BE6" w:rsidRPr="00DE1F57" w14:paraId="22EA1C1A" w14:textId="77777777" w:rsidTr="00926A74">
        <w:trPr>
          <w:trHeight w:val="63"/>
          <w:jc w:val="center"/>
        </w:trPr>
        <w:tc>
          <w:tcPr>
            <w:tcW w:w="1570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3D224AE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>Zoster with other complications</w:t>
            </w:r>
          </w:p>
        </w:tc>
        <w:tc>
          <w:tcPr>
            <w:tcW w:w="53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FD61907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3274 </w:t>
            </w:r>
          </w:p>
        </w:tc>
        <w:tc>
          <w:tcPr>
            <w:tcW w:w="669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38AF803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147 </w:t>
            </w:r>
          </w:p>
        </w:tc>
        <w:tc>
          <w:tcPr>
            <w:tcW w:w="644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5595618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3274 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F48A9BD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91 </w:t>
            </w:r>
          </w:p>
        </w:tc>
        <w:tc>
          <w:tcPr>
            <w:tcW w:w="862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1A49B65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1.56 (1.20–2.03)</w:t>
            </w:r>
          </w:p>
        </w:tc>
      </w:tr>
      <w:tr w:rsidR="00C81BE6" w:rsidRPr="00DE1F57" w14:paraId="6005E156" w14:textId="77777777" w:rsidTr="00926A74">
        <w:trPr>
          <w:trHeight w:val="63"/>
          <w:jc w:val="center"/>
        </w:trPr>
        <w:tc>
          <w:tcPr>
            <w:tcW w:w="157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A44E3F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>Zoster without complications</w:t>
            </w:r>
          </w:p>
        </w:tc>
        <w:tc>
          <w:tcPr>
            <w:tcW w:w="53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FE9795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11540 </w:t>
            </w:r>
          </w:p>
        </w:tc>
        <w:tc>
          <w:tcPr>
            <w:tcW w:w="66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AE1E10F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453 </w:t>
            </w:r>
          </w:p>
        </w:tc>
        <w:tc>
          <w:tcPr>
            <w:tcW w:w="64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683A660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11540 </w:t>
            </w:r>
          </w:p>
        </w:tc>
        <w:tc>
          <w:tcPr>
            <w:tcW w:w="72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3926942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kern w:val="0"/>
                <w:szCs w:val="20"/>
              </w:rPr>
            </w:pPr>
            <w:r w:rsidRPr="00DE1F57">
              <w:rPr>
                <w:rFonts w:eastAsia="PMingLiU" w:cs="Times New Roman"/>
                <w:kern w:val="0"/>
                <w:szCs w:val="20"/>
              </w:rPr>
              <w:t xml:space="preserve">307 </w:t>
            </w:r>
          </w:p>
        </w:tc>
        <w:tc>
          <w:tcPr>
            <w:tcW w:w="86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2DCE9E6" w14:textId="77777777" w:rsidR="00C81BE6" w:rsidRPr="00DE1F57" w:rsidRDefault="00C81BE6" w:rsidP="00926A74">
            <w:pPr>
              <w:widowControl/>
              <w:snapToGrid w:val="0"/>
              <w:spacing w:after="0" w:line="480" w:lineRule="auto"/>
              <w:jc w:val="both"/>
              <w:rPr>
                <w:rFonts w:eastAsia="PMingLiU"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eastAsia="PMingLiU" w:cs="Times New Roman"/>
                <w:color w:val="000000" w:themeColor="text1"/>
                <w:kern w:val="0"/>
                <w:szCs w:val="20"/>
              </w:rPr>
              <w:t>1.44 (1.24–1.66)</w:t>
            </w:r>
          </w:p>
        </w:tc>
      </w:tr>
    </w:tbl>
    <w:p w14:paraId="7F04B4A0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929EB" w14:textId="77777777" w:rsidR="00185BB3" w:rsidRDefault="00185BB3" w:rsidP="00C81BE6">
      <w:pPr>
        <w:spacing w:after="0" w:line="240" w:lineRule="auto"/>
      </w:pPr>
      <w:r>
        <w:separator/>
      </w:r>
    </w:p>
  </w:endnote>
  <w:endnote w:type="continuationSeparator" w:id="0">
    <w:p w14:paraId="58ED0D2E" w14:textId="77777777" w:rsidR="00185BB3" w:rsidRDefault="00185BB3" w:rsidP="00C81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本文 CS 字型)">
    <w:altName w:val="新細明體"/>
    <w:charset w:val="88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BFA98" w14:textId="77777777" w:rsidR="00185BB3" w:rsidRDefault="00185BB3" w:rsidP="00C81BE6">
      <w:pPr>
        <w:spacing w:after="0" w:line="240" w:lineRule="auto"/>
      </w:pPr>
      <w:r>
        <w:separator/>
      </w:r>
    </w:p>
  </w:footnote>
  <w:footnote w:type="continuationSeparator" w:id="0">
    <w:p w14:paraId="3BC81C76" w14:textId="77777777" w:rsidR="00185BB3" w:rsidRDefault="00185BB3" w:rsidP="00C81BE6">
      <w:pPr>
        <w:spacing w:after="0" w:line="240" w:lineRule="auto"/>
      </w:pPr>
      <w:r>
        <w:continuationSeparator/>
      </w:r>
    </w:p>
  </w:footnote>
  <w:footnote w:id="1">
    <w:p w14:paraId="5CA296B4" w14:textId="77777777" w:rsidR="00C81BE6" w:rsidRPr="005A27E3" w:rsidRDefault="00C81BE6" w:rsidP="00C81BE6">
      <w:pPr>
        <w:snapToGrid w:val="0"/>
        <w:spacing w:after="0" w:line="240" w:lineRule="auto"/>
        <w:jc w:val="both"/>
        <w:rPr>
          <w:rFonts w:cs="Times New Roman"/>
          <w:szCs w:val="20"/>
        </w:rPr>
      </w:pPr>
      <w:r w:rsidRPr="005A27E3">
        <w:rPr>
          <w:rStyle w:val="FootnoteReference"/>
          <w:szCs w:val="20"/>
        </w:rPr>
        <w:footnoteRef/>
      </w:r>
      <w:r w:rsidRPr="005A27E3">
        <w:rPr>
          <w:szCs w:val="20"/>
        </w:rPr>
        <w:t xml:space="preserve"> </w:t>
      </w:r>
      <w:r w:rsidRPr="005A27E3">
        <w:rPr>
          <w:rFonts w:cs="Times New Roman"/>
          <w:szCs w:val="20"/>
        </w:rPr>
        <w:t>ICD-10-CM: International Classification of Diseases, Tenth Revision, Clinical Modification.</w:t>
      </w:r>
    </w:p>
  </w:footnote>
  <w:footnote w:id="2">
    <w:p w14:paraId="647C57E5" w14:textId="77777777" w:rsidR="00C81BE6" w:rsidRPr="005A27E3" w:rsidRDefault="00C81BE6" w:rsidP="00C81BE6">
      <w:pPr>
        <w:snapToGrid w:val="0"/>
        <w:spacing w:after="0" w:line="240" w:lineRule="auto"/>
        <w:jc w:val="both"/>
        <w:rPr>
          <w:rFonts w:cs="Times New Roman"/>
          <w:szCs w:val="20"/>
        </w:rPr>
      </w:pPr>
      <w:r w:rsidRPr="005A27E3">
        <w:rPr>
          <w:rStyle w:val="FootnoteReference"/>
          <w:szCs w:val="20"/>
        </w:rPr>
        <w:footnoteRef/>
      </w:r>
      <w:r w:rsidRPr="005A27E3">
        <w:rPr>
          <w:szCs w:val="20"/>
        </w:rPr>
        <w:t xml:space="preserve"> </w:t>
      </w:r>
      <w:r w:rsidRPr="005A27E3">
        <w:rPr>
          <w:rFonts w:cs="Times New Roman"/>
          <w:szCs w:val="20"/>
        </w:rPr>
        <w:t>ATC: Anatomical Therapeutic Chemical</w:t>
      </w:r>
    </w:p>
  </w:footnote>
  <w:footnote w:id="3">
    <w:p w14:paraId="1144EA99" w14:textId="77777777" w:rsidR="00C81BE6" w:rsidRPr="005A27E3" w:rsidRDefault="00C81BE6" w:rsidP="00C81BE6">
      <w:pPr>
        <w:snapToGrid w:val="0"/>
        <w:spacing w:after="0" w:line="240" w:lineRule="auto"/>
        <w:jc w:val="both"/>
        <w:rPr>
          <w:rFonts w:cs="Times New Roman"/>
          <w:szCs w:val="20"/>
        </w:rPr>
      </w:pPr>
      <w:r w:rsidRPr="005A27E3">
        <w:rPr>
          <w:rStyle w:val="FootnoteReference"/>
          <w:szCs w:val="20"/>
        </w:rPr>
        <w:footnoteRef/>
      </w:r>
      <w:r w:rsidRPr="005A27E3">
        <w:rPr>
          <w:szCs w:val="20"/>
        </w:rPr>
        <w:t xml:space="preserve"> </w:t>
      </w:r>
      <w:r w:rsidRPr="005A27E3">
        <w:rPr>
          <w:rFonts w:cs="Times New Roman"/>
          <w:szCs w:val="20"/>
        </w:rPr>
        <w:t>RxNorm: Medical prescription normalized medical prescription.</w:t>
      </w:r>
    </w:p>
  </w:footnote>
  <w:footnote w:id="4">
    <w:p w14:paraId="1BE8B378" w14:textId="77777777" w:rsidR="00C81BE6" w:rsidRPr="005A27E3" w:rsidRDefault="00C81BE6" w:rsidP="00C81BE6">
      <w:pPr>
        <w:snapToGrid w:val="0"/>
        <w:spacing w:after="0" w:line="240" w:lineRule="auto"/>
        <w:jc w:val="both"/>
        <w:rPr>
          <w:rFonts w:cs="Times New Roman"/>
          <w:szCs w:val="20"/>
        </w:rPr>
      </w:pPr>
      <w:r w:rsidRPr="005A27E3">
        <w:rPr>
          <w:rStyle w:val="FootnoteReference"/>
          <w:szCs w:val="20"/>
        </w:rPr>
        <w:footnoteRef/>
      </w:r>
      <w:r w:rsidRPr="005A27E3">
        <w:rPr>
          <w:szCs w:val="20"/>
        </w:rPr>
        <w:t xml:space="preserve"> </w:t>
      </w:r>
      <w:r w:rsidRPr="005A27E3">
        <w:rPr>
          <w:rFonts w:cs="Times New Roman"/>
          <w:szCs w:val="20"/>
        </w:rPr>
        <w:t>CPT: Current Procedural Terminology.</w:t>
      </w:r>
    </w:p>
    <w:p w14:paraId="4939CBCC" w14:textId="77777777" w:rsidR="00C81BE6" w:rsidRDefault="00C81BE6" w:rsidP="00C81BE6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BE6"/>
    <w:rsid w:val="00185BB3"/>
    <w:rsid w:val="00264C10"/>
    <w:rsid w:val="00470242"/>
    <w:rsid w:val="00726E03"/>
    <w:rsid w:val="008F619C"/>
    <w:rsid w:val="009542D6"/>
    <w:rsid w:val="00C8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2DC71"/>
  <w15:chartTrackingRefBased/>
  <w15:docId w15:val="{538D3118-4B6F-471F-8726-2F239EE2E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BE6"/>
    <w:pPr>
      <w:widowControl w:val="0"/>
    </w:pPr>
    <w:rPr>
      <w:rFonts w:ascii="Times New Roman" w:hAnsi="Times New Roman" w:cs="Times New Roman (本文 CS 字型)"/>
      <w:sz w:val="20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BE6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BE6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BE6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BE6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BE6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BE6"/>
    <w:pPr>
      <w:keepNext/>
      <w:keepLines/>
      <w:widowControl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BE6"/>
    <w:pPr>
      <w:keepNext/>
      <w:keepLines/>
      <w:widowControl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BE6"/>
    <w:pPr>
      <w:keepNext/>
      <w:keepLines/>
      <w:widowControl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BE6"/>
    <w:pPr>
      <w:keepNext/>
      <w:keepLines/>
      <w:widowControl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B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B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B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B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B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B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BE6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C81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BE6"/>
    <w:pPr>
      <w:widowControl/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C81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BE6"/>
    <w:pPr>
      <w:widowControl/>
      <w:spacing w:before="160"/>
      <w:jc w:val="center"/>
    </w:pPr>
    <w:rPr>
      <w:rFonts w:asciiTheme="minorHAnsi" w:hAnsiTheme="minorHAnsi" w:cstheme="minorBidi"/>
      <w:i/>
      <w:iCs/>
      <w:color w:val="404040" w:themeColor="text1" w:themeTint="BF"/>
      <w:sz w:val="24"/>
      <w:lang w:eastAsia="zh-CN"/>
    </w:rPr>
  </w:style>
  <w:style w:type="character" w:customStyle="1" w:styleId="QuoteChar">
    <w:name w:val="Quote Char"/>
    <w:basedOn w:val="DefaultParagraphFont"/>
    <w:link w:val="Quote"/>
    <w:uiPriority w:val="29"/>
    <w:rsid w:val="00C81B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BE6"/>
    <w:pPr>
      <w:widowControl/>
      <w:ind w:left="720"/>
      <w:contextualSpacing/>
    </w:pPr>
    <w:rPr>
      <w:rFonts w:asciiTheme="minorHAnsi" w:hAnsiTheme="minorHAnsi" w:cstheme="minorBidi"/>
      <w:sz w:val="24"/>
      <w:lang w:eastAsia="zh-CN"/>
    </w:rPr>
  </w:style>
  <w:style w:type="character" w:styleId="IntenseEmphasis">
    <w:name w:val="Intense Emphasis"/>
    <w:basedOn w:val="DefaultParagraphFont"/>
    <w:uiPriority w:val="21"/>
    <w:qFormat/>
    <w:rsid w:val="00C81B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BE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4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B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BE6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81BE6"/>
    <w:pPr>
      <w:snapToGrid w:val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1BE6"/>
    <w:rPr>
      <w:rFonts w:ascii="Times New Roman" w:hAnsi="Times New Roman" w:cs="Times New Roman (本文 CS 字型)"/>
      <w:sz w:val="20"/>
      <w:szCs w:val="20"/>
      <w:lang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C81BE6"/>
    <w:rPr>
      <w:vertAlign w:val="superscript"/>
    </w:rPr>
  </w:style>
  <w:style w:type="paragraph" w:customStyle="1" w:styleId="Table">
    <w:name w:val="Table"/>
    <w:basedOn w:val="Normal"/>
    <w:qFormat/>
    <w:rsid w:val="00C81BE6"/>
    <w:pPr>
      <w:snapToGrid w:val="0"/>
      <w:spacing w:after="0" w:line="240" w:lineRule="auto"/>
      <w:jc w:val="both"/>
    </w:pPr>
    <w:rPr>
      <w:rFonts w:eastAsia="Times New Roman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674</Words>
  <Characters>4232</Characters>
  <Application>Microsoft Office Word</Application>
  <DocSecurity>0</DocSecurity>
  <Lines>302</Lines>
  <Paragraphs>258</Paragraphs>
  <ScaleCrop>false</ScaleCrop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2026-02-17T12:51:00Z</dcterms:created>
  <dcterms:modified xsi:type="dcterms:W3CDTF">2026-02-17T12:52:00Z</dcterms:modified>
</cp:coreProperties>
</file>