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E0DF" w14:textId="77777777" w:rsidR="00366A43" w:rsidRPr="00791B12" w:rsidRDefault="00366A43" w:rsidP="00565A3C">
      <w:pPr>
        <w:wordWrap/>
        <w:spacing w:after="120" w:line="360" w:lineRule="auto"/>
        <w:jc w:val="left"/>
        <w:rPr>
          <w:b/>
          <w:sz w:val="24"/>
        </w:rPr>
      </w:pPr>
      <w:r w:rsidRPr="00791B12">
        <w:rPr>
          <w:b/>
          <w:sz w:val="24"/>
        </w:rPr>
        <w:t>[Supplementary information]</w:t>
      </w:r>
    </w:p>
    <w:p w14:paraId="415B625D" w14:textId="45313EA5" w:rsidR="00751C00" w:rsidRPr="00751C00" w:rsidRDefault="00BB484A" w:rsidP="00BB484A">
      <w:pPr>
        <w:widowControl/>
        <w:wordWrap/>
        <w:spacing w:line="360" w:lineRule="auto"/>
        <w:rPr>
          <w:rFonts w:eastAsia="Times New Roman" w:cs="Times New Roman"/>
          <w:b/>
          <w:bCs/>
          <w:kern w:val="0"/>
          <w:sz w:val="24"/>
        </w:rPr>
      </w:pPr>
      <w:r w:rsidRPr="00201005">
        <w:rPr>
          <w:rFonts w:eastAsia="Times New Roman" w:cs="Times New Roman"/>
          <w:b/>
          <w:bCs/>
          <w:kern w:val="0"/>
          <w:sz w:val="24"/>
        </w:rPr>
        <w:t>EMC-dependent membrane insertion of IER3IP1 sustains efficient ER-to-Golgi trafficking</w:t>
      </w:r>
    </w:p>
    <w:p w14:paraId="3847669C" w14:textId="77777777" w:rsidR="00AE029F" w:rsidRPr="00751C00" w:rsidRDefault="00AE029F" w:rsidP="00565A3C">
      <w:pPr>
        <w:spacing w:line="360" w:lineRule="auto"/>
        <w:jc w:val="left"/>
        <w:rPr>
          <w:rFonts w:eastAsia="Times New Roman" w:cs="Times New Roman"/>
          <w:kern w:val="0"/>
        </w:rPr>
      </w:pPr>
    </w:p>
    <w:p w14:paraId="26382DD7"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Yejin Shin</w:t>
      </w:r>
      <w:r w:rsidRPr="00791B12">
        <w:rPr>
          <w:rFonts w:eastAsia="Apple SD Gothic Neo" w:cs="Times New Roman"/>
          <w:position w:val="2"/>
          <w:sz w:val="22"/>
          <w:szCs w:val="22"/>
          <w:vertAlign w:val="superscript"/>
        </w:rPr>
        <w:t>1</w:t>
      </w:r>
      <w:r w:rsidRPr="00791B12">
        <w:rPr>
          <w:rFonts w:eastAsia="Apple SD Gothic Neo" w:cs="Times New Roman"/>
          <w:sz w:val="22"/>
          <w:szCs w:val="22"/>
        </w:rPr>
        <w:t>, Minseok Shin</w:t>
      </w:r>
      <w:r w:rsidRPr="00791B12">
        <w:rPr>
          <w:rFonts w:eastAsia="Apple SD Gothic Neo" w:cs="Times New Roman"/>
          <w:sz w:val="22"/>
          <w:szCs w:val="22"/>
          <w:vertAlign w:val="superscript"/>
        </w:rPr>
        <w:t>1</w:t>
      </w:r>
      <w:r w:rsidRPr="00791B12">
        <w:rPr>
          <w:rFonts w:eastAsia="Apple SD Gothic Neo" w:cs="Times New Roman"/>
          <w:sz w:val="22"/>
          <w:szCs w:val="22"/>
        </w:rPr>
        <w:t>, Kang-Sug Jo</w:t>
      </w:r>
      <w:r w:rsidRPr="00791B12">
        <w:rPr>
          <w:rFonts w:eastAsia="Apple SD Gothic Neo" w:cs="Times New Roman"/>
          <w:sz w:val="22"/>
          <w:szCs w:val="22"/>
          <w:vertAlign w:val="superscript"/>
        </w:rPr>
        <w:t>1</w:t>
      </w:r>
      <w:r w:rsidRPr="00791B12">
        <w:rPr>
          <w:rFonts w:eastAsia="Apple SD Gothic Neo" w:cs="Times New Roman"/>
          <w:sz w:val="22"/>
          <w:szCs w:val="22"/>
        </w:rPr>
        <w:t>, Youngsup Song</w:t>
      </w:r>
      <w:r w:rsidRPr="00791B12">
        <w:rPr>
          <w:rFonts w:eastAsia="Apple SD Gothic Neo" w:cs="Times New Roman"/>
          <w:sz w:val="22"/>
          <w:szCs w:val="22"/>
          <w:vertAlign w:val="superscript"/>
        </w:rPr>
        <w:t>2</w:t>
      </w:r>
      <w:r w:rsidRPr="00791B12">
        <w:rPr>
          <w:rFonts w:eastAsia="Apple SD Gothic Neo" w:cs="Times New Roman"/>
          <w:sz w:val="22"/>
          <w:szCs w:val="22"/>
        </w:rPr>
        <w:t>, Kyunggon Kim</w:t>
      </w:r>
      <w:r w:rsidRPr="00791B12">
        <w:rPr>
          <w:rFonts w:eastAsia="Apple SD Gothic Neo" w:cs="Times New Roman"/>
          <w:sz w:val="22"/>
          <w:szCs w:val="22"/>
          <w:vertAlign w:val="superscript"/>
        </w:rPr>
        <w:t>3</w:t>
      </w:r>
      <w:r w:rsidRPr="00791B12">
        <w:rPr>
          <w:rFonts w:eastAsia="Apple SD Gothic Neo" w:cs="Times New Roman"/>
          <w:sz w:val="22"/>
          <w:szCs w:val="22"/>
        </w:rPr>
        <w:t xml:space="preserve"> and Sang-Wook Kang</w:t>
      </w:r>
      <w:proofErr w:type="gramStart"/>
      <w:r w:rsidRPr="00791B12">
        <w:rPr>
          <w:rFonts w:eastAsia="Apple SD Gothic Neo" w:cs="Times New Roman"/>
          <w:sz w:val="22"/>
          <w:szCs w:val="22"/>
          <w:vertAlign w:val="superscript"/>
        </w:rPr>
        <w:t>1,*</w:t>
      </w:r>
      <w:proofErr w:type="gramEnd"/>
    </w:p>
    <w:p w14:paraId="3C27496E" w14:textId="77777777" w:rsidR="00D8795B" w:rsidRPr="00791B12" w:rsidRDefault="00D8795B"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vertAlign w:val="superscript"/>
        </w:rPr>
      </w:pPr>
    </w:p>
    <w:p w14:paraId="5443494D" w14:textId="56A2BC86"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vertAlign w:val="superscript"/>
        </w:rPr>
        <w:t>1</w:t>
      </w:r>
      <w:r w:rsidRPr="00791B12">
        <w:rPr>
          <w:rFonts w:eastAsia="Apple SD Gothic Neo" w:cs="Times New Roman"/>
          <w:sz w:val="22"/>
          <w:szCs w:val="22"/>
        </w:rPr>
        <w:t>Department of Biochemistry and Molecular Biology, Brain Korea 21 project, University of Ulsan College of Medicine, Asan Medical Center, Seoul, 05505, Republic of Korea.</w:t>
      </w:r>
    </w:p>
    <w:p w14:paraId="345FF1A7"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vertAlign w:val="superscript"/>
        </w:rPr>
        <w:t>2</w:t>
      </w:r>
      <w:r w:rsidRPr="00791B12">
        <w:rPr>
          <w:rFonts w:eastAsia="Apple SD Gothic Neo" w:cs="Times New Roman"/>
          <w:sz w:val="22"/>
          <w:szCs w:val="22"/>
        </w:rPr>
        <w:t>Department of Brain Sciences, Brain Korea 21 project, University of Ulsan College of Medicine, Asan Medical Center, Seoul, 05505, Republic of Korea.</w:t>
      </w:r>
    </w:p>
    <w:p w14:paraId="5FC675F9"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vertAlign w:val="superscript"/>
        </w:rPr>
        <w:t>3</w:t>
      </w:r>
      <w:r w:rsidRPr="00791B12">
        <w:rPr>
          <w:rFonts w:eastAsia="Apple SD Gothic Neo" w:cs="Times New Roman"/>
          <w:sz w:val="22"/>
          <w:szCs w:val="22"/>
        </w:rPr>
        <w:t>Department of Digital Medicine, Brain Korea 21 project, University of Ulsan College of Medicine, Asan Medical Center, Seoul, 05505, Republic of Korea.</w:t>
      </w:r>
    </w:p>
    <w:p w14:paraId="6207DEFF" w14:textId="77777777" w:rsidR="007D26B7" w:rsidRPr="00791B12" w:rsidRDefault="007D26B7"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p>
    <w:p w14:paraId="37806439" w14:textId="77777777" w:rsidR="007D26B7" w:rsidRPr="00791B12" w:rsidRDefault="007D26B7"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p>
    <w:p w14:paraId="178CEE1B" w14:textId="77777777" w:rsidR="007D26B7" w:rsidRPr="00791B12" w:rsidRDefault="007D26B7"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p>
    <w:p w14:paraId="4C634789" w14:textId="77777777" w:rsidR="007D26B7" w:rsidRPr="00791B12" w:rsidRDefault="007D26B7"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p>
    <w:p w14:paraId="7E269548"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 xml:space="preserve">*To whom correspondence should be addressed: </w:t>
      </w:r>
    </w:p>
    <w:p w14:paraId="2939EB96"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Sang-Wook Kang, Ph. D.</w:t>
      </w:r>
    </w:p>
    <w:p w14:paraId="2E0F99DB"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 xml:space="preserve">Department of Biochemistry and Molecular Biology </w:t>
      </w:r>
    </w:p>
    <w:p w14:paraId="278E4186"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 xml:space="preserve">University of Ulsan College of Medicine </w:t>
      </w:r>
    </w:p>
    <w:p w14:paraId="177478CA"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 xml:space="preserve">88, Olympic-ro 43gil, Songpa-gu, Seoul 05505 </w:t>
      </w:r>
    </w:p>
    <w:p w14:paraId="6A4A9F51"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 xml:space="preserve">Republic of Korea, </w:t>
      </w:r>
    </w:p>
    <w:p w14:paraId="4BCEE0A2"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 xml:space="preserve">Tel.: +82-2-3010-2205 </w:t>
      </w:r>
    </w:p>
    <w:p w14:paraId="5A8C8A81" w14:textId="77777777" w:rsidR="00AE029F"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198"/>
        <w:jc w:val="left"/>
        <w:rPr>
          <w:rFonts w:eastAsia="Apple SD Gothic Neo" w:cs="Times New Roman"/>
          <w:sz w:val="22"/>
          <w:szCs w:val="22"/>
        </w:rPr>
      </w:pPr>
      <w:r w:rsidRPr="00791B12">
        <w:rPr>
          <w:rFonts w:eastAsia="Apple SD Gothic Neo" w:cs="Times New Roman"/>
          <w:sz w:val="22"/>
          <w:szCs w:val="22"/>
        </w:rPr>
        <w:t xml:space="preserve">Fax: +82-2-3010-5307 </w:t>
      </w:r>
    </w:p>
    <w:p w14:paraId="0CB6AF55" w14:textId="1816168E" w:rsidR="003069EA" w:rsidRPr="00791B12" w:rsidRDefault="00AE029F" w:rsidP="00565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utoSpaceDE w:val="0"/>
        <w:autoSpaceDN w:val="0"/>
        <w:adjustRightInd w:val="0"/>
        <w:spacing w:line="360" w:lineRule="auto"/>
        <w:ind w:right="-198"/>
        <w:jc w:val="left"/>
        <w:rPr>
          <w:rFonts w:eastAsia="Apple SD Gothic Neo" w:cs="Times New Roman"/>
          <w:sz w:val="22"/>
          <w:szCs w:val="22"/>
        </w:rPr>
        <w:sectPr w:rsidR="003069EA" w:rsidRPr="00791B12" w:rsidSect="00ED42BB">
          <w:headerReference w:type="default" r:id="rId8"/>
          <w:footerReference w:type="even" r:id="rId9"/>
          <w:footerReference w:type="default" r:id="rId10"/>
          <w:pgSz w:w="12240" w:h="15840"/>
          <w:pgMar w:top="1440" w:right="1440" w:bottom="1440" w:left="1440" w:header="851" w:footer="992" w:gutter="0"/>
          <w:cols w:space="425"/>
          <w:titlePg/>
          <w:docGrid w:linePitch="400"/>
        </w:sectPr>
      </w:pPr>
      <w:r w:rsidRPr="00791B12">
        <w:rPr>
          <w:rFonts w:eastAsia="Apple SD Gothic Neo" w:cs="Times New Roman"/>
          <w:sz w:val="22"/>
          <w:szCs w:val="22"/>
        </w:rPr>
        <w:t>E- mail: swkang@amc.seoul.</w:t>
      </w:r>
      <w:r w:rsidR="003069EA" w:rsidRPr="00791B12">
        <w:rPr>
          <w:rFonts w:eastAsia="Apple SD Gothic Neo" w:cs="Times New Roman"/>
          <w:sz w:val="22"/>
          <w:szCs w:val="22"/>
        </w:rPr>
        <w:t>kr</w:t>
      </w:r>
    </w:p>
    <w:p w14:paraId="3E8B6853" w14:textId="265A3F06" w:rsidR="00A94A0F" w:rsidRPr="005F2E26" w:rsidRDefault="00A94A0F" w:rsidP="00A94A0F">
      <w:pPr>
        <w:wordWrap/>
        <w:spacing w:line="480" w:lineRule="auto"/>
        <w:jc w:val="left"/>
        <w:rPr>
          <w:rFonts w:cstheme="minorBidi"/>
          <w:b/>
          <w:bCs/>
          <w:sz w:val="24"/>
        </w:rPr>
      </w:pPr>
      <w:r w:rsidRPr="005F2E26">
        <w:rPr>
          <w:rFonts w:cstheme="minorBidi"/>
          <w:b/>
          <w:bCs/>
          <w:sz w:val="24"/>
        </w:rPr>
        <w:lastRenderedPageBreak/>
        <w:t>[Supplementary Table Legends]</w:t>
      </w:r>
    </w:p>
    <w:p w14:paraId="2811D272" w14:textId="77777777" w:rsidR="005F2E26" w:rsidRDefault="00A94A0F" w:rsidP="00A94A0F">
      <w:pPr>
        <w:wordWrap/>
        <w:spacing w:line="480" w:lineRule="auto"/>
        <w:jc w:val="left"/>
        <w:rPr>
          <w:rFonts w:cstheme="minorBidi"/>
          <w:color w:val="BFBFBF" w:themeColor="background1" w:themeShade="BF"/>
          <w:sz w:val="22"/>
          <w:szCs w:val="22"/>
        </w:rPr>
      </w:pPr>
      <w:r w:rsidRPr="005F2E26">
        <w:rPr>
          <w:rFonts w:cstheme="minorBidi"/>
          <w:b/>
          <w:bCs/>
          <w:sz w:val="22"/>
          <w:szCs w:val="22"/>
        </w:rPr>
        <w:t>Supplementary Table S1. Raw proteomics dataset for TurboID-based comparison of WT and ΔEMC cells</w:t>
      </w:r>
    </w:p>
    <w:p w14:paraId="052E1DAF" w14:textId="142344C4" w:rsidR="00A94A0F" w:rsidRPr="00781896" w:rsidRDefault="00A94A0F" w:rsidP="00A94A0F">
      <w:pPr>
        <w:wordWrap/>
        <w:spacing w:line="480" w:lineRule="auto"/>
        <w:jc w:val="left"/>
        <w:rPr>
          <w:rFonts w:cstheme="minorBidi"/>
          <w:sz w:val="22"/>
          <w:szCs w:val="22"/>
        </w:rPr>
      </w:pPr>
      <w:r w:rsidRPr="00781896">
        <w:rPr>
          <w:rFonts w:cstheme="minorBidi"/>
          <w:sz w:val="22"/>
          <w:szCs w:val="22"/>
        </w:rPr>
        <w:t>This table lists all 2,884 proteins quantified by TurboID-based proximity labeling and mass spectrometry in WT and ΔEMC cells expressing ER-targeted TurboID. Proteins were retained if they met quality thresholds of combined </w:t>
      </w:r>
      <w:r w:rsidRPr="00781896">
        <w:rPr>
          <w:rFonts w:cstheme="minorBidi"/>
          <w:i/>
          <w:iCs/>
          <w:sz w:val="22"/>
          <w:szCs w:val="22"/>
        </w:rPr>
        <w:t>q</w:t>
      </w:r>
      <w:r w:rsidRPr="00781896">
        <w:rPr>
          <w:rFonts w:cstheme="minorBidi"/>
          <w:sz w:val="22"/>
          <w:szCs w:val="22"/>
        </w:rPr>
        <w:t>-value (FDR) &lt; 0.01 and sequence coverage ≥ 5%. Reported parameters include UniProt accession, protein description, sequence coverage, protein length, grouped abundance values for WT and ΔEMC samples, log₂ fold change (ΔEMC/WT), and adjusted </w:t>
      </w:r>
      <w:r w:rsidRPr="00781896">
        <w:rPr>
          <w:rFonts w:cstheme="minorBidi"/>
          <w:i/>
          <w:iCs/>
          <w:sz w:val="22"/>
          <w:szCs w:val="22"/>
        </w:rPr>
        <w:t>p</w:t>
      </w:r>
      <w:r w:rsidRPr="00781896">
        <w:rPr>
          <w:rFonts w:cstheme="minorBidi"/>
          <w:sz w:val="22"/>
          <w:szCs w:val="22"/>
        </w:rPr>
        <w:t>-values. Functional categories are indicated by color annotations consistent with Tables S2 and S3: EMC subunits (yellow); two established EMC-dependent tail-anchored proteins (green); membrane-associated factors involved in early secretory pathway function and membrane protein biogenesis (blue); and Immediate Early Response 3 Interacting Protein 1 (IER3IP1)—the most strongly reduced ER-resident protein upon EMC loss—(red, bold). Data represent </w:t>
      </w:r>
      <w:r w:rsidRPr="00781896">
        <w:rPr>
          <w:rFonts w:cstheme="minorBidi"/>
          <w:i/>
          <w:iCs/>
          <w:sz w:val="22"/>
          <w:szCs w:val="22"/>
        </w:rPr>
        <w:t>n</w:t>
      </w:r>
      <w:r w:rsidRPr="00781896">
        <w:rPr>
          <w:rFonts w:cstheme="minorBidi"/>
          <w:sz w:val="22"/>
          <w:szCs w:val="22"/>
        </w:rPr>
        <w:t> = 3 independent biological replicates and constitute the full, quality-controlled proteome used for subsequent filtered analyses (Table S2) and enrichment assessment (Table S3).</w:t>
      </w:r>
    </w:p>
    <w:p w14:paraId="06CF9A88" w14:textId="77777777" w:rsidR="00A94A0F" w:rsidRDefault="00A94A0F" w:rsidP="00A94A0F">
      <w:pPr>
        <w:wordWrap/>
        <w:spacing w:line="480" w:lineRule="auto"/>
        <w:jc w:val="left"/>
        <w:rPr>
          <w:rFonts w:cstheme="minorBidi"/>
          <w:b/>
          <w:bCs/>
          <w:color w:val="BFBFBF" w:themeColor="background1" w:themeShade="BF"/>
          <w:sz w:val="22"/>
          <w:szCs w:val="22"/>
        </w:rPr>
      </w:pPr>
    </w:p>
    <w:p w14:paraId="7A888100" w14:textId="77777777" w:rsidR="00781896" w:rsidRPr="00781896" w:rsidRDefault="00A94A0F" w:rsidP="00A94A0F">
      <w:pPr>
        <w:wordWrap/>
        <w:spacing w:line="480" w:lineRule="auto"/>
        <w:jc w:val="left"/>
        <w:rPr>
          <w:rFonts w:cstheme="minorBidi"/>
          <w:b/>
          <w:bCs/>
          <w:sz w:val="22"/>
          <w:szCs w:val="22"/>
        </w:rPr>
      </w:pPr>
      <w:r w:rsidRPr="00781896">
        <w:rPr>
          <w:rFonts w:cstheme="minorBidi"/>
          <w:b/>
          <w:bCs/>
          <w:sz w:val="22"/>
          <w:szCs w:val="22"/>
        </w:rPr>
        <w:t>Supplementary Table S2. Secretory and membrane proteins filtered from the full dataset presented in Table S1</w:t>
      </w:r>
    </w:p>
    <w:p w14:paraId="55357AC5" w14:textId="7ECF875A" w:rsidR="00A94A0F" w:rsidRPr="00781896" w:rsidRDefault="00A94A0F" w:rsidP="00A94A0F">
      <w:pPr>
        <w:wordWrap/>
        <w:spacing w:line="480" w:lineRule="auto"/>
        <w:jc w:val="left"/>
        <w:rPr>
          <w:rFonts w:cstheme="minorBidi"/>
          <w:sz w:val="22"/>
          <w:szCs w:val="22"/>
        </w:rPr>
      </w:pPr>
      <w:r w:rsidRPr="00781896">
        <w:rPr>
          <w:rFonts w:cstheme="minorBidi"/>
          <w:sz w:val="22"/>
          <w:szCs w:val="22"/>
        </w:rPr>
        <w:t>This table lists 784 secretory and membrane proteins extracted from the complete proximity-labeling proteomics dataset shown in Table S1. Proteins included in this table were first subjected to the same quality-control criteria used for the global dataset (combined </w:t>
      </w:r>
      <w:r w:rsidRPr="00781896">
        <w:rPr>
          <w:rFonts w:cstheme="minorBidi"/>
          <w:i/>
          <w:iCs/>
          <w:sz w:val="22"/>
          <w:szCs w:val="22"/>
        </w:rPr>
        <w:t>q</w:t>
      </w:r>
      <w:r w:rsidRPr="00781896">
        <w:rPr>
          <w:rFonts w:cstheme="minorBidi"/>
          <w:sz w:val="22"/>
          <w:szCs w:val="22"/>
        </w:rPr>
        <w:t>-value &lt; 0.01 and sequence coverage ≥ 5%) and were subsequently filtered based on annotated subcellular localization, predicted signal peptides, or the presence of one or more transmembrane domains.</w:t>
      </w:r>
    </w:p>
    <w:p w14:paraId="09F2ABDA" w14:textId="77777777" w:rsidR="00A94A0F" w:rsidRDefault="00A94A0F" w:rsidP="00A94A0F">
      <w:pPr>
        <w:wordWrap/>
        <w:spacing w:line="480" w:lineRule="auto"/>
        <w:jc w:val="left"/>
        <w:rPr>
          <w:rFonts w:cstheme="minorBidi"/>
          <w:b/>
          <w:bCs/>
          <w:color w:val="BFBFBF" w:themeColor="background1" w:themeShade="BF"/>
          <w:sz w:val="22"/>
          <w:szCs w:val="22"/>
        </w:rPr>
      </w:pPr>
    </w:p>
    <w:p w14:paraId="42390472" w14:textId="77777777" w:rsidR="00781896" w:rsidRPr="00781896" w:rsidRDefault="00A94A0F" w:rsidP="00A94A0F">
      <w:pPr>
        <w:wordWrap/>
        <w:spacing w:line="480" w:lineRule="auto"/>
        <w:jc w:val="left"/>
        <w:rPr>
          <w:rFonts w:cstheme="minorBidi"/>
          <w:sz w:val="22"/>
          <w:szCs w:val="22"/>
        </w:rPr>
      </w:pPr>
      <w:r w:rsidRPr="00781896">
        <w:rPr>
          <w:rFonts w:cstheme="minorBidi"/>
          <w:b/>
          <w:bCs/>
          <w:sz w:val="22"/>
          <w:szCs w:val="22"/>
        </w:rPr>
        <w:t>Supplementary Table S3. Proteins enriched in WT relative to ΔEMC under a defined statistical threshold</w:t>
      </w:r>
    </w:p>
    <w:p w14:paraId="7FB3BA3E" w14:textId="2CD9FFD9" w:rsidR="00A94A0F" w:rsidRPr="00781896" w:rsidRDefault="00A94A0F" w:rsidP="00A94A0F">
      <w:pPr>
        <w:wordWrap/>
        <w:spacing w:line="480" w:lineRule="auto"/>
        <w:jc w:val="left"/>
        <w:rPr>
          <w:rFonts w:cstheme="minorBidi"/>
          <w:sz w:val="22"/>
          <w:szCs w:val="22"/>
        </w:rPr>
      </w:pPr>
      <w:r w:rsidRPr="00781896">
        <w:rPr>
          <w:rFonts w:cstheme="minorBidi"/>
          <w:sz w:val="22"/>
          <w:szCs w:val="22"/>
        </w:rPr>
        <w:t xml:space="preserve">This table catalogs proteins that are more abundant or more efficiently biotinylated in WT cells compared </w:t>
      </w:r>
      <w:r w:rsidRPr="00781896">
        <w:rPr>
          <w:rFonts w:cstheme="minorBidi"/>
          <w:sz w:val="22"/>
          <w:szCs w:val="22"/>
        </w:rPr>
        <w:lastRenderedPageBreak/>
        <w:t>with ΔEMC cells, identified using a statistical threshold of log₂ fold change ≥ 0.5 and </w:t>
      </w:r>
      <w:r w:rsidRPr="00781896">
        <w:rPr>
          <w:rFonts w:cstheme="minorBidi"/>
          <w:i/>
          <w:iCs/>
          <w:sz w:val="22"/>
          <w:szCs w:val="22"/>
        </w:rPr>
        <w:t>p</w:t>
      </w:r>
      <w:r w:rsidRPr="00781896">
        <w:rPr>
          <w:rFonts w:cstheme="minorBidi"/>
          <w:sz w:val="22"/>
          <w:szCs w:val="22"/>
        </w:rPr>
        <w:t> &lt; 0.20. These criteria were selected to capture a broader set of EMC-influenced proteins beyond the high-confidence secretory and membrane subset presented in Table S2, thereby enabling identification of proteins whose abundance, membrane insertion, or ER-proximal residency is partially dependent on EMC activity. All entries were derived from the full TurboID-based proteomics dataset summarized in Table S1 and were subjected to the same quality-control filters, including combined </w:t>
      </w:r>
      <w:r w:rsidRPr="00781896">
        <w:rPr>
          <w:rFonts w:cstheme="minorBidi"/>
          <w:i/>
          <w:iCs/>
          <w:sz w:val="22"/>
          <w:szCs w:val="22"/>
        </w:rPr>
        <w:t>q</w:t>
      </w:r>
      <w:r w:rsidRPr="00781896">
        <w:rPr>
          <w:rFonts w:cstheme="minorBidi"/>
          <w:sz w:val="22"/>
          <w:szCs w:val="22"/>
        </w:rPr>
        <w:t>-value &lt; 0.01 and sequence coverage ≥ 5%.</w:t>
      </w:r>
    </w:p>
    <w:p w14:paraId="2CFCE532" w14:textId="03B4ADE3" w:rsidR="00A94A0F" w:rsidRPr="00A94A0F" w:rsidRDefault="00A94A0F" w:rsidP="00A94A0F">
      <w:pPr>
        <w:wordWrap/>
        <w:spacing w:line="480" w:lineRule="auto"/>
        <w:jc w:val="left"/>
        <w:rPr>
          <w:rFonts w:cstheme="minorBidi"/>
          <w:color w:val="BFBFBF" w:themeColor="background1" w:themeShade="BF"/>
          <w:sz w:val="22"/>
          <w:szCs w:val="22"/>
        </w:rPr>
      </w:pPr>
    </w:p>
    <w:p w14:paraId="7CF16EA0" w14:textId="36CC270E" w:rsidR="00A94A0F" w:rsidRPr="00781896" w:rsidRDefault="00A94A0F" w:rsidP="00A94A0F">
      <w:pPr>
        <w:wordWrap/>
        <w:spacing w:line="480" w:lineRule="auto"/>
        <w:jc w:val="left"/>
        <w:rPr>
          <w:rFonts w:cstheme="minorBidi"/>
          <w:b/>
          <w:bCs/>
          <w:sz w:val="24"/>
        </w:rPr>
      </w:pPr>
      <w:r w:rsidRPr="00781896">
        <w:rPr>
          <w:rFonts w:cstheme="minorBidi"/>
          <w:b/>
          <w:bCs/>
          <w:sz w:val="24"/>
        </w:rPr>
        <w:t>[Supplementary Figure Legends]</w:t>
      </w:r>
    </w:p>
    <w:p w14:paraId="552DEA8F" w14:textId="7747768E" w:rsidR="00A94A0F" w:rsidRPr="003A0C7B" w:rsidRDefault="00A94A0F" w:rsidP="00A94A0F">
      <w:pPr>
        <w:wordWrap/>
        <w:spacing w:line="480" w:lineRule="auto"/>
        <w:jc w:val="left"/>
        <w:rPr>
          <w:rFonts w:cstheme="minorBidi"/>
          <w:b/>
          <w:bCs/>
          <w:sz w:val="22"/>
          <w:szCs w:val="22"/>
        </w:rPr>
      </w:pPr>
      <w:r w:rsidRPr="003A0C7B">
        <w:rPr>
          <w:rFonts w:cstheme="minorBidi"/>
          <w:b/>
          <w:bCs/>
          <w:sz w:val="22"/>
          <w:szCs w:val="22"/>
        </w:rPr>
        <w:t xml:space="preserve">Supplementary Figure S1. </w:t>
      </w:r>
      <w:r w:rsidR="00781896" w:rsidRPr="003A0C7B">
        <w:rPr>
          <w:rFonts w:cstheme="minorBidi"/>
          <w:b/>
          <w:bCs/>
          <w:sz w:val="22"/>
          <w:szCs w:val="22"/>
        </w:rPr>
        <w:t xml:space="preserve">Development </w:t>
      </w:r>
      <w:r w:rsidRPr="003A0C7B">
        <w:rPr>
          <w:rFonts w:cstheme="minorBidi"/>
          <w:b/>
          <w:bCs/>
          <w:sz w:val="22"/>
          <w:szCs w:val="22"/>
        </w:rPr>
        <w:t>and validation of the ER-targeted TurboID system for identifying EMC</w:t>
      </w:r>
      <w:r w:rsidR="005D50E1">
        <w:rPr>
          <w:rFonts w:cstheme="minorBidi"/>
          <w:b/>
          <w:bCs/>
          <w:sz w:val="22"/>
          <w:szCs w:val="22"/>
        </w:rPr>
        <w:t xml:space="preserve"> </w:t>
      </w:r>
      <w:r w:rsidRPr="003A0C7B">
        <w:rPr>
          <w:rFonts w:cstheme="minorBidi"/>
          <w:b/>
          <w:bCs/>
          <w:sz w:val="22"/>
          <w:szCs w:val="22"/>
        </w:rPr>
        <w:t>client</w:t>
      </w:r>
      <w:r w:rsidR="005D50E1">
        <w:rPr>
          <w:rFonts w:cstheme="minorBidi"/>
          <w:b/>
          <w:bCs/>
          <w:sz w:val="22"/>
          <w:szCs w:val="22"/>
        </w:rPr>
        <w:t>s</w:t>
      </w:r>
    </w:p>
    <w:p w14:paraId="63135FB0" w14:textId="77777777" w:rsidR="00F50131" w:rsidRPr="003A0C7B" w:rsidRDefault="00A94A0F" w:rsidP="00A94A0F">
      <w:pPr>
        <w:wordWrap/>
        <w:spacing w:line="480" w:lineRule="auto"/>
        <w:jc w:val="left"/>
        <w:rPr>
          <w:rFonts w:cstheme="minorBidi"/>
          <w:sz w:val="22"/>
          <w:szCs w:val="22"/>
        </w:rPr>
      </w:pPr>
      <w:r w:rsidRPr="003A0C7B">
        <w:rPr>
          <w:rFonts w:cstheme="minorBidi"/>
          <w:b/>
          <w:bCs/>
          <w:sz w:val="22"/>
          <w:szCs w:val="22"/>
        </w:rPr>
        <w:t>(A)</w:t>
      </w:r>
      <w:r w:rsidRPr="003A0C7B">
        <w:rPr>
          <w:rFonts w:cstheme="minorBidi"/>
          <w:sz w:val="22"/>
          <w:szCs w:val="22"/>
        </w:rPr>
        <w:t> A doxycycline-inducible, ER-targeted TurboID construct (BiP–V5–TurboID–KDEL) was stably integrated into Flp-In T-REx 293T cells. After induction (+Dox, 24 h), cells were pulse-labeled with [³⁵S]-</w:t>
      </w:r>
      <w:r w:rsidR="00F50131" w:rsidRPr="003A0C7B">
        <w:rPr>
          <w:rFonts w:cstheme="minorBidi"/>
          <w:sz w:val="22"/>
          <w:szCs w:val="22"/>
        </w:rPr>
        <w:t>methionine</w:t>
      </w:r>
      <w:r w:rsidRPr="003A0C7B">
        <w:rPr>
          <w:rFonts w:cstheme="minorBidi"/>
          <w:sz w:val="22"/>
          <w:szCs w:val="22"/>
        </w:rPr>
        <w:t xml:space="preserve"> and exposed to biotin (50 µM) for the indicated times. Total lysates and streptavidin (SA) pull-down fractions were analyzed by SDS–PAGE and SA blotting, confirming biotin-dependent labeling of ER proteins.</w:t>
      </w:r>
    </w:p>
    <w:p w14:paraId="311C98FF" w14:textId="77777777" w:rsidR="00F50131" w:rsidRPr="003A0C7B" w:rsidRDefault="00A94A0F" w:rsidP="00A94A0F">
      <w:pPr>
        <w:wordWrap/>
        <w:spacing w:line="480" w:lineRule="auto"/>
        <w:jc w:val="left"/>
        <w:rPr>
          <w:rFonts w:cstheme="minorBidi"/>
          <w:sz w:val="22"/>
          <w:szCs w:val="22"/>
        </w:rPr>
      </w:pPr>
      <w:r w:rsidRPr="003A0C7B">
        <w:rPr>
          <w:rFonts w:cstheme="minorBidi"/>
          <w:b/>
          <w:bCs/>
          <w:sz w:val="22"/>
          <w:szCs w:val="22"/>
        </w:rPr>
        <w:t>(B)</w:t>
      </w:r>
      <w:r w:rsidRPr="003A0C7B">
        <w:rPr>
          <w:rFonts w:cstheme="minorBidi"/>
          <w:sz w:val="22"/>
          <w:szCs w:val="22"/>
        </w:rPr>
        <w:t> Cells expressing ER–TurboID were incubated ± biotin (50 µM, 30 min) and stained for Sec61β (ER marker, blue), V5 (TurboID, green), and biotinylated proteins (SA–Alexa 594, red). Confocal imaging verified that labeling was confined to the ER. Scale bar, 10 µm.</w:t>
      </w:r>
    </w:p>
    <w:p w14:paraId="01A82A2B" w14:textId="77777777" w:rsidR="003A0C7B" w:rsidRPr="003A0C7B" w:rsidRDefault="00A94A0F" w:rsidP="00A94A0F">
      <w:pPr>
        <w:wordWrap/>
        <w:spacing w:line="480" w:lineRule="auto"/>
        <w:jc w:val="left"/>
        <w:rPr>
          <w:rFonts w:cstheme="minorBidi"/>
          <w:sz w:val="22"/>
          <w:szCs w:val="22"/>
        </w:rPr>
      </w:pPr>
      <w:r w:rsidRPr="003A0C7B">
        <w:rPr>
          <w:rFonts w:cstheme="minorBidi"/>
          <w:b/>
          <w:bCs/>
          <w:sz w:val="22"/>
          <w:szCs w:val="22"/>
        </w:rPr>
        <w:t>(C)</w:t>
      </w:r>
      <w:r w:rsidRPr="003A0C7B">
        <w:rPr>
          <w:rFonts w:cstheme="minorBidi"/>
          <w:sz w:val="22"/>
          <w:szCs w:val="22"/>
        </w:rPr>
        <w:t> WT and ΔEMC5 cells coexpressing HA-tagged OPT reporters (SQS, Cb5) were treated with PNGase F and immunoblotted. EMC loss reduced glycosylation and membrane insertion of SQS and Cb5, confirming EMC dependency.</w:t>
      </w:r>
    </w:p>
    <w:p w14:paraId="3F46C802" w14:textId="77777777" w:rsidR="003A0C7B" w:rsidRPr="003A0C7B" w:rsidRDefault="00A94A0F" w:rsidP="00A94A0F">
      <w:pPr>
        <w:wordWrap/>
        <w:spacing w:line="480" w:lineRule="auto"/>
        <w:jc w:val="left"/>
        <w:rPr>
          <w:rFonts w:cstheme="minorBidi"/>
          <w:sz w:val="22"/>
          <w:szCs w:val="22"/>
        </w:rPr>
      </w:pPr>
      <w:r w:rsidRPr="003A0C7B">
        <w:rPr>
          <w:rFonts w:cstheme="minorBidi"/>
          <w:b/>
          <w:bCs/>
          <w:sz w:val="22"/>
          <w:szCs w:val="22"/>
        </w:rPr>
        <w:t>(D)</w:t>
      </w:r>
      <w:r w:rsidRPr="003A0C7B">
        <w:rPr>
          <w:rFonts w:cstheme="minorBidi"/>
          <w:sz w:val="22"/>
          <w:szCs w:val="22"/>
        </w:rPr>
        <w:t> WT and ΔEMC cells expressing ER–TurboID were treated with 0.015% digitonin to permeabilize the plasma membrane and remove cytosol, followed by 2% digitonin to extract membrane proteins. Biotinylated proteins were isolated on SA beads for subsequent analysis.</w:t>
      </w:r>
    </w:p>
    <w:p w14:paraId="28780783" w14:textId="01B71894" w:rsidR="003A0C7B" w:rsidRPr="003A0C7B" w:rsidRDefault="00A94A0F" w:rsidP="003A0C7B">
      <w:pPr>
        <w:wordWrap/>
        <w:spacing w:line="480" w:lineRule="auto"/>
        <w:jc w:val="left"/>
        <w:rPr>
          <w:rFonts w:cstheme="minorBidi"/>
          <w:sz w:val="22"/>
          <w:szCs w:val="22"/>
        </w:rPr>
      </w:pPr>
      <w:r w:rsidRPr="003A0C7B">
        <w:rPr>
          <w:rFonts w:cstheme="minorBidi"/>
          <w:b/>
          <w:bCs/>
          <w:sz w:val="22"/>
          <w:szCs w:val="22"/>
        </w:rPr>
        <w:t>(E)</w:t>
      </w:r>
      <w:r w:rsidRPr="003A0C7B">
        <w:rPr>
          <w:rFonts w:cstheme="minorBidi"/>
          <w:sz w:val="22"/>
          <w:szCs w:val="22"/>
        </w:rPr>
        <w:t> </w:t>
      </w:r>
      <w:r w:rsidR="003A0C7B" w:rsidRPr="003A0C7B">
        <w:rPr>
          <w:rFonts w:cstheme="minorBidi"/>
          <w:sz w:val="22"/>
          <w:szCs w:val="22"/>
        </w:rPr>
        <w:t xml:space="preserve">A rank-ordered plot shows log₂ fold changes (ΔEMC/WT) for all biotinylated proteins identified by </w:t>
      </w:r>
      <w:r w:rsidR="003A0C7B" w:rsidRPr="003A0C7B">
        <w:rPr>
          <w:rFonts w:cstheme="minorBidi"/>
          <w:sz w:val="22"/>
          <w:szCs w:val="22"/>
        </w:rPr>
        <w:lastRenderedPageBreak/>
        <w:t>ER-targeted TurboID. Most ER-resident and membrane-associated proteins (gray) displayed minimal change upon EMC loss, with V5-TurboID itself serving as an internal reference (open circle). Known EMC subunits (EMC1–10) and established EMC clients (e.g., SQS) were selectively depleted in ΔEMC cells (blue). Notably, IER3IP1 (red) was among the most strongly reduced proteins, falling well below the −1.0 log₂FC threshold (shaded region), consistent with its strict dependence on EMC-mediated membrane insertion.</w:t>
      </w:r>
    </w:p>
    <w:p w14:paraId="68D828FC" w14:textId="0443483B" w:rsidR="00A94A0F" w:rsidRPr="00A94A0F" w:rsidRDefault="00A94A0F" w:rsidP="00A94A0F">
      <w:pPr>
        <w:wordWrap/>
        <w:spacing w:line="480" w:lineRule="auto"/>
        <w:jc w:val="left"/>
        <w:rPr>
          <w:rFonts w:cstheme="minorBidi"/>
          <w:color w:val="BFBFBF" w:themeColor="background1" w:themeShade="BF"/>
          <w:sz w:val="22"/>
          <w:szCs w:val="22"/>
        </w:rPr>
      </w:pPr>
    </w:p>
    <w:p w14:paraId="47A94169" w14:textId="77777777" w:rsidR="00A94A0F" w:rsidRPr="003A0C7B" w:rsidRDefault="00A94A0F" w:rsidP="00A94A0F">
      <w:pPr>
        <w:wordWrap/>
        <w:spacing w:line="480" w:lineRule="auto"/>
        <w:jc w:val="left"/>
        <w:rPr>
          <w:rFonts w:cstheme="minorBidi"/>
          <w:b/>
          <w:bCs/>
          <w:sz w:val="22"/>
          <w:szCs w:val="22"/>
        </w:rPr>
      </w:pPr>
      <w:r w:rsidRPr="003A0C7B">
        <w:rPr>
          <w:rFonts w:cstheme="minorBidi"/>
          <w:b/>
          <w:bCs/>
          <w:sz w:val="22"/>
          <w:szCs w:val="22"/>
        </w:rPr>
        <w:t>Supplementary Figure S2. Validation of EMC-dependent membrane insertion and stability of IER3IP1</w:t>
      </w:r>
    </w:p>
    <w:p w14:paraId="47862A5E" w14:textId="77777777" w:rsidR="003A0C7B" w:rsidRPr="003A0C7B" w:rsidRDefault="00A94A0F" w:rsidP="00A94A0F">
      <w:pPr>
        <w:wordWrap/>
        <w:spacing w:line="480" w:lineRule="auto"/>
        <w:jc w:val="left"/>
        <w:rPr>
          <w:rFonts w:cstheme="minorBidi"/>
          <w:sz w:val="22"/>
          <w:szCs w:val="22"/>
        </w:rPr>
      </w:pPr>
      <w:r w:rsidRPr="003A0C7B">
        <w:rPr>
          <w:rFonts w:cstheme="minorBidi"/>
          <w:b/>
          <w:bCs/>
          <w:sz w:val="22"/>
          <w:szCs w:val="22"/>
        </w:rPr>
        <w:t>(A)</w:t>
      </w:r>
      <w:r w:rsidRPr="003A0C7B">
        <w:rPr>
          <w:rFonts w:cstheme="minorBidi"/>
          <w:sz w:val="22"/>
          <w:szCs w:val="22"/>
        </w:rPr>
        <w:t> Whole-cell lysates from WT, ΔEMC (ΔE), and ΔIER3IP1 (ΔI) 293T cells were immunoblotted for EMC subunits (EMC2, 4, 5, 7, 8, 10). Loss of EMC5</w:t>
      </w:r>
      <w:r w:rsidR="003A0C7B" w:rsidRPr="003A0C7B">
        <w:rPr>
          <w:rFonts w:cstheme="minorBidi"/>
          <w:sz w:val="22"/>
          <w:szCs w:val="22"/>
        </w:rPr>
        <w:t xml:space="preserve"> </w:t>
      </w:r>
      <w:r w:rsidRPr="003A0C7B">
        <w:rPr>
          <w:rFonts w:cstheme="minorBidi"/>
          <w:sz w:val="22"/>
          <w:szCs w:val="22"/>
        </w:rPr>
        <w:t>destabilized the complex, confirming disassembly in ΔEMC cells.</w:t>
      </w:r>
    </w:p>
    <w:p w14:paraId="69E957A0" w14:textId="40AC1DA8" w:rsidR="003A0C7B" w:rsidRPr="003A0C7B" w:rsidRDefault="00A94A0F" w:rsidP="00A94A0F">
      <w:pPr>
        <w:wordWrap/>
        <w:spacing w:line="480" w:lineRule="auto"/>
        <w:jc w:val="left"/>
        <w:rPr>
          <w:rFonts w:cstheme="minorBidi"/>
          <w:sz w:val="22"/>
          <w:szCs w:val="22"/>
        </w:rPr>
      </w:pPr>
      <w:r w:rsidRPr="003A0C7B">
        <w:rPr>
          <w:rFonts w:cstheme="minorBidi"/>
          <w:b/>
          <w:bCs/>
          <w:sz w:val="22"/>
          <w:szCs w:val="22"/>
        </w:rPr>
        <w:t>(B)</w:t>
      </w:r>
      <w:r w:rsidRPr="003A0C7B">
        <w:rPr>
          <w:rFonts w:cstheme="minorBidi"/>
          <w:sz w:val="22"/>
          <w:szCs w:val="22"/>
        </w:rPr>
        <w:t> </w:t>
      </w:r>
      <w:r w:rsidR="00022EC1" w:rsidRPr="00022EC1">
        <w:rPr>
          <w:rFonts w:cstheme="minorBidi"/>
          <w:sz w:val="22"/>
          <w:szCs w:val="22"/>
        </w:rPr>
        <w:t>WT and mutant IER3IP1–OPT constructs carrying N-, C-, or dual luminal glycosylation tags were translated in vitro ± canine rough microsomes (CRM). Filled dots indicate glycosylated species, with dot number corresponding to the number of N-linked glycans added, whereas open dots denote unglycosylated species.</w:t>
      </w:r>
    </w:p>
    <w:p w14:paraId="16D4A629" w14:textId="606963B8" w:rsidR="003A0C7B" w:rsidRPr="003A0C7B" w:rsidRDefault="00A94A0F" w:rsidP="00A94A0F">
      <w:pPr>
        <w:wordWrap/>
        <w:spacing w:line="480" w:lineRule="auto"/>
        <w:jc w:val="left"/>
        <w:rPr>
          <w:rFonts w:cstheme="minorBidi"/>
          <w:b/>
          <w:bCs/>
          <w:sz w:val="22"/>
          <w:szCs w:val="22"/>
        </w:rPr>
      </w:pPr>
      <w:r w:rsidRPr="003A0C7B">
        <w:rPr>
          <w:rFonts w:cstheme="minorBidi"/>
          <w:b/>
          <w:bCs/>
          <w:sz w:val="22"/>
          <w:szCs w:val="22"/>
        </w:rPr>
        <w:t>(</w:t>
      </w:r>
      <w:r w:rsidR="009E1386">
        <w:rPr>
          <w:rFonts w:cstheme="minorBidi"/>
          <w:b/>
          <w:bCs/>
          <w:sz w:val="22"/>
          <w:szCs w:val="22"/>
        </w:rPr>
        <w:t>C</w:t>
      </w:r>
      <w:r w:rsidRPr="003A0C7B">
        <w:rPr>
          <w:rFonts w:cstheme="minorBidi"/>
          <w:b/>
          <w:bCs/>
          <w:sz w:val="22"/>
          <w:szCs w:val="22"/>
        </w:rPr>
        <w:t>)</w:t>
      </w:r>
      <w:r w:rsidRPr="003A0C7B">
        <w:rPr>
          <w:rFonts w:cstheme="minorBidi"/>
          <w:sz w:val="22"/>
          <w:szCs w:val="22"/>
        </w:rPr>
        <w:t> WT</w:t>
      </w:r>
      <w:r w:rsidR="009E1386">
        <w:rPr>
          <w:rFonts w:cstheme="minorBidi" w:hint="eastAsia"/>
          <w:sz w:val="22"/>
          <w:szCs w:val="22"/>
        </w:rPr>
        <w:t xml:space="preserve"> </w:t>
      </w:r>
      <w:r w:rsidR="009E1386">
        <w:rPr>
          <w:rFonts w:cstheme="minorBidi"/>
          <w:sz w:val="22"/>
          <w:szCs w:val="22"/>
        </w:rPr>
        <w:t>and</w:t>
      </w:r>
      <w:r w:rsidRPr="003A0C7B">
        <w:rPr>
          <w:rFonts w:cstheme="minorBidi"/>
          <w:sz w:val="22"/>
          <w:szCs w:val="22"/>
        </w:rPr>
        <w:t xml:space="preserve"> ΔE cells expressing IER3IP1–V5 constructs containing OPT tags at the indicated positions were pulse-labeled and immunoprecipitated. </w:t>
      </w:r>
      <w:r w:rsidR="003A0C7B" w:rsidRPr="003A0C7B">
        <w:rPr>
          <w:rFonts w:cstheme="minorBidi"/>
          <w:sz w:val="22"/>
          <w:szCs w:val="22"/>
        </w:rPr>
        <w:t>Reduced glycosylation, accompanied by diminished synthesis in ΔE cells</w:t>
      </w:r>
      <w:r w:rsidR="009E1386">
        <w:rPr>
          <w:rFonts w:cstheme="minorBidi"/>
          <w:sz w:val="22"/>
          <w:szCs w:val="22"/>
        </w:rPr>
        <w:t xml:space="preserve">, </w:t>
      </w:r>
      <w:r w:rsidR="003A0C7B" w:rsidRPr="003A0C7B">
        <w:rPr>
          <w:rFonts w:cstheme="minorBidi"/>
          <w:sz w:val="22"/>
          <w:szCs w:val="22"/>
        </w:rPr>
        <w:t xml:space="preserve">confirmed that efficient membrane insertion requires the EMC </w:t>
      </w:r>
    </w:p>
    <w:p w14:paraId="433F2845" w14:textId="43E10BC3" w:rsidR="00A94A0F" w:rsidRPr="003A0C7B" w:rsidRDefault="00A94A0F" w:rsidP="00A94A0F">
      <w:pPr>
        <w:wordWrap/>
        <w:spacing w:line="480" w:lineRule="auto"/>
        <w:jc w:val="left"/>
        <w:rPr>
          <w:rFonts w:cstheme="minorBidi"/>
          <w:sz w:val="22"/>
          <w:szCs w:val="22"/>
        </w:rPr>
      </w:pPr>
      <w:r w:rsidRPr="003A0C7B">
        <w:rPr>
          <w:rFonts w:cstheme="minorBidi"/>
          <w:b/>
          <w:bCs/>
          <w:sz w:val="22"/>
          <w:szCs w:val="22"/>
        </w:rPr>
        <w:t>(</w:t>
      </w:r>
      <w:r w:rsidR="009E1386">
        <w:rPr>
          <w:rFonts w:cstheme="minorBidi"/>
          <w:b/>
          <w:bCs/>
          <w:sz w:val="22"/>
          <w:szCs w:val="22"/>
        </w:rPr>
        <w:t>D</w:t>
      </w:r>
      <w:r w:rsidRPr="003A0C7B">
        <w:rPr>
          <w:rFonts w:cstheme="minorBidi"/>
          <w:b/>
          <w:bCs/>
          <w:sz w:val="22"/>
          <w:szCs w:val="22"/>
        </w:rPr>
        <w:t>)</w:t>
      </w:r>
      <w:r w:rsidRPr="003A0C7B">
        <w:rPr>
          <w:rFonts w:cstheme="minorBidi"/>
          <w:sz w:val="22"/>
          <w:szCs w:val="22"/>
        </w:rPr>
        <w:t> WT and ΔEMC cells expressing IER3IP1 were pretreated ± MG132 (1 µM, 12 h) and pulse-labeled with [³⁵S]-Met/Cys in the continued presence or absence of MG132 (1 µM, 30 min). Anti-IER3IP1 immunoprecipitates were analyzed by SDS–PAGE and autoradiography. Newly synthesized IER3IP1 was markedly reduced in ΔEMC cells but restored by proteasome inhibition, indicating proteasome-dependent degradation of uninserted IER3IP1.</w:t>
      </w:r>
    </w:p>
    <w:p w14:paraId="68F8B1B6" w14:textId="15A2A524" w:rsidR="00A94A0F" w:rsidRPr="00A94A0F" w:rsidRDefault="00A94A0F" w:rsidP="00A94A0F">
      <w:pPr>
        <w:wordWrap/>
        <w:spacing w:line="480" w:lineRule="auto"/>
        <w:jc w:val="left"/>
        <w:rPr>
          <w:rFonts w:cstheme="minorBidi"/>
          <w:color w:val="BFBFBF" w:themeColor="background1" w:themeShade="BF"/>
          <w:sz w:val="22"/>
          <w:szCs w:val="22"/>
        </w:rPr>
      </w:pPr>
    </w:p>
    <w:p w14:paraId="27C67A5F" w14:textId="37640991" w:rsidR="00A94A0F" w:rsidRPr="00F43B6F" w:rsidRDefault="00A94A0F" w:rsidP="00A94A0F">
      <w:pPr>
        <w:wordWrap/>
        <w:spacing w:line="480" w:lineRule="auto"/>
        <w:jc w:val="left"/>
        <w:rPr>
          <w:rFonts w:cstheme="minorBidi"/>
          <w:b/>
          <w:bCs/>
          <w:sz w:val="22"/>
          <w:szCs w:val="22"/>
        </w:rPr>
      </w:pPr>
      <w:r w:rsidRPr="00DB16FA">
        <w:rPr>
          <w:rFonts w:cstheme="minorBidi"/>
          <w:b/>
          <w:bCs/>
          <w:sz w:val="22"/>
          <w:szCs w:val="22"/>
        </w:rPr>
        <w:t xml:space="preserve">Supplementary Figure S3. </w:t>
      </w:r>
      <w:r w:rsidRPr="00F43B6F">
        <w:rPr>
          <w:rFonts w:cstheme="minorBidi"/>
          <w:b/>
          <w:bCs/>
          <w:sz w:val="22"/>
          <w:szCs w:val="22"/>
        </w:rPr>
        <w:t xml:space="preserve">Immunofluorescence analysis of CLU trafficking and Golgi morphology </w:t>
      </w:r>
      <w:r w:rsidRPr="00F43B6F">
        <w:rPr>
          <w:rFonts w:cstheme="minorBidi"/>
          <w:b/>
          <w:bCs/>
          <w:sz w:val="22"/>
          <w:szCs w:val="22"/>
        </w:rPr>
        <w:lastRenderedPageBreak/>
        <w:t>in IER3IP1</w:t>
      </w:r>
      <w:r w:rsidR="008B1E60">
        <w:rPr>
          <w:rFonts w:cstheme="minorBidi"/>
          <w:b/>
          <w:bCs/>
          <w:sz w:val="22"/>
          <w:szCs w:val="22"/>
        </w:rPr>
        <w:t>-deficient cells</w:t>
      </w:r>
    </w:p>
    <w:p w14:paraId="7CAD905F" w14:textId="77777777" w:rsidR="00DB16FA" w:rsidRPr="00DB16FA" w:rsidRDefault="00A94A0F" w:rsidP="00A94A0F">
      <w:pPr>
        <w:wordWrap/>
        <w:spacing w:line="480" w:lineRule="auto"/>
        <w:jc w:val="left"/>
        <w:rPr>
          <w:rFonts w:cstheme="minorBidi"/>
          <w:sz w:val="22"/>
          <w:szCs w:val="22"/>
        </w:rPr>
      </w:pPr>
      <w:r w:rsidRPr="00DB16FA">
        <w:rPr>
          <w:rFonts w:cstheme="minorBidi"/>
          <w:b/>
          <w:bCs/>
          <w:sz w:val="22"/>
          <w:szCs w:val="22"/>
        </w:rPr>
        <w:t>(A)</w:t>
      </w:r>
      <w:r w:rsidRPr="00DB16FA">
        <w:rPr>
          <w:rFonts w:cstheme="minorBidi"/>
          <w:sz w:val="22"/>
          <w:szCs w:val="22"/>
        </w:rPr>
        <w:t> WT cells expressing CLU–SBP–GFP were incubated</w:t>
      </w:r>
      <w:r w:rsidR="00DB16FA" w:rsidRPr="00DB16FA">
        <w:rPr>
          <w:rFonts w:cstheme="minorBidi"/>
          <w:sz w:val="22"/>
          <w:szCs w:val="22"/>
        </w:rPr>
        <w:t xml:space="preserve"> with</w:t>
      </w:r>
      <w:r w:rsidRPr="00DB16FA">
        <w:rPr>
          <w:rFonts w:cstheme="minorBidi"/>
          <w:sz w:val="22"/>
          <w:szCs w:val="22"/>
        </w:rPr>
        <w:t xml:space="preserve"> ± biotin (40 µM, 1 h) to synchronize ER-to-Golgi transport. Cells were fixed and stained for GM130 (red) and nuclei (DAPI, blue). CLU (green) redistributed from the ER to GM130-positive Golgi compartments upon biotin addition, confirming biotin-dependent cargo release. Scale bar, 10 µm.</w:t>
      </w:r>
    </w:p>
    <w:p w14:paraId="04514D88" w14:textId="7ED641F7" w:rsidR="00A94A0F" w:rsidRPr="00DB16FA" w:rsidRDefault="00A94A0F" w:rsidP="00A94A0F">
      <w:pPr>
        <w:wordWrap/>
        <w:spacing w:line="480" w:lineRule="auto"/>
        <w:jc w:val="left"/>
        <w:rPr>
          <w:rFonts w:cstheme="minorBidi"/>
          <w:sz w:val="22"/>
          <w:szCs w:val="22"/>
        </w:rPr>
      </w:pPr>
      <w:r w:rsidRPr="00DB16FA">
        <w:rPr>
          <w:rFonts w:cstheme="minorBidi"/>
          <w:b/>
          <w:bCs/>
          <w:sz w:val="22"/>
          <w:szCs w:val="22"/>
        </w:rPr>
        <w:t>(B)</w:t>
      </w:r>
      <w:r w:rsidRPr="00DB16FA">
        <w:rPr>
          <w:rFonts w:cstheme="minorBidi"/>
          <w:sz w:val="22"/>
          <w:szCs w:val="22"/>
        </w:rPr>
        <w:t> WT and ΔIER3IP1 cells were left untreated, treated with BFA (5 µg/mL, 1 h), or allowed to recover (2 h). Cells stained for GM130 (red) and DAPI (blue) showed BFA-induced Golgi dispersal and recovery, indicating that IER3IP1 loss does not impair global Golgi reassembly. Scale bar, 10 µm.</w:t>
      </w:r>
    </w:p>
    <w:p w14:paraId="3E1804AB" w14:textId="6C7948E6" w:rsidR="00A94A0F" w:rsidRPr="00A94A0F" w:rsidRDefault="00A94A0F" w:rsidP="00A94A0F">
      <w:pPr>
        <w:wordWrap/>
        <w:spacing w:line="480" w:lineRule="auto"/>
        <w:jc w:val="left"/>
        <w:rPr>
          <w:rFonts w:cstheme="minorBidi"/>
          <w:color w:val="BFBFBF" w:themeColor="background1" w:themeShade="BF"/>
          <w:sz w:val="22"/>
          <w:szCs w:val="22"/>
        </w:rPr>
      </w:pPr>
    </w:p>
    <w:p w14:paraId="488725DD" w14:textId="06F4CE13" w:rsidR="00E84819" w:rsidRDefault="00A94A0F" w:rsidP="00A94A0F">
      <w:pPr>
        <w:wordWrap/>
        <w:spacing w:line="480" w:lineRule="auto"/>
        <w:jc w:val="left"/>
        <w:rPr>
          <w:rFonts w:ascii="-webkit-standard" w:hAnsi="-webkit-standard" w:hint="eastAsia"/>
          <w:b/>
          <w:bCs/>
          <w:color w:val="000000"/>
          <w:sz w:val="27"/>
          <w:szCs w:val="27"/>
        </w:rPr>
      </w:pPr>
      <w:r w:rsidRPr="00DB16FA">
        <w:rPr>
          <w:rFonts w:cstheme="minorBidi"/>
          <w:b/>
          <w:bCs/>
          <w:sz w:val="22"/>
          <w:szCs w:val="22"/>
        </w:rPr>
        <w:t xml:space="preserve">Supplementary Figure S4. </w:t>
      </w:r>
      <w:r w:rsidR="00E84819" w:rsidRPr="00E84819">
        <w:rPr>
          <w:rFonts w:cs="Times New Roman"/>
          <w:b/>
          <w:bCs/>
          <w:color w:val="000000"/>
          <w:sz w:val="22"/>
          <w:szCs w:val="22"/>
        </w:rPr>
        <w:t>IER3IP1</w:t>
      </w:r>
      <w:r w:rsidR="00EE7D82">
        <w:rPr>
          <w:rFonts w:cs="Times New Roman"/>
          <w:b/>
          <w:bCs/>
          <w:color w:val="000000"/>
          <w:sz w:val="22"/>
          <w:szCs w:val="22"/>
        </w:rPr>
        <w:t>-</w:t>
      </w:r>
      <w:r w:rsidR="00E84819" w:rsidRPr="00E84819">
        <w:rPr>
          <w:rFonts w:cs="Times New Roman"/>
          <w:b/>
          <w:bCs/>
          <w:color w:val="000000"/>
          <w:sz w:val="22"/>
          <w:szCs w:val="22"/>
        </w:rPr>
        <w:t>dependen</w:t>
      </w:r>
      <w:r w:rsidR="00EE7D82">
        <w:rPr>
          <w:rFonts w:cs="Times New Roman"/>
          <w:b/>
          <w:bCs/>
          <w:color w:val="000000"/>
          <w:sz w:val="22"/>
          <w:szCs w:val="22"/>
        </w:rPr>
        <w:t>t trafficking</w:t>
      </w:r>
      <w:r w:rsidR="00E84819" w:rsidRPr="00E84819">
        <w:rPr>
          <w:rFonts w:cs="Times New Roman"/>
          <w:b/>
          <w:bCs/>
          <w:color w:val="000000"/>
          <w:sz w:val="22"/>
          <w:szCs w:val="22"/>
        </w:rPr>
        <w:t xml:space="preserve"> of CLU and PrP</w:t>
      </w:r>
      <w:r w:rsidR="00E84819" w:rsidRPr="00E84819">
        <w:rPr>
          <w:rFonts w:ascii="-webkit-standard" w:hAnsi="-webkit-standard"/>
          <w:b/>
          <w:bCs/>
          <w:color w:val="000000"/>
          <w:sz w:val="27"/>
          <w:szCs w:val="27"/>
        </w:rPr>
        <w:t xml:space="preserve"> </w:t>
      </w:r>
    </w:p>
    <w:p w14:paraId="1DBD00F8" w14:textId="680FFDC4" w:rsidR="00DB16FA" w:rsidRPr="00D73348" w:rsidRDefault="00A94A0F" w:rsidP="00A94A0F">
      <w:pPr>
        <w:wordWrap/>
        <w:spacing w:line="480" w:lineRule="auto"/>
        <w:jc w:val="left"/>
        <w:rPr>
          <w:rFonts w:cstheme="minorBidi"/>
          <w:sz w:val="22"/>
          <w:szCs w:val="22"/>
        </w:rPr>
      </w:pPr>
      <w:r w:rsidRPr="00D73348">
        <w:rPr>
          <w:rFonts w:cstheme="minorBidi"/>
          <w:b/>
          <w:bCs/>
          <w:sz w:val="22"/>
          <w:szCs w:val="22"/>
        </w:rPr>
        <w:t>(A)</w:t>
      </w:r>
      <w:r w:rsidRPr="00D73348">
        <w:rPr>
          <w:rFonts w:cstheme="minorBidi"/>
          <w:sz w:val="22"/>
          <w:szCs w:val="22"/>
        </w:rPr>
        <w:t> </w:t>
      </w:r>
      <w:r w:rsidR="00DB16FA" w:rsidRPr="00D73348">
        <w:rPr>
          <w:rFonts w:cstheme="minorBidi"/>
          <w:sz w:val="22"/>
          <w:szCs w:val="22"/>
        </w:rPr>
        <w:t xml:space="preserve">Schematic overview of CLU maturation and its visualization by pulse–chase analysis. </w:t>
      </w:r>
      <w:r w:rsidRPr="00D73348">
        <w:rPr>
          <w:rFonts w:cstheme="minorBidi"/>
          <w:sz w:val="22"/>
          <w:szCs w:val="22"/>
        </w:rPr>
        <w:t>Cells expressing CLU</w:t>
      </w:r>
      <w:r w:rsidR="00DB16FA" w:rsidRPr="00D73348">
        <w:rPr>
          <w:rFonts w:cstheme="minorBidi"/>
          <w:sz w:val="22"/>
          <w:szCs w:val="22"/>
        </w:rPr>
        <w:t>-</w:t>
      </w:r>
      <w:r w:rsidRPr="00D73348">
        <w:rPr>
          <w:rFonts w:cstheme="minorBidi"/>
          <w:sz w:val="22"/>
          <w:szCs w:val="22"/>
        </w:rPr>
        <w:t>HA were pulse-labeled with [³⁵S]-methionine to visualize ER-localized precursors (CLUα/β, ~65 kDa) and Golgi-processed β subunits (CLUβ, ~35 kDa) after immunoprecipitation with anti-HA under non-reducing and reducing conditions.</w:t>
      </w:r>
    </w:p>
    <w:p w14:paraId="153C2087" w14:textId="66D22F8B" w:rsidR="00DB16FA" w:rsidRPr="00D73348" w:rsidRDefault="00A94A0F" w:rsidP="00A94A0F">
      <w:pPr>
        <w:wordWrap/>
        <w:spacing w:line="480" w:lineRule="auto"/>
        <w:jc w:val="left"/>
        <w:rPr>
          <w:rFonts w:cstheme="minorBidi"/>
          <w:sz w:val="22"/>
          <w:szCs w:val="22"/>
        </w:rPr>
      </w:pPr>
      <w:r w:rsidRPr="00D73348">
        <w:rPr>
          <w:rFonts w:cstheme="minorBidi"/>
          <w:b/>
          <w:bCs/>
          <w:sz w:val="22"/>
          <w:szCs w:val="22"/>
        </w:rPr>
        <w:t>(B)</w:t>
      </w:r>
      <w:r w:rsidRPr="00D73348">
        <w:rPr>
          <w:rFonts w:cstheme="minorBidi"/>
          <w:sz w:val="22"/>
          <w:szCs w:val="22"/>
        </w:rPr>
        <w:t xml:space="preserve"> CLU–RUSH cells pretreated with BFA (5 µg/mL, 30 min; middle) or left untreated (top) were </w:t>
      </w:r>
      <w:r w:rsidR="00DB16FA" w:rsidRPr="00D73348">
        <w:rPr>
          <w:rFonts w:cstheme="minorBidi"/>
          <w:sz w:val="22"/>
          <w:szCs w:val="22"/>
        </w:rPr>
        <w:t>pulse-labeled with [³⁵S]-methionine for 30 min and chased for the indicated times in the presence of biotin</w:t>
      </w:r>
      <w:r w:rsidR="00D73348" w:rsidRPr="00D73348">
        <w:rPr>
          <w:rFonts w:cstheme="minorBidi"/>
          <w:sz w:val="22"/>
          <w:szCs w:val="22"/>
        </w:rPr>
        <w:t xml:space="preserve">. </w:t>
      </w:r>
      <w:r w:rsidRPr="00D73348">
        <w:rPr>
          <w:rFonts w:cstheme="minorBidi"/>
          <w:sz w:val="22"/>
          <w:szCs w:val="22"/>
        </w:rPr>
        <w:t>BFA acutely blocked CLU processing, whereas removal of the drug restored α/β cleavage (bottom), confirming that CLU maturation is Golgi dependent.</w:t>
      </w:r>
    </w:p>
    <w:p w14:paraId="238A729B" w14:textId="45275976" w:rsidR="00DB16FA" w:rsidRPr="00D73348" w:rsidRDefault="00A94A0F" w:rsidP="00A94A0F">
      <w:pPr>
        <w:wordWrap/>
        <w:spacing w:line="480" w:lineRule="auto"/>
        <w:jc w:val="left"/>
        <w:rPr>
          <w:rFonts w:cstheme="minorBidi"/>
          <w:sz w:val="22"/>
          <w:szCs w:val="22"/>
        </w:rPr>
      </w:pPr>
      <w:r w:rsidRPr="00D73348">
        <w:rPr>
          <w:rFonts w:cstheme="minorBidi"/>
          <w:b/>
          <w:bCs/>
          <w:sz w:val="22"/>
          <w:szCs w:val="22"/>
        </w:rPr>
        <w:t>(C)</w:t>
      </w:r>
      <w:r w:rsidRPr="00D73348">
        <w:rPr>
          <w:rFonts w:cstheme="minorBidi"/>
          <w:sz w:val="22"/>
          <w:szCs w:val="22"/>
        </w:rPr>
        <w:t> CLU–RUSH cells were pulse-</w:t>
      </w:r>
      <w:r w:rsidR="00D73348" w:rsidRPr="00D73348">
        <w:rPr>
          <w:rFonts w:cstheme="minorBidi"/>
          <w:sz w:val="22"/>
          <w:szCs w:val="22"/>
        </w:rPr>
        <w:t>c</w:t>
      </w:r>
      <w:r w:rsidR="00CF624E">
        <w:rPr>
          <w:rFonts w:cstheme="minorBidi"/>
          <w:sz w:val="22"/>
          <w:szCs w:val="22"/>
        </w:rPr>
        <w:t>h</w:t>
      </w:r>
      <w:r w:rsidR="00D73348" w:rsidRPr="00D73348">
        <w:rPr>
          <w:rFonts w:cstheme="minorBidi"/>
          <w:sz w:val="22"/>
          <w:szCs w:val="22"/>
        </w:rPr>
        <w:t>ased</w:t>
      </w:r>
      <w:r w:rsidRPr="00D73348">
        <w:rPr>
          <w:rFonts w:cstheme="minorBidi"/>
          <w:sz w:val="22"/>
          <w:szCs w:val="22"/>
        </w:rPr>
        <w:t xml:space="preserve"> </w:t>
      </w:r>
      <w:r w:rsidR="00D73348" w:rsidRPr="00D73348">
        <w:rPr>
          <w:rFonts w:cstheme="minorBidi"/>
          <w:sz w:val="22"/>
          <w:szCs w:val="22"/>
        </w:rPr>
        <w:t>as in (B).</w:t>
      </w:r>
      <w:r w:rsidRPr="00D73348">
        <w:rPr>
          <w:rFonts w:cstheme="minorBidi"/>
          <w:sz w:val="22"/>
          <w:szCs w:val="22"/>
        </w:rPr>
        <w:t xml:space="preserve"> Culture media collected at each chase point were subjected to immunoprecipitation with anti-HA antibody to isolate secreted CLUβ. Autoradiography revealed efficient release of CLUβ into the medium, with robust secretion evident within 1 h of chase.</w:t>
      </w:r>
    </w:p>
    <w:p w14:paraId="03BA69A8" w14:textId="56CF977F" w:rsidR="00D73348" w:rsidRPr="00D73348" w:rsidRDefault="00A94A0F" w:rsidP="00A94A0F">
      <w:pPr>
        <w:wordWrap/>
        <w:spacing w:line="480" w:lineRule="auto"/>
        <w:jc w:val="left"/>
        <w:rPr>
          <w:rFonts w:cstheme="minorBidi"/>
          <w:sz w:val="22"/>
          <w:szCs w:val="22"/>
        </w:rPr>
      </w:pPr>
      <w:r w:rsidRPr="00D73348">
        <w:rPr>
          <w:rFonts w:cstheme="minorBidi"/>
          <w:b/>
          <w:bCs/>
          <w:sz w:val="22"/>
          <w:szCs w:val="22"/>
        </w:rPr>
        <w:t>(</w:t>
      </w:r>
      <w:r w:rsidR="00CF624E">
        <w:rPr>
          <w:rFonts w:cstheme="minorBidi"/>
          <w:b/>
          <w:bCs/>
          <w:sz w:val="22"/>
          <w:szCs w:val="22"/>
        </w:rPr>
        <w:t>D</w:t>
      </w:r>
      <w:r w:rsidRPr="00D73348">
        <w:rPr>
          <w:rFonts w:cstheme="minorBidi"/>
          <w:b/>
          <w:bCs/>
          <w:sz w:val="22"/>
          <w:szCs w:val="22"/>
        </w:rPr>
        <w:t>)</w:t>
      </w:r>
      <w:r w:rsidRPr="00D73348">
        <w:rPr>
          <w:rFonts w:cstheme="minorBidi"/>
          <w:sz w:val="22"/>
          <w:szCs w:val="22"/>
        </w:rPr>
        <w:t> WT and ΔIER3IP1 cells expressing PrP were pulse-labeled and chased for the indicated times. ΔIER3IP1 cells accumulated immature ER-glycosylated PrP (PrP</w:t>
      </w:r>
      <w:r w:rsidRPr="00D73348">
        <w:rPr>
          <w:rFonts w:cstheme="minorBidi"/>
          <w:sz w:val="22"/>
          <w:szCs w:val="22"/>
          <w:vertAlign w:val="superscript"/>
        </w:rPr>
        <w:t>ER</w:t>
      </w:r>
      <w:r w:rsidRPr="00D73348">
        <w:rPr>
          <w:rFonts w:cstheme="minorBidi"/>
          <w:sz w:val="22"/>
          <w:szCs w:val="22"/>
        </w:rPr>
        <w:t>), whereas mature, fully glycosylated post-ER PrP (PrP</w:t>
      </w:r>
      <w:r w:rsidRPr="00D73348">
        <w:rPr>
          <w:rFonts w:cstheme="minorBidi"/>
          <w:sz w:val="22"/>
          <w:szCs w:val="22"/>
          <w:vertAlign w:val="superscript"/>
        </w:rPr>
        <w:t>post-ER</w:t>
      </w:r>
      <w:r w:rsidRPr="00D73348">
        <w:rPr>
          <w:rFonts w:cstheme="minorBidi"/>
          <w:sz w:val="22"/>
          <w:szCs w:val="22"/>
        </w:rPr>
        <w:t>) predominated in WT cells, indicating defective anterograde transport.</w:t>
      </w:r>
    </w:p>
    <w:p w14:paraId="046A4E82" w14:textId="1A0BE79D" w:rsidR="00D73348" w:rsidRPr="00D73348" w:rsidRDefault="00A94A0F" w:rsidP="00A94A0F">
      <w:pPr>
        <w:wordWrap/>
        <w:spacing w:line="480" w:lineRule="auto"/>
        <w:jc w:val="left"/>
        <w:rPr>
          <w:rFonts w:cstheme="minorBidi"/>
          <w:sz w:val="22"/>
          <w:szCs w:val="22"/>
        </w:rPr>
      </w:pPr>
      <w:r w:rsidRPr="00D73348">
        <w:rPr>
          <w:rFonts w:cstheme="minorBidi"/>
          <w:b/>
          <w:bCs/>
          <w:sz w:val="22"/>
          <w:szCs w:val="22"/>
        </w:rPr>
        <w:t>(</w:t>
      </w:r>
      <w:r w:rsidR="00CF624E">
        <w:rPr>
          <w:rFonts w:cstheme="minorBidi"/>
          <w:b/>
          <w:bCs/>
          <w:sz w:val="22"/>
          <w:szCs w:val="22"/>
        </w:rPr>
        <w:t>E</w:t>
      </w:r>
      <w:r w:rsidRPr="00D73348">
        <w:rPr>
          <w:rFonts w:cstheme="minorBidi"/>
          <w:b/>
          <w:bCs/>
          <w:sz w:val="22"/>
          <w:szCs w:val="22"/>
        </w:rPr>
        <w:t>)</w:t>
      </w:r>
      <w:r w:rsidRPr="00D73348">
        <w:rPr>
          <w:rFonts w:cstheme="minorBidi"/>
          <w:sz w:val="22"/>
          <w:szCs w:val="22"/>
        </w:rPr>
        <w:t> ΔIER3IP1 cells transfected with IER3IP1–V5 were immunoblotted with anti-V5 and anti-TRAPα, confirming re-expression.</w:t>
      </w:r>
    </w:p>
    <w:p w14:paraId="22C06CC5" w14:textId="31F43F3D" w:rsidR="00A94A0F" w:rsidRPr="00D73348" w:rsidRDefault="00A94A0F" w:rsidP="00A94A0F">
      <w:pPr>
        <w:wordWrap/>
        <w:spacing w:line="480" w:lineRule="auto"/>
        <w:jc w:val="left"/>
        <w:rPr>
          <w:rFonts w:cstheme="minorBidi"/>
          <w:sz w:val="22"/>
          <w:szCs w:val="22"/>
        </w:rPr>
      </w:pPr>
      <w:r w:rsidRPr="00D73348">
        <w:rPr>
          <w:rFonts w:cstheme="minorBidi"/>
          <w:b/>
          <w:bCs/>
          <w:sz w:val="22"/>
          <w:szCs w:val="22"/>
        </w:rPr>
        <w:lastRenderedPageBreak/>
        <w:t>(</w:t>
      </w:r>
      <w:r w:rsidR="00CF624E">
        <w:rPr>
          <w:rFonts w:cstheme="minorBidi"/>
          <w:b/>
          <w:bCs/>
          <w:sz w:val="22"/>
          <w:szCs w:val="22"/>
        </w:rPr>
        <w:t>F</w:t>
      </w:r>
      <w:r w:rsidRPr="00D73348">
        <w:rPr>
          <w:rFonts w:cstheme="minorBidi"/>
          <w:b/>
          <w:bCs/>
          <w:sz w:val="22"/>
          <w:szCs w:val="22"/>
        </w:rPr>
        <w:t>)</w:t>
      </w:r>
      <w:r w:rsidRPr="00D73348">
        <w:rPr>
          <w:rFonts w:cstheme="minorBidi"/>
          <w:sz w:val="22"/>
          <w:szCs w:val="22"/>
        </w:rPr>
        <w:t> ΔIER3IP1 and ΔEMC cells coexpressing CLU–SBP–</w:t>
      </w:r>
      <w:r w:rsidR="00D73348" w:rsidRPr="00D73348">
        <w:rPr>
          <w:rFonts w:cstheme="minorBidi"/>
          <w:sz w:val="22"/>
          <w:szCs w:val="22"/>
        </w:rPr>
        <w:t>GFP</w:t>
      </w:r>
      <w:r w:rsidRPr="00D73348">
        <w:rPr>
          <w:rFonts w:cstheme="minorBidi"/>
          <w:sz w:val="22"/>
          <w:szCs w:val="22"/>
        </w:rPr>
        <w:t xml:space="preserve"> and IER3IP1–V5 were imaged</w:t>
      </w:r>
      <w:r w:rsidR="00D73348" w:rsidRPr="00D73348">
        <w:rPr>
          <w:rFonts w:cstheme="minorBidi"/>
          <w:sz w:val="22"/>
          <w:szCs w:val="22"/>
        </w:rPr>
        <w:t xml:space="preserve"> with</w:t>
      </w:r>
      <w:r w:rsidRPr="00D73348">
        <w:rPr>
          <w:rFonts w:cstheme="minorBidi"/>
          <w:sz w:val="22"/>
          <w:szCs w:val="22"/>
        </w:rPr>
        <w:t xml:space="preserve"> ± biotin (1 h). CLU trafficking was restored upon IER3IP1 re-expression in both lines, rescuing EMC-dependent secretory defects. Arrowheads indicate Golgi-localized CLU. Scale bar, 10 µm.</w:t>
      </w:r>
    </w:p>
    <w:p w14:paraId="4B198813" w14:textId="494FF827" w:rsidR="00A94A0F" w:rsidRPr="00A94A0F" w:rsidRDefault="00A94A0F" w:rsidP="00A94A0F">
      <w:pPr>
        <w:wordWrap/>
        <w:spacing w:line="480" w:lineRule="auto"/>
        <w:jc w:val="left"/>
        <w:rPr>
          <w:rFonts w:cstheme="minorBidi"/>
          <w:color w:val="BFBFBF" w:themeColor="background1" w:themeShade="BF"/>
          <w:sz w:val="22"/>
          <w:szCs w:val="22"/>
        </w:rPr>
      </w:pPr>
    </w:p>
    <w:p w14:paraId="61DFC318" w14:textId="77777777" w:rsidR="00E84819" w:rsidRPr="00E84819" w:rsidRDefault="00A94A0F" w:rsidP="00A94A0F">
      <w:pPr>
        <w:wordWrap/>
        <w:spacing w:line="480" w:lineRule="auto"/>
        <w:jc w:val="left"/>
        <w:rPr>
          <w:rFonts w:cstheme="minorBidi"/>
          <w:b/>
          <w:bCs/>
          <w:sz w:val="22"/>
          <w:szCs w:val="22"/>
        </w:rPr>
      </w:pPr>
      <w:r w:rsidRPr="00E84819">
        <w:rPr>
          <w:rFonts w:cstheme="minorBidi"/>
          <w:b/>
          <w:bCs/>
          <w:sz w:val="22"/>
          <w:szCs w:val="22"/>
        </w:rPr>
        <w:t xml:space="preserve">Supplementary Figure S5. </w:t>
      </w:r>
      <w:r w:rsidR="00E84819" w:rsidRPr="00E84819">
        <w:rPr>
          <w:rFonts w:cstheme="minorBidi"/>
          <w:b/>
          <w:bCs/>
          <w:sz w:val="22"/>
          <w:szCs w:val="22"/>
        </w:rPr>
        <w:t>TMD-mediated IER3IP1 association and its regulation by ER export</w:t>
      </w:r>
    </w:p>
    <w:p w14:paraId="14BB9A01" w14:textId="7298902B" w:rsidR="00F43B6F" w:rsidRPr="00F43B6F" w:rsidRDefault="00A94A0F" w:rsidP="00A94A0F">
      <w:pPr>
        <w:wordWrap/>
        <w:spacing w:line="480" w:lineRule="auto"/>
        <w:jc w:val="left"/>
        <w:rPr>
          <w:rFonts w:cstheme="minorBidi"/>
          <w:i/>
          <w:iCs/>
          <w:sz w:val="22"/>
          <w:szCs w:val="22"/>
        </w:rPr>
      </w:pPr>
      <w:r w:rsidRPr="00F43B6F">
        <w:rPr>
          <w:rFonts w:cstheme="minorBidi"/>
          <w:b/>
          <w:bCs/>
          <w:sz w:val="22"/>
          <w:szCs w:val="22"/>
        </w:rPr>
        <w:t>(A)</w:t>
      </w:r>
      <w:r w:rsidRPr="00F43B6F">
        <w:rPr>
          <w:rFonts w:cstheme="minorBidi"/>
          <w:sz w:val="22"/>
          <w:szCs w:val="22"/>
        </w:rPr>
        <w:t xml:space="preserve"> WT and C15A IER3IP1–FLAG </w:t>
      </w:r>
      <w:proofErr w:type="gramStart"/>
      <w:r w:rsidRPr="00F43B6F">
        <w:rPr>
          <w:rFonts w:cstheme="minorBidi"/>
          <w:sz w:val="22"/>
          <w:szCs w:val="22"/>
        </w:rPr>
        <w:t>were</w:t>
      </w:r>
      <w:proofErr w:type="gramEnd"/>
      <w:r w:rsidRPr="00F43B6F">
        <w:rPr>
          <w:rFonts w:cstheme="minorBidi"/>
          <w:sz w:val="22"/>
          <w:szCs w:val="22"/>
        </w:rPr>
        <w:t xml:space="preserve"> expressed and treated with BMH (0–200 µM, 1 h, RT). Crosslinked products were detected by direct immunoblotting or after FLAG immunoprecipitation. Higher-molecular</w:t>
      </w:r>
      <w:r w:rsidRPr="00306676">
        <w:rPr>
          <w:rFonts w:cstheme="minorBidi"/>
          <w:sz w:val="22"/>
          <w:szCs w:val="22"/>
        </w:rPr>
        <w:t>-weight bands (</w:t>
      </w:r>
      <w:r w:rsidR="00F43B6F" w:rsidRPr="00306676">
        <w:rPr>
          <w:rFonts w:cstheme="minorBidi"/>
          <w:sz w:val="22"/>
          <w:szCs w:val="22"/>
        </w:rPr>
        <w:t>*</w:t>
      </w:r>
      <w:r w:rsidRPr="00306676">
        <w:rPr>
          <w:rFonts w:cstheme="minorBidi"/>
          <w:sz w:val="22"/>
          <w:szCs w:val="22"/>
        </w:rPr>
        <w:t>) indicated BMH-dependent covalent association of IER3IP1.</w:t>
      </w:r>
    </w:p>
    <w:p w14:paraId="5988ABB7" w14:textId="77777777" w:rsidR="00E3425D" w:rsidRDefault="00A94A0F" w:rsidP="00A94A0F">
      <w:pPr>
        <w:wordWrap/>
        <w:spacing w:line="480" w:lineRule="auto"/>
        <w:jc w:val="left"/>
        <w:rPr>
          <w:rFonts w:cstheme="minorBidi"/>
          <w:b/>
          <w:bCs/>
          <w:sz w:val="22"/>
          <w:szCs w:val="22"/>
        </w:rPr>
      </w:pPr>
      <w:r w:rsidRPr="00F43B6F">
        <w:rPr>
          <w:rFonts w:cstheme="minorBidi"/>
          <w:b/>
          <w:bCs/>
          <w:sz w:val="22"/>
          <w:szCs w:val="22"/>
        </w:rPr>
        <w:t>(B)</w:t>
      </w:r>
      <w:r w:rsidRPr="00F43B6F">
        <w:rPr>
          <w:rFonts w:cstheme="minorBidi"/>
          <w:sz w:val="22"/>
          <w:szCs w:val="22"/>
        </w:rPr>
        <w:t xml:space="preserve"> WT and ΔEMC cells expressing WT or cysteine-mutant IER3IP1 (C15A, V65C) were crosslinked with BMH </w:t>
      </w:r>
      <w:r w:rsidR="00306676" w:rsidRPr="00F43B6F">
        <w:rPr>
          <w:rFonts w:cstheme="minorBidi"/>
          <w:sz w:val="22"/>
          <w:szCs w:val="22"/>
        </w:rPr>
        <w:t>(200 µM, 1 h, RT)</w:t>
      </w:r>
      <w:r w:rsidR="00306676">
        <w:rPr>
          <w:rFonts w:cstheme="minorBidi"/>
          <w:sz w:val="22"/>
          <w:szCs w:val="22"/>
        </w:rPr>
        <w:t xml:space="preserve"> </w:t>
      </w:r>
      <w:r w:rsidRPr="00F43B6F">
        <w:rPr>
          <w:rFonts w:cstheme="minorBidi"/>
          <w:sz w:val="22"/>
          <w:szCs w:val="22"/>
        </w:rPr>
        <w:t xml:space="preserve">and probed with anti-FLAG. Crosslinked species (N-XL, C-XL) remained detectable in ΔEMC cells, showing that EMC loss does not disrupt TMD-mediated association. </w:t>
      </w:r>
      <w:r w:rsidR="00E3425D" w:rsidRPr="00E3425D">
        <w:rPr>
          <w:rFonts w:cstheme="minorBidi"/>
          <w:sz w:val="22"/>
          <w:szCs w:val="22"/>
        </w:rPr>
        <w:t>TRAPα was used as a loading control, while loss of EMC5 confirmed EMC deficiency</w:t>
      </w:r>
      <w:r w:rsidR="00E3425D" w:rsidRPr="00E3425D">
        <w:rPr>
          <w:rFonts w:cstheme="minorBidi"/>
          <w:b/>
          <w:bCs/>
          <w:sz w:val="22"/>
          <w:szCs w:val="22"/>
        </w:rPr>
        <w:t xml:space="preserve"> </w:t>
      </w:r>
    </w:p>
    <w:p w14:paraId="05D2D1E2" w14:textId="77777777" w:rsidR="00A94A0F" w:rsidRPr="00A94A0F" w:rsidRDefault="00A94A0F" w:rsidP="00A94A0F">
      <w:pPr>
        <w:wordWrap/>
        <w:spacing w:line="480" w:lineRule="auto"/>
        <w:jc w:val="left"/>
        <w:rPr>
          <w:rFonts w:cstheme="minorBidi"/>
          <w:color w:val="BFBFBF" w:themeColor="background1" w:themeShade="BF"/>
          <w:sz w:val="22"/>
          <w:szCs w:val="22"/>
        </w:rPr>
      </w:pPr>
    </w:p>
    <w:p w14:paraId="245C190A" w14:textId="3320F070" w:rsidR="00EE7D82" w:rsidRDefault="00A94A0F" w:rsidP="00A94A0F">
      <w:pPr>
        <w:wordWrap/>
        <w:spacing w:line="480" w:lineRule="auto"/>
        <w:jc w:val="left"/>
        <w:rPr>
          <w:rFonts w:cstheme="minorBidi"/>
          <w:b/>
          <w:bCs/>
          <w:color w:val="BFBFBF" w:themeColor="background1" w:themeShade="BF"/>
          <w:sz w:val="22"/>
          <w:szCs w:val="22"/>
        </w:rPr>
      </w:pPr>
      <w:r w:rsidRPr="00BB2559">
        <w:rPr>
          <w:rFonts w:cstheme="minorBidi"/>
          <w:b/>
          <w:bCs/>
          <w:sz w:val="22"/>
          <w:szCs w:val="22"/>
        </w:rPr>
        <w:t>Supplementary Figure S6</w:t>
      </w:r>
      <w:r w:rsidRPr="00EE7D82">
        <w:rPr>
          <w:rFonts w:cstheme="minorBidi"/>
          <w:b/>
          <w:bCs/>
          <w:sz w:val="22"/>
          <w:szCs w:val="22"/>
        </w:rPr>
        <w:t xml:space="preserve">. </w:t>
      </w:r>
      <w:r w:rsidR="00EE7D82" w:rsidRPr="00EE7D82">
        <w:rPr>
          <w:rFonts w:cstheme="minorBidi"/>
          <w:b/>
          <w:bCs/>
          <w:sz w:val="22"/>
          <w:szCs w:val="22"/>
        </w:rPr>
        <w:t>Effects of the A18V variant on IER3IP1 and CLU trafficking</w:t>
      </w:r>
    </w:p>
    <w:p w14:paraId="27DFB683" w14:textId="294DAFC0" w:rsidR="00BB2559" w:rsidRPr="00BB2559" w:rsidRDefault="00A94A0F" w:rsidP="00A94A0F">
      <w:pPr>
        <w:wordWrap/>
        <w:spacing w:line="480" w:lineRule="auto"/>
        <w:jc w:val="left"/>
        <w:rPr>
          <w:rFonts w:cstheme="minorBidi"/>
          <w:sz w:val="22"/>
          <w:szCs w:val="22"/>
        </w:rPr>
      </w:pPr>
      <w:r w:rsidRPr="00BB2559">
        <w:rPr>
          <w:rFonts w:cstheme="minorBidi"/>
          <w:b/>
          <w:bCs/>
          <w:sz w:val="22"/>
          <w:szCs w:val="22"/>
        </w:rPr>
        <w:t>(A)</w:t>
      </w:r>
      <w:r w:rsidRPr="00BB2559">
        <w:rPr>
          <w:rFonts w:cstheme="minorBidi"/>
          <w:sz w:val="22"/>
          <w:szCs w:val="22"/>
        </w:rPr>
        <w:t> Cells expressing WT or A18V IER3IP1–FLAG constructs appended with OPT tags at the indicated termini were pulse-labeled, immunoprecipitated with anti-FLAG, and analyzed by SDS–PAGE and autoradiography. Similar glycosylated species (filled dots) in WT and A18V indicated unaltered membrane insertion efficiency.</w:t>
      </w:r>
    </w:p>
    <w:p w14:paraId="08F61155" w14:textId="77777777" w:rsidR="00BB2559" w:rsidRPr="00BB2559" w:rsidRDefault="00A94A0F" w:rsidP="00A94A0F">
      <w:pPr>
        <w:wordWrap/>
        <w:spacing w:line="480" w:lineRule="auto"/>
        <w:jc w:val="left"/>
        <w:rPr>
          <w:rFonts w:cstheme="minorBidi"/>
          <w:sz w:val="22"/>
          <w:szCs w:val="22"/>
        </w:rPr>
      </w:pPr>
      <w:r w:rsidRPr="00BB2559">
        <w:rPr>
          <w:rFonts w:cstheme="minorBidi"/>
          <w:b/>
          <w:bCs/>
          <w:sz w:val="22"/>
          <w:szCs w:val="22"/>
        </w:rPr>
        <w:t>(B, D)</w:t>
      </w:r>
      <w:r w:rsidRPr="00BB2559">
        <w:rPr>
          <w:rFonts w:cstheme="minorBidi"/>
          <w:sz w:val="22"/>
          <w:szCs w:val="22"/>
        </w:rPr>
        <w:t xml:space="preserve"> ΔIER3IP1 (B) and ΔEMC (D) cells expressing WT or A18V IER3IP1–FLAG </w:t>
      </w:r>
      <w:proofErr w:type="gramStart"/>
      <w:r w:rsidRPr="00BB2559">
        <w:rPr>
          <w:rFonts w:cstheme="minorBidi"/>
          <w:sz w:val="22"/>
          <w:szCs w:val="22"/>
        </w:rPr>
        <w:t>were</w:t>
      </w:r>
      <w:proofErr w:type="gramEnd"/>
      <w:r w:rsidRPr="00BB2559">
        <w:rPr>
          <w:rFonts w:cstheme="minorBidi"/>
          <w:sz w:val="22"/>
          <w:szCs w:val="22"/>
        </w:rPr>
        <w:t xml:space="preserve"> immunoblotted with anti-FLAG and anti-TRAPα. A18V expression was comparable to WT in both backgrounds.</w:t>
      </w:r>
    </w:p>
    <w:p w14:paraId="752D8454" w14:textId="77777777" w:rsidR="00BB2559" w:rsidRPr="00BB2559" w:rsidRDefault="00A94A0F" w:rsidP="00A94A0F">
      <w:pPr>
        <w:wordWrap/>
        <w:spacing w:line="480" w:lineRule="auto"/>
        <w:jc w:val="left"/>
        <w:rPr>
          <w:rFonts w:cstheme="minorBidi"/>
          <w:sz w:val="22"/>
          <w:szCs w:val="22"/>
        </w:rPr>
      </w:pPr>
      <w:r w:rsidRPr="00BB2559">
        <w:rPr>
          <w:rFonts w:cstheme="minorBidi"/>
          <w:b/>
          <w:bCs/>
          <w:sz w:val="22"/>
          <w:szCs w:val="22"/>
        </w:rPr>
        <w:t>(C, E)</w:t>
      </w:r>
      <w:r w:rsidRPr="00BB2559">
        <w:rPr>
          <w:rFonts w:cstheme="minorBidi"/>
          <w:sz w:val="22"/>
          <w:szCs w:val="22"/>
        </w:rPr>
        <w:t xml:space="preserve"> ΔIER3IP1 (C) and ΔEMC (E) cells coexpressing CLU–SBP–HA and WT or A18V IER3IP1 were pulse-labeled and chased for the indicated times. Anti-HA immunoprecipitates analyzed by SDS–PAGE and autoradiography showed </w:t>
      </w:r>
      <w:r w:rsidR="00BB2559" w:rsidRPr="00BB2559">
        <w:rPr>
          <w:rFonts w:cstheme="minorBidi"/>
          <w:sz w:val="22"/>
          <w:szCs w:val="22"/>
        </w:rPr>
        <w:t xml:space="preserve">a </w:t>
      </w:r>
      <w:r w:rsidRPr="00BB2559">
        <w:rPr>
          <w:rFonts w:cstheme="minorBidi"/>
          <w:sz w:val="22"/>
          <w:szCs w:val="22"/>
        </w:rPr>
        <w:t xml:space="preserve">modest </w:t>
      </w:r>
      <w:r w:rsidR="00BB2559" w:rsidRPr="00BB2559">
        <w:rPr>
          <w:rFonts w:cstheme="minorBidi"/>
          <w:sz w:val="22"/>
          <w:szCs w:val="22"/>
        </w:rPr>
        <w:t>increase</w:t>
      </w:r>
      <w:r w:rsidRPr="00BB2559">
        <w:rPr>
          <w:rFonts w:cstheme="minorBidi"/>
          <w:sz w:val="22"/>
          <w:szCs w:val="22"/>
        </w:rPr>
        <w:t xml:space="preserve"> of CLUα/β–HA with A18V, indicating partially impaired ER-to-Golgi transport.</w:t>
      </w:r>
    </w:p>
    <w:p w14:paraId="768E36B4" w14:textId="6EAADB77" w:rsidR="001B1F92" w:rsidRPr="00194347" w:rsidRDefault="001B1F92" w:rsidP="00565A3C">
      <w:pPr>
        <w:wordWrap/>
        <w:spacing w:line="480" w:lineRule="auto"/>
        <w:jc w:val="left"/>
        <w:rPr>
          <w:rFonts w:cstheme="minorBidi"/>
          <w:sz w:val="22"/>
          <w:szCs w:val="22"/>
        </w:rPr>
      </w:pPr>
    </w:p>
    <w:sectPr w:rsidR="001B1F92" w:rsidRPr="00194347" w:rsidSect="00ED42BB">
      <w:pgSz w:w="12240" w:h="15840"/>
      <w:pgMar w:top="1440" w:right="1440" w:bottom="1440" w:left="1440" w:header="851" w:footer="992" w:gutter="0"/>
      <w:lnNumType w:countBy="1" w:restart="continuous"/>
      <w:pgNumType w:start="1"/>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BBEB" w14:textId="77777777" w:rsidR="001959A0" w:rsidRDefault="001959A0">
      <w:r>
        <w:separator/>
      </w:r>
    </w:p>
  </w:endnote>
  <w:endnote w:type="continuationSeparator" w:id="0">
    <w:p w14:paraId="765FDCDF" w14:textId="77777777" w:rsidR="001959A0" w:rsidRDefault="0019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 w:name="Times New Roman(본문 CS)">
    <w:altName w:val="바탕"/>
    <w:panose1 w:val="020B0604020202020204"/>
    <w:charset w:val="81"/>
    <w:family w:val="roman"/>
    <w:pitch w:val="default"/>
  </w:font>
  <w:font w:name="Apple SD Gothic Neo">
    <w:panose1 w:val="02000300000000000000"/>
    <w:charset w:val="81"/>
    <w:family w:val="auto"/>
    <w:pitch w:val="variable"/>
    <w:sig w:usb0="00000203" w:usb1="29D72C10" w:usb2="00000010" w:usb3="00000000" w:csb0="00280005"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407270111"/>
      <w:docPartObj>
        <w:docPartGallery w:val="Page Numbers (Bottom of Page)"/>
        <w:docPartUnique/>
      </w:docPartObj>
    </w:sdtPr>
    <w:sdtContent>
      <w:p w14:paraId="38D82761" w14:textId="50C6CE83" w:rsidR="003069EA" w:rsidRDefault="003069EA" w:rsidP="003069EA">
        <w:pPr>
          <w:pStyle w:val="ab"/>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5A84EF2B" w14:textId="77777777" w:rsidR="003069EA" w:rsidRDefault="003069E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402439894"/>
      <w:docPartObj>
        <w:docPartGallery w:val="Page Numbers (Bottom of Page)"/>
        <w:docPartUnique/>
      </w:docPartObj>
    </w:sdtPr>
    <w:sdtContent>
      <w:p w14:paraId="4EE94775" w14:textId="6E23ABD4" w:rsidR="003069EA" w:rsidRDefault="003069EA" w:rsidP="003069EA">
        <w:pPr>
          <w:pStyle w:val="ab"/>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0F15B5BA" w14:textId="77777777" w:rsidR="003069EA" w:rsidRDefault="003069E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F1C8" w14:textId="77777777" w:rsidR="001959A0" w:rsidRDefault="001959A0">
      <w:r>
        <w:separator/>
      </w:r>
    </w:p>
  </w:footnote>
  <w:footnote w:type="continuationSeparator" w:id="0">
    <w:p w14:paraId="05431321" w14:textId="77777777" w:rsidR="001959A0" w:rsidRDefault="0019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219255"/>
      <w:docPartObj>
        <w:docPartGallery w:val="Page Numbers (Top of Page)"/>
        <w:docPartUnique/>
      </w:docPartObj>
    </w:sdtPr>
    <w:sdtEndPr>
      <w:rPr>
        <w:noProof/>
      </w:rPr>
    </w:sdtEndPr>
    <w:sdtContent>
      <w:p w14:paraId="659CB971" w14:textId="77777777" w:rsidR="007D12B2" w:rsidRDefault="00CC46C4">
        <w:pPr>
          <w:pStyle w:val="a5"/>
          <w:jc w:val="right"/>
        </w:pPr>
        <w:r>
          <w:fldChar w:fldCharType="begin"/>
        </w:r>
        <w:r>
          <w:instrText xml:space="preserve"> PAGE   \* MERGEFORMAT </w:instrText>
        </w:r>
        <w:r>
          <w:fldChar w:fldCharType="separate"/>
        </w:r>
        <w:r>
          <w:rPr>
            <w:noProof/>
          </w:rPr>
          <w:t>1</w:t>
        </w:r>
        <w:r>
          <w:rPr>
            <w:noProof/>
          </w:rPr>
          <w:fldChar w:fldCharType="end"/>
        </w:r>
      </w:p>
    </w:sdtContent>
  </w:sdt>
  <w:p w14:paraId="48831A10" w14:textId="77777777" w:rsidR="007D12B2" w:rsidRDefault="007D12B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60355"/>
    <w:multiLevelType w:val="hybridMultilevel"/>
    <w:tmpl w:val="B6D8EE3E"/>
    <w:lvl w:ilvl="0" w:tplc="06F43078">
      <w:start w:val="1"/>
      <w:numFmt w:val="upperLetter"/>
      <w:lvlText w:val="(%1)"/>
      <w:lvlJc w:val="left"/>
      <w:pPr>
        <w:ind w:left="800" w:hanging="400"/>
      </w:pPr>
      <w:rPr>
        <w:rFonts w:eastAsia="바탕"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7BD70CA"/>
    <w:multiLevelType w:val="hybridMultilevel"/>
    <w:tmpl w:val="5ABA1CEE"/>
    <w:lvl w:ilvl="0" w:tplc="86166190">
      <w:start w:val="1"/>
      <w:numFmt w:val="upperLetter"/>
      <w:lvlText w:val="(%1)"/>
      <w:lvlJc w:val="left"/>
      <w:pPr>
        <w:ind w:left="800" w:hanging="400"/>
      </w:pPr>
      <w:rPr>
        <w:rFonts w:eastAsia="바탕"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87248096">
    <w:abstractNumId w:val="0"/>
  </w:num>
  <w:num w:numId="2" w16cid:durableId="184000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bordersDoNotSurroundHeader/>
  <w:bordersDoNotSurroundFooter/>
  <w:proofState w:grammar="clean"/>
  <w:defaultTabStop w:val="800"/>
  <w:drawingGridVerticalSpacing w:val="2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Free Radical Biol Med&lt;/Style&gt;&lt;LeftDelim&gt;{&lt;/LeftDelim&gt;&lt;RightDelim&gt;}&lt;/RightDelim&gt;&lt;FontName&gt;Times New Roman&lt;/FontName&gt;&lt;FontSize&gt;12&lt;/FontSize&gt;&lt;ReflistTitle&gt;&lt;/ReflistTitle&gt;&lt;StartingRefnum&gt;1&lt;/StartingRefnum&gt;&lt;FirstLineIndent&gt;0&lt;/FirstLineIndent&gt;&lt;HangingIndent&gt;565&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0dfrddsx50xzp6ewtx4p0ptdd2as9dzftz5p&quot;&gt;My EndNote Library-Converted&lt;record-ids&gt;&lt;item&gt;206&lt;/item&gt;&lt;item&gt;2314&lt;/item&gt;&lt;item&gt;2333&lt;/item&gt;&lt;/record-ids&gt;&lt;/item&gt;&lt;/Libraries&gt;"/>
  </w:docVars>
  <w:rsids>
    <w:rsidRoot w:val="001E07E1"/>
    <w:rsid w:val="00000D2E"/>
    <w:rsid w:val="0000597E"/>
    <w:rsid w:val="00012FD2"/>
    <w:rsid w:val="00016481"/>
    <w:rsid w:val="0001661A"/>
    <w:rsid w:val="00022EC1"/>
    <w:rsid w:val="00036B32"/>
    <w:rsid w:val="00043372"/>
    <w:rsid w:val="00044F66"/>
    <w:rsid w:val="000451FB"/>
    <w:rsid w:val="0004557F"/>
    <w:rsid w:val="00047B34"/>
    <w:rsid w:val="00051FBF"/>
    <w:rsid w:val="00052D42"/>
    <w:rsid w:val="000578DB"/>
    <w:rsid w:val="000607B5"/>
    <w:rsid w:val="00060B70"/>
    <w:rsid w:val="000629A7"/>
    <w:rsid w:val="000670D8"/>
    <w:rsid w:val="00075AAB"/>
    <w:rsid w:val="00076B11"/>
    <w:rsid w:val="00081901"/>
    <w:rsid w:val="00087EB4"/>
    <w:rsid w:val="00094E74"/>
    <w:rsid w:val="00095AF2"/>
    <w:rsid w:val="00096551"/>
    <w:rsid w:val="000A4764"/>
    <w:rsid w:val="000B326C"/>
    <w:rsid w:val="000B4C50"/>
    <w:rsid w:val="000C599E"/>
    <w:rsid w:val="000C690B"/>
    <w:rsid w:val="000C7708"/>
    <w:rsid w:val="000D101B"/>
    <w:rsid w:val="000D3B75"/>
    <w:rsid w:val="000E0A81"/>
    <w:rsid w:val="000E123C"/>
    <w:rsid w:val="000E1E5E"/>
    <w:rsid w:val="000E3F4D"/>
    <w:rsid w:val="000F045C"/>
    <w:rsid w:val="000F093F"/>
    <w:rsid w:val="000F3C04"/>
    <w:rsid w:val="000F4D7F"/>
    <w:rsid w:val="000F617A"/>
    <w:rsid w:val="00100102"/>
    <w:rsid w:val="00102FA2"/>
    <w:rsid w:val="00111583"/>
    <w:rsid w:val="00111B7A"/>
    <w:rsid w:val="00112216"/>
    <w:rsid w:val="00112EFC"/>
    <w:rsid w:val="0011300D"/>
    <w:rsid w:val="001216A5"/>
    <w:rsid w:val="001270D3"/>
    <w:rsid w:val="00130519"/>
    <w:rsid w:val="00131744"/>
    <w:rsid w:val="0013274C"/>
    <w:rsid w:val="001359C1"/>
    <w:rsid w:val="001371DD"/>
    <w:rsid w:val="00137D61"/>
    <w:rsid w:val="00143F55"/>
    <w:rsid w:val="00147D11"/>
    <w:rsid w:val="001611FB"/>
    <w:rsid w:val="00163282"/>
    <w:rsid w:val="00163CBE"/>
    <w:rsid w:val="001658A6"/>
    <w:rsid w:val="00165E1E"/>
    <w:rsid w:val="001663FA"/>
    <w:rsid w:val="00170C0D"/>
    <w:rsid w:val="0017336F"/>
    <w:rsid w:val="00173A5C"/>
    <w:rsid w:val="00174A07"/>
    <w:rsid w:val="001827B6"/>
    <w:rsid w:val="001839DF"/>
    <w:rsid w:val="00184FB9"/>
    <w:rsid w:val="0018699D"/>
    <w:rsid w:val="00187868"/>
    <w:rsid w:val="00187965"/>
    <w:rsid w:val="001937A3"/>
    <w:rsid w:val="001937C1"/>
    <w:rsid w:val="00194347"/>
    <w:rsid w:val="001944A4"/>
    <w:rsid w:val="001959A0"/>
    <w:rsid w:val="00195E02"/>
    <w:rsid w:val="001A446A"/>
    <w:rsid w:val="001A4789"/>
    <w:rsid w:val="001A54C9"/>
    <w:rsid w:val="001B1F92"/>
    <w:rsid w:val="001B26B2"/>
    <w:rsid w:val="001B2C6F"/>
    <w:rsid w:val="001B4F2A"/>
    <w:rsid w:val="001B7B7B"/>
    <w:rsid w:val="001C0F2E"/>
    <w:rsid w:val="001C1DCD"/>
    <w:rsid w:val="001C4351"/>
    <w:rsid w:val="001C6688"/>
    <w:rsid w:val="001D3FA0"/>
    <w:rsid w:val="001D4CF0"/>
    <w:rsid w:val="001D5A58"/>
    <w:rsid w:val="001D6BC4"/>
    <w:rsid w:val="001E0393"/>
    <w:rsid w:val="001E07E1"/>
    <w:rsid w:val="001E4588"/>
    <w:rsid w:val="001E530B"/>
    <w:rsid w:val="001E59F6"/>
    <w:rsid w:val="001E6B87"/>
    <w:rsid w:val="001F5401"/>
    <w:rsid w:val="002070B4"/>
    <w:rsid w:val="00210FD5"/>
    <w:rsid w:val="00211312"/>
    <w:rsid w:val="0021698B"/>
    <w:rsid w:val="00224FD2"/>
    <w:rsid w:val="00231CCF"/>
    <w:rsid w:val="00233508"/>
    <w:rsid w:val="00240B5F"/>
    <w:rsid w:val="002456A7"/>
    <w:rsid w:val="00245C89"/>
    <w:rsid w:val="002461F8"/>
    <w:rsid w:val="00255322"/>
    <w:rsid w:val="00257738"/>
    <w:rsid w:val="00262399"/>
    <w:rsid w:val="00273F06"/>
    <w:rsid w:val="00274037"/>
    <w:rsid w:val="00282092"/>
    <w:rsid w:val="00283891"/>
    <w:rsid w:val="00285EED"/>
    <w:rsid w:val="00293BC6"/>
    <w:rsid w:val="00294079"/>
    <w:rsid w:val="00296B21"/>
    <w:rsid w:val="002A0C8D"/>
    <w:rsid w:val="002A66FD"/>
    <w:rsid w:val="002B1C47"/>
    <w:rsid w:val="002C0936"/>
    <w:rsid w:val="002C13B3"/>
    <w:rsid w:val="002C1452"/>
    <w:rsid w:val="002C2EAF"/>
    <w:rsid w:val="002C3235"/>
    <w:rsid w:val="002C4F35"/>
    <w:rsid w:val="002D025E"/>
    <w:rsid w:val="002D09AD"/>
    <w:rsid w:val="002D1F8A"/>
    <w:rsid w:val="002D495A"/>
    <w:rsid w:val="002E203D"/>
    <w:rsid w:val="002E2D36"/>
    <w:rsid w:val="002E7D45"/>
    <w:rsid w:val="002F5133"/>
    <w:rsid w:val="002F5956"/>
    <w:rsid w:val="00300A8E"/>
    <w:rsid w:val="00302ABE"/>
    <w:rsid w:val="00306676"/>
    <w:rsid w:val="003069EA"/>
    <w:rsid w:val="0031139B"/>
    <w:rsid w:val="00314B82"/>
    <w:rsid w:val="00320540"/>
    <w:rsid w:val="00320D5F"/>
    <w:rsid w:val="003211DC"/>
    <w:rsid w:val="00321D9F"/>
    <w:rsid w:val="00323034"/>
    <w:rsid w:val="00324F27"/>
    <w:rsid w:val="00325704"/>
    <w:rsid w:val="0033490C"/>
    <w:rsid w:val="00345025"/>
    <w:rsid w:val="0034682F"/>
    <w:rsid w:val="00347722"/>
    <w:rsid w:val="00355986"/>
    <w:rsid w:val="00356F7F"/>
    <w:rsid w:val="0035798E"/>
    <w:rsid w:val="00357B6D"/>
    <w:rsid w:val="0036355C"/>
    <w:rsid w:val="00364F1D"/>
    <w:rsid w:val="00366625"/>
    <w:rsid w:val="00366A43"/>
    <w:rsid w:val="00367584"/>
    <w:rsid w:val="00371ED6"/>
    <w:rsid w:val="00377344"/>
    <w:rsid w:val="00383D1C"/>
    <w:rsid w:val="0038497B"/>
    <w:rsid w:val="0038519A"/>
    <w:rsid w:val="00390197"/>
    <w:rsid w:val="00395A25"/>
    <w:rsid w:val="00396D44"/>
    <w:rsid w:val="003A0C7B"/>
    <w:rsid w:val="003A4B89"/>
    <w:rsid w:val="003A4DF1"/>
    <w:rsid w:val="003A7D6F"/>
    <w:rsid w:val="003B3295"/>
    <w:rsid w:val="003B6474"/>
    <w:rsid w:val="003B74D6"/>
    <w:rsid w:val="003C299E"/>
    <w:rsid w:val="003C472F"/>
    <w:rsid w:val="003C5D93"/>
    <w:rsid w:val="003C6E42"/>
    <w:rsid w:val="003E39F9"/>
    <w:rsid w:val="003E6E41"/>
    <w:rsid w:val="003F20B4"/>
    <w:rsid w:val="00400840"/>
    <w:rsid w:val="00401FD5"/>
    <w:rsid w:val="00404B50"/>
    <w:rsid w:val="00410D48"/>
    <w:rsid w:val="004157C6"/>
    <w:rsid w:val="0042565D"/>
    <w:rsid w:val="004304A4"/>
    <w:rsid w:val="00430CF3"/>
    <w:rsid w:val="004314AC"/>
    <w:rsid w:val="004333D2"/>
    <w:rsid w:val="0043586E"/>
    <w:rsid w:val="00437965"/>
    <w:rsid w:val="004411D1"/>
    <w:rsid w:val="004449BF"/>
    <w:rsid w:val="00446BC7"/>
    <w:rsid w:val="00450702"/>
    <w:rsid w:val="004677AD"/>
    <w:rsid w:val="0047521D"/>
    <w:rsid w:val="00480F47"/>
    <w:rsid w:val="00481205"/>
    <w:rsid w:val="0049243E"/>
    <w:rsid w:val="0049351F"/>
    <w:rsid w:val="00493FE2"/>
    <w:rsid w:val="004A75E6"/>
    <w:rsid w:val="004B6C55"/>
    <w:rsid w:val="004C6136"/>
    <w:rsid w:val="004D41D5"/>
    <w:rsid w:val="004D5E04"/>
    <w:rsid w:val="004D7915"/>
    <w:rsid w:val="004E1D2B"/>
    <w:rsid w:val="004E1E64"/>
    <w:rsid w:val="004E1EBD"/>
    <w:rsid w:val="004E3AB4"/>
    <w:rsid w:val="004E44BD"/>
    <w:rsid w:val="004E5319"/>
    <w:rsid w:val="004F35C5"/>
    <w:rsid w:val="004F37A3"/>
    <w:rsid w:val="00501184"/>
    <w:rsid w:val="005160A3"/>
    <w:rsid w:val="00522519"/>
    <w:rsid w:val="005232C0"/>
    <w:rsid w:val="00523723"/>
    <w:rsid w:val="00530A61"/>
    <w:rsid w:val="00531C2F"/>
    <w:rsid w:val="0053251E"/>
    <w:rsid w:val="005342F2"/>
    <w:rsid w:val="00544B44"/>
    <w:rsid w:val="00550EE0"/>
    <w:rsid w:val="005570C3"/>
    <w:rsid w:val="00563A5D"/>
    <w:rsid w:val="00565480"/>
    <w:rsid w:val="00565A3C"/>
    <w:rsid w:val="005760C8"/>
    <w:rsid w:val="005770D4"/>
    <w:rsid w:val="005778CD"/>
    <w:rsid w:val="005802C2"/>
    <w:rsid w:val="00581809"/>
    <w:rsid w:val="00581D19"/>
    <w:rsid w:val="0058392D"/>
    <w:rsid w:val="005902E4"/>
    <w:rsid w:val="00593B07"/>
    <w:rsid w:val="005942DC"/>
    <w:rsid w:val="0059641F"/>
    <w:rsid w:val="005A4466"/>
    <w:rsid w:val="005C4EA7"/>
    <w:rsid w:val="005C5C32"/>
    <w:rsid w:val="005C5F19"/>
    <w:rsid w:val="005D28B2"/>
    <w:rsid w:val="005D3CB0"/>
    <w:rsid w:val="005D3F44"/>
    <w:rsid w:val="005D4C3F"/>
    <w:rsid w:val="005D50E1"/>
    <w:rsid w:val="005D6A0C"/>
    <w:rsid w:val="005D6F9F"/>
    <w:rsid w:val="005D78C1"/>
    <w:rsid w:val="005E1713"/>
    <w:rsid w:val="005E1CF2"/>
    <w:rsid w:val="005E288C"/>
    <w:rsid w:val="005E382A"/>
    <w:rsid w:val="005F2497"/>
    <w:rsid w:val="005F2E26"/>
    <w:rsid w:val="005F33CA"/>
    <w:rsid w:val="005F3CD6"/>
    <w:rsid w:val="005F501D"/>
    <w:rsid w:val="005F56EF"/>
    <w:rsid w:val="005F5A68"/>
    <w:rsid w:val="005F6861"/>
    <w:rsid w:val="006007C3"/>
    <w:rsid w:val="006030FB"/>
    <w:rsid w:val="00605365"/>
    <w:rsid w:val="006060D7"/>
    <w:rsid w:val="00606590"/>
    <w:rsid w:val="0062250D"/>
    <w:rsid w:val="00624849"/>
    <w:rsid w:val="00626F29"/>
    <w:rsid w:val="00633080"/>
    <w:rsid w:val="00634BE3"/>
    <w:rsid w:val="00637985"/>
    <w:rsid w:val="00640F6D"/>
    <w:rsid w:val="00643156"/>
    <w:rsid w:val="00655715"/>
    <w:rsid w:val="006625E6"/>
    <w:rsid w:val="00667D32"/>
    <w:rsid w:val="006774D1"/>
    <w:rsid w:val="00684128"/>
    <w:rsid w:val="00684335"/>
    <w:rsid w:val="00686498"/>
    <w:rsid w:val="0069247C"/>
    <w:rsid w:val="00692871"/>
    <w:rsid w:val="0069306A"/>
    <w:rsid w:val="00695922"/>
    <w:rsid w:val="0069770D"/>
    <w:rsid w:val="006A0227"/>
    <w:rsid w:val="006A3440"/>
    <w:rsid w:val="006A7AF5"/>
    <w:rsid w:val="006B1193"/>
    <w:rsid w:val="006B1A50"/>
    <w:rsid w:val="006B68C2"/>
    <w:rsid w:val="006B75A1"/>
    <w:rsid w:val="006C0716"/>
    <w:rsid w:val="006C1EDE"/>
    <w:rsid w:val="006C2454"/>
    <w:rsid w:val="006C448D"/>
    <w:rsid w:val="006D1776"/>
    <w:rsid w:val="006D5AD1"/>
    <w:rsid w:val="006D5CCA"/>
    <w:rsid w:val="006E0E7C"/>
    <w:rsid w:val="006E1D25"/>
    <w:rsid w:val="006E4E2E"/>
    <w:rsid w:val="006E69C1"/>
    <w:rsid w:val="006F5C27"/>
    <w:rsid w:val="007058B8"/>
    <w:rsid w:val="00713F10"/>
    <w:rsid w:val="00717925"/>
    <w:rsid w:val="0072189D"/>
    <w:rsid w:val="00722638"/>
    <w:rsid w:val="007321F1"/>
    <w:rsid w:val="00732403"/>
    <w:rsid w:val="0073300C"/>
    <w:rsid w:val="007335D6"/>
    <w:rsid w:val="00733A35"/>
    <w:rsid w:val="00733B81"/>
    <w:rsid w:val="00736422"/>
    <w:rsid w:val="00740851"/>
    <w:rsid w:val="00741256"/>
    <w:rsid w:val="00746E70"/>
    <w:rsid w:val="007470AD"/>
    <w:rsid w:val="00747C43"/>
    <w:rsid w:val="007519D6"/>
    <w:rsid w:val="00751C00"/>
    <w:rsid w:val="007578B0"/>
    <w:rsid w:val="007630EB"/>
    <w:rsid w:val="00765646"/>
    <w:rsid w:val="00773380"/>
    <w:rsid w:val="007752A7"/>
    <w:rsid w:val="00781896"/>
    <w:rsid w:val="00786915"/>
    <w:rsid w:val="00786F9D"/>
    <w:rsid w:val="00787F7F"/>
    <w:rsid w:val="00791B12"/>
    <w:rsid w:val="0079354A"/>
    <w:rsid w:val="00793984"/>
    <w:rsid w:val="00795D52"/>
    <w:rsid w:val="007970BC"/>
    <w:rsid w:val="007A08E4"/>
    <w:rsid w:val="007A3021"/>
    <w:rsid w:val="007A43A7"/>
    <w:rsid w:val="007A616B"/>
    <w:rsid w:val="007A6BA6"/>
    <w:rsid w:val="007A7B2C"/>
    <w:rsid w:val="007B3AFA"/>
    <w:rsid w:val="007B54BC"/>
    <w:rsid w:val="007B61B2"/>
    <w:rsid w:val="007C13A3"/>
    <w:rsid w:val="007C4C81"/>
    <w:rsid w:val="007D12B2"/>
    <w:rsid w:val="007D13B3"/>
    <w:rsid w:val="007D1D38"/>
    <w:rsid w:val="007D26B7"/>
    <w:rsid w:val="007D4250"/>
    <w:rsid w:val="007D5FE7"/>
    <w:rsid w:val="007D69AB"/>
    <w:rsid w:val="007D77D3"/>
    <w:rsid w:val="007E632E"/>
    <w:rsid w:val="007F2602"/>
    <w:rsid w:val="00802C2D"/>
    <w:rsid w:val="00804B47"/>
    <w:rsid w:val="008109D7"/>
    <w:rsid w:val="00813BEF"/>
    <w:rsid w:val="00813D11"/>
    <w:rsid w:val="00813EAE"/>
    <w:rsid w:val="00814C0B"/>
    <w:rsid w:val="0082456F"/>
    <w:rsid w:val="00824587"/>
    <w:rsid w:val="00824EE8"/>
    <w:rsid w:val="008264B9"/>
    <w:rsid w:val="0082768E"/>
    <w:rsid w:val="00830A3D"/>
    <w:rsid w:val="00831EBD"/>
    <w:rsid w:val="00837900"/>
    <w:rsid w:val="00837D06"/>
    <w:rsid w:val="00841328"/>
    <w:rsid w:val="00842E52"/>
    <w:rsid w:val="0084445B"/>
    <w:rsid w:val="00845DB4"/>
    <w:rsid w:val="00846BD6"/>
    <w:rsid w:val="00850DA2"/>
    <w:rsid w:val="00854636"/>
    <w:rsid w:val="008579F7"/>
    <w:rsid w:val="00863AAA"/>
    <w:rsid w:val="0086462F"/>
    <w:rsid w:val="00870D7E"/>
    <w:rsid w:val="008816EB"/>
    <w:rsid w:val="00883C32"/>
    <w:rsid w:val="00885F70"/>
    <w:rsid w:val="00886FE9"/>
    <w:rsid w:val="00894930"/>
    <w:rsid w:val="008963FF"/>
    <w:rsid w:val="008967D4"/>
    <w:rsid w:val="00897231"/>
    <w:rsid w:val="00897311"/>
    <w:rsid w:val="008A583B"/>
    <w:rsid w:val="008B1E60"/>
    <w:rsid w:val="008B5019"/>
    <w:rsid w:val="008B6A30"/>
    <w:rsid w:val="008C0E03"/>
    <w:rsid w:val="008C2BF5"/>
    <w:rsid w:val="008C3061"/>
    <w:rsid w:val="008C4910"/>
    <w:rsid w:val="008C4CD7"/>
    <w:rsid w:val="008C61EF"/>
    <w:rsid w:val="008C6645"/>
    <w:rsid w:val="008C7370"/>
    <w:rsid w:val="008D4C55"/>
    <w:rsid w:val="008E04A5"/>
    <w:rsid w:val="008E3FDB"/>
    <w:rsid w:val="008E6C8B"/>
    <w:rsid w:val="008E7497"/>
    <w:rsid w:val="008F25A8"/>
    <w:rsid w:val="008F6BE3"/>
    <w:rsid w:val="0090060A"/>
    <w:rsid w:val="0090183C"/>
    <w:rsid w:val="00901F68"/>
    <w:rsid w:val="00906F37"/>
    <w:rsid w:val="00910065"/>
    <w:rsid w:val="00910CC6"/>
    <w:rsid w:val="00911812"/>
    <w:rsid w:val="00913BE2"/>
    <w:rsid w:val="0091438A"/>
    <w:rsid w:val="00915971"/>
    <w:rsid w:val="00916236"/>
    <w:rsid w:val="009166EF"/>
    <w:rsid w:val="00923AB6"/>
    <w:rsid w:val="00934007"/>
    <w:rsid w:val="00940C17"/>
    <w:rsid w:val="00944BD4"/>
    <w:rsid w:val="00945145"/>
    <w:rsid w:val="0094787A"/>
    <w:rsid w:val="00954C22"/>
    <w:rsid w:val="0095670D"/>
    <w:rsid w:val="00957494"/>
    <w:rsid w:val="00960A6C"/>
    <w:rsid w:val="00970DD7"/>
    <w:rsid w:val="00973740"/>
    <w:rsid w:val="00973E1E"/>
    <w:rsid w:val="00982E8B"/>
    <w:rsid w:val="0098351E"/>
    <w:rsid w:val="009916D6"/>
    <w:rsid w:val="00994B13"/>
    <w:rsid w:val="0099503D"/>
    <w:rsid w:val="0099706B"/>
    <w:rsid w:val="00997079"/>
    <w:rsid w:val="009A0AE7"/>
    <w:rsid w:val="009A1922"/>
    <w:rsid w:val="009A421C"/>
    <w:rsid w:val="009A662E"/>
    <w:rsid w:val="009A6C8B"/>
    <w:rsid w:val="009B2FCF"/>
    <w:rsid w:val="009B334A"/>
    <w:rsid w:val="009B3771"/>
    <w:rsid w:val="009B3841"/>
    <w:rsid w:val="009B3FE1"/>
    <w:rsid w:val="009B53E5"/>
    <w:rsid w:val="009C02F6"/>
    <w:rsid w:val="009C19A9"/>
    <w:rsid w:val="009C5178"/>
    <w:rsid w:val="009C5856"/>
    <w:rsid w:val="009D2106"/>
    <w:rsid w:val="009D3FA4"/>
    <w:rsid w:val="009D6CD0"/>
    <w:rsid w:val="009E1386"/>
    <w:rsid w:val="009E38C1"/>
    <w:rsid w:val="009E3F32"/>
    <w:rsid w:val="009E429F"/>
    <w:rsid w:val="009E42BC"/>
    <w:rsid w:val="009E57A8"/>
    <w:rsid w:val="009E6BC3"/>
    <w:rsid w:val="009E6E61"/>
    <w:rsid w:val="009F604C"/>
    <w:rsid w:val="009F6A72"/>
    <w:rsid w:val="009F7D64"/>
    <w:rsid w:val="00A01F9A"/>
    <w:rsid w:val="00A1030A"/>
    <w:rsid w:val="00A165C8"/>
    <w:rsid w:val="00A171B8"/>
    <w:rsid w:val="00A23293"/>
    <w:rsid w:val="00A25CF5"/>
    <w:rsid w:val="00A27C89"/>
    <w:rsid w:val="00A32DE4"/>
    <w:rsid w:val="00A3643C"/>
    <w:rsid w:val="00A36E12"/>
    <w:rsid w:val="00A4240F"/>
    <w:rsid w:val="00A44327"/>
    <w:rsid w:val="00A45918"/>
    <w:rsid w:val="00A506BA"/>
    <w:rsid w:val="00A55BC2"/>
    <w:rsid w:val="00A575DC"/>
    <w:rsid w:val="00A61919"/>
    <w:rsid w:val="00A61D2A"/>
    <w:rsid w:val="00A6353B"/>
    <w:rsid w:val="00A66F31"/>
    <w:rsid w:val="00A71AF9"/>
    <w:rsid w:val="00A7405B"/>
    <w:rsid w:val="00A771A0"/>
    <w:rsid w:val="00A77657"/>
    <w:rsid w:val="00A82831"/>
    <w:rsid w:val="00A82BF8"/>
    <w:rsid w:val="00A836A6"/>
    <w:rsid w:val="00A83DAC"/>
    <w:rsid w:val="00A8798F"/>
    <w:rsid w:val="00A94A0F"/>
    <w:rsid w:val="00A95EF8"/>
    <w:rsid w:val="00A96E7F"/>
    <w:rsid w:val="00AA0FB6"/>
    <w:rsid w:val="00AA33AC"/>
    <w:rsid w:val="00AA4A1F"/>
    <w:rsid w:val="00AA6639"/>
    <w:rsid w:val="00AA69A4"/>
    <w:rsid w:val="00AA708D"/>
    <w:rsid w:val="00AB24BB"/>
    <w:rsid w:val="00AC268D"/>
    <w:rsid w:val="00AC590C"/>
    <w:rsid w:val="00AD0F1E"/>
    <w:rsid w:val="00AD2A9D"/>
    <w:rsid w:val="00AD2DF8"/>
    <w:rsid w:val="00AD3E2D"/>
    <w:rsid w:val="00AD6939"/>
    <w:rsid w:val="00AE029F"/>
    <w:rsid w:val="00AE5ABA"/>
    <w:rsid w:val="00AE7A57"/>
    <w:rsid w:val="00AF01DB"/>
    <w:rsid w:val="00AF2E20"/>
    <w:rsid w:val="00B11BB1"/>
    <w:rsid w:val="00B12688"/>
    <w:rsid w:val="00B13F8D"/>
    <w:rsid w:val="00B15CA3"/>
    <w:rsid w:val="00B1661C"/>
    <w:rsid w:val="00B16EE0"/>
    <w:rsid w:val="00B17E5A"/>
    <w:rsid w:val="00B317E8"/>
    <w:rsid w:val="00B344A2"/>
    <w:rsid w:val="00B34E5E"/>
    <w:rsid w:val="00B40600"/>
    <w:rsid w:val="00B429AE"/>
    <w:rsid w:val="00B57C74"/>
    <w:rsid w:val="00B615BB"/>
    <w:rsid w:val="00B63DDD"/>
    <w:rsid w:val="00B70EAC"/>
    <w:rsid w:val="00B76D77"/>
    <w:rsid w:val="00B80C74"/>
    <w:rsid w:val="00B817DE"/>
    <w:rsid w:val="00B82865"/>
    <w:rsid w:val="00B90C03"/>
    <w:rsid w:val="00B95EBF"/>
    <w:rsid w:val="00BA4D9F"/>
    <w:rsid w:val="00BA4EBF"/>
    <w:rsid w:val="00BA5F99"/>
    <w:rsid w:val="00BB0133"/>
    <w:rsid w:val="00BB2559"/>
    <w:rsid w:val="00BB484A"/>
    <w:rsid w:val="00BB7A8A"/>
    <w:rsid w:val="00BC2455"/>
    <w:rsid w:val="00BC3AB5"/>
    <w:rsid w:val="00BD4DB8"/>
    <w:rsid w:val="00BE1F3B"/>
    <w:rsid w:val="00BE7D70"/>
    <w:rsid w:val="00BF3200"/>
    <w:rsid w:val="00BF4A0B"/>
    <w:rsid w:val="00BF64EE"/>
    <w:rsid w:val="00BF7EBD"/>
    <w:rsid w:val="00C00971"/>
    <w:rsid w:val="00C024C5"/>
    <w:rsid w:val="00C03314"/>
    <w:rsid w:val="00C045E5"/>
    <w:rsid w:val="00C053C7"/>
    <w:rsid w:val="00C05EC6"/>
    <w:rsid w:val="00C0611E"/>
    <w:rsid w:val="00C07EAB"/>
    <w:rsid w:val="00C10BF2"/>
    <w:rsid w:val="00C1146A"/>
    <w:rsid w:val="00C11F05"/>
    <w:rsid w:val="00C22C06"/>
    <w:rsid w:val="00C37534"/>
    <w:rsid w:val="00C4259B"/>
    <w:rsid w:val="00C47FF9"/>
    <w:rsid w:val="00C50A8D"/>
    <w:rsid w:val="00C53B23"/>
    <w:rsid w:val="00C568AE"/>
    <w:rsid w:val="00C56D0D"/>
    <w:rsid w:val="00C669C5"/>
    <w:rsid w:val="00C73565"/>
    <w:rsid w:val="00C77434"/>
    <w:rsid w:val="00C834AF"/>
    <w:rsid w:val="00C92360"/>
    <w:rsid w:val="00C925A6"/>
    <w:rsid w:val="00CA18BD"/>
    <w:rsid w:val="00CA1E22"/>
    <w:rsid w:val="00CA22BE"/>
    <w:rsid w:val="00CA3A19"/>
    <w:rsid w:val="00CA68F4"/>
    <w:rsid w:val="00CA6BFA"/>
    <w:rsid w:val="00CB3D6C"/>
    <w:rsid w:val="00CB702B"/>
    <w:rsid w:val="00CC1DD4"/>
    <w:rsid w:val="00CC27AD"/>
    <w:rsid w:val="00CC3B8F"/>
    <w:rsid w:val="00CC46C4"/>
    <w:rsid w:val="00CC5258"/>
    <w:rsid w:val="00CC5C2F"/>
    <w:rsid w:val="00CD4DA7"/>
    <w:rsid w:val="00CD78BB"/>
    <w:rsid w:val="00CE3969"/>
    <w:rsid w:val="00CE71C9"/>
    <w:rsid w:val="00CF0193"/>
    <w:rsid w:val="00CF368E"/>
    <w:rsid w:val="00CF624E"/>
    <w:rsid w:val="00CF67ED"/>
    <w:rsid w:val="00D00DE6"/>
    <w:rsid w:val="00D01007"/>
    <w:rsid w:val="00D02F89"/>
    <w:rsid w:val="00D113A9"/>
    <w:rsid w:val="00D127F0"/>
    <w:rsid w:val="00D15DAA"/>
    <w:rsid w:val="00D27CDD"/>
    <w:rsid w:val="00D30878"/>
    <w:rsid w:val="00D331A6"/>
    <w:rsid w:val="00D35904"/>
    <w:rsid w:val="00D3683A"/>
    <w:rsid w:val="00D36AE9"/>
    <w:rsid w:val="00D53D2D"/>
    <w:rsid w:val="00D544C4"/>
    <w:rsid w:val="00D545F4"/>
    <w:rsid w:val="00D56575"/>
    <w:rsid w:val="00D5772A"/>
    <w:rsid w:val="00D57FE9"/>
    <w:rsid w:val="00D61130"/>
    <w:rsid w:val="00D61F37"/>
    <w:rsid w:val="00D62776"/>
    <w:rsid w:val="00D66C57"/>
    <w:rsid w:val="00D6714B"/>
    <w:rsid w:val="00D73348"/>
    <w:rsid w:val="00D73782"/>
    <w:rsid w:val="00D80ECA"/>
    <w:rsid w:val="00D80F6A"/>
    <w:rsid w:val="00D85D8E"/>
    <w:rsid w:val="00D86B2D"/>
    <w:rsid w:val="00D86DA9"/>
    <w:rsid w:val="00D86DFA"/>
    <w:rsid w:val="00D8795B"/>
    <w:rsid w:val="00D87C48"/>
    <w:rsid w:val="00D93260"/>
    <w:rsid w:val="00D97DE6"/>
    <w:rsid w:val="00DA06E3"/>
    <w:rsid w:val="00DA2E48"/>
    <w:rsid w:val="00DA48B9"/>
    <w:rsid w:val="00DA59E0"/>
    <w:rsid w:val="00DA710B"/>
    <w:rsid w:val="00DB16FA"/>
    <w:rsid w:val="00DB21C8"/>
    <w:rsid w:val="00DD08C5"/>
    <w:rsid w:val="00DD49AC"/>
    <w:rsid w:val="00DE2CFB"/>
    <w:rsid w:val="00DE76E7"/>
    <w:rsid w:val="00DF349A"/>
    <w:rsid w:val="00DF4972"/>
    <w:rsid w:val="00DF6EB4"/>
    <w:rsid w:val="00E009B7"/>
    <w:rsid w:val="00E024BD"/>
    <w:rsid w:val="00E026C6"/>
    <w:rsid w:val="00E21665"/>
    <w:rsid w:val="00E25705"/>
    <w:rsid w:val="00E26977"/>
    <w:rsid w:val="00E308E8"/>
    <w:rsid w:val="00E33F42"/>
    <w:rsid w:val="00E3425D"/>
    <w:rsid w:val="00E365FC"/>
    <w:rsid w:val="00E63446"/>
    <w:rsid w:val="00E63A58"/>
    <w:rsid w:val="00E66DF5"/>
    <w:rsid w:val="00E70418"/>
    <w:rsid w:val="00E70B5E"/>
    <w:rsid w:val="00E72465"/>
    <w:rsid w:val="00E73278"/>
    <w:rsid w:val="00E734CB"/>
    <w:rsid w:val="00E7428F"/>
    <w:rsid w:val="00E77F3D"/>
    <w:rsid w:val="00E810D7"/>
    <w:rsid w:val="00E83AF4"/>
    <w:rsid w:val="00E84819"/>
    <w:rsid w:val="00E85CB9"/>
    <w:rsid w:val="00E92C59"/>
    <w:rsid w:val="00E93A9E"/>
    <w:rsid w:val="00EA5537"/>
    <w:rsid w:val="00EA741B"/>
    <w:rsid w:val="00EB3A35"/>
    <w:rsid w:val="00EB667E"/>
    <w:rsid w:val="00EB7BCF"/>
    <w:rsid w:val="00EC1CF5"/>
    <w:rsid w:val="00EC1EB0"/>
    <w:rsid w:val="00ED01B3"/>
    <w:rsid w:val="00ED38DB"/>
    <w:rsid w:val="00ED42BB"/>
    <w:rsid w:val="00ED43F0"/>
    <w:rsid w:val="00ED4A45"/>
    <w:rsid w:val="00ED5EAA"/>
    <w:rsid w:val="00ED7B0F"/>
    <w:rsid w:val="00EE2F40"/>
    <w:rsid w:val="00EE385E"/>
    <w:rsid w:val="00EE3B37"/>
    <w:rsid w:val="00EE531B"/>
    <w:rsid w:val="00EE562A"/>
    <w:rsid w:val="00EE5F9C"/>
    <w:rsid w:val="00EE60F8"/>
    <w:rsid w:val="00EE7AFD"/>
    <w:rsid w:val="00EE7D82"/>
    <w:rsid w:val="00EF3437"/>
    <w:rsid w:val="00EF4C82"/>
    <w:rsid w:val="00F0484A"/>
    <w:rsid w:val="00F06860"/>
    <w:rsid w:val="00F140DC"/>
    <w:rsid w:val="00F23B66"/>
    <w:rsid w:val="00F27BFA"/>
    <w:rsid w:val="00F27E47"/>
    <w:rsid w:val="00F30645"/>
    <w:rsid w:val="00F32B14"/>
    <w:rsid w:val="00F36C16"/>
    <w:rsid w:val="00F37888"/>
    <w:rsid w:val="00F43B6F"/>
    <w:rsid w:val="00F4468F"/>
    <w:rsid w:val="00F47DAF"/>
    <w:rsid w:val="00F50131"/>
    <w:rsid w:val="00F50289"/>
    <w:rsid w:val="00F62DF5"/>
    <w:rsid w:val="00F64AC9"/>
    <w:rsid w:val="00F65DAD"/>
    <w:rsid w:val="00F67BA9"/>
    <w:rsid w:val="00F71AAF"/>
    <w:rsid w:val="00F728CD"/>
    <w:rsid w:val="00F776C2"/>
    <w:rsid w:val="00F91E00"/>
    <w:rsid w:val="00F963DC"/>
    <w:rsid w:val="00F97C26"/>
    <w:rsid w:val="00FA2670"/>
    <w:rsid w:val="00FB006F"/>
    <w:rsid w:val="00FB0829"/>
    <w:rsid w:val="00FB3319"/>
    <w:rsid w:val="00FC0C58"/>
    <w:rsid w:val="00FC3AE2"/>
    <w:rsid w:val="00FC5785"/>
    <w:rsid w:val="00FC6B22"/>
    <w:rsid w:val="00FC6D78"/>
    <w:rsid w:val="00FC7815"/>
    <w:rsid w:val="00FD7074"/>
    <w:rsid w:val="00FE1C5F"/>
    <w:rsid w:val="00FE2C30"/>
    <w:rsid w:val="00FF5FA5"/>
    <w:rsid w:val="00FF6088"/>
    <w:rsid w:val="00FF74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A426C"/>
  <w14:defaultImageDpi w14:val="32767"/>
  <w15:chartTrackingRefBased/>
  <w15:docId w15:val="{FC175A00-42FF-0642-8003-4F233552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ED42BB"/>
    <w:pPr>
      <w:widowControl w:val="0"/>
      <w:wordWrap w:val="0"/>
      <w:jc w:val="both"/>
    </w:pPr>
    <w:rPr>
      <w:rFonts w:ascii="Times New Roman" w:hAnsi="Times New Roman" w:cs="Times New Roman(본문 CS)"/>
      <w:sz w:val="20"/>
    </w:rPr>
  </w:style>
  <w:style w:type="paragraph" w:styleId="3">
    <w:name w:val="heading 3"/>
    <w:basedOn w:val="a"/>
    <w:next w:val="a"/>
    <w:link w:val="3Char"/>
    <w:uiPriority w:val="9"/>
    <w:semiHidden/>
    <w:unhideWhenUsed/>
    <w:qFormat/>
    <w:rsid w:val="003A0C7B"/>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Char"/>
    <w:rsid w:val="00AD0F1E"/>
    <w:pPr>
      <w:jc w:val="center"/>
    </w:pPr>
    <w:rPr>
      <w:rFonts w:cs="Times New Roman"/>
    </w:rPr>
  </w:style>
  <w:style w:type="character" w:customStyle="1" w:styleId="EndNoteBibliographyTitleChar">
    <w:name w:val="EndNote Bibliography Title Char"/>
    <w:basedOn w:val="a0"/>
    <w:link w:val="EndNoteBibliographyTitle"/>
    <w:rsid w:val="00AD0F1E"/>
    <w:rPr>
      <w:rFonts w:ascii="Times New Roman" w:hAnsi="Times New Roman" w:cs="Times New Roman"/>
    </w:rPr>
  </w:style>
  <w:style w:type="paragraph" w:customStyle="1" w:styleId="EndNoteBibliography">
    <w:name w:val="EndNote Bibliography"/>
    <w:basedOn w:val="a"/>
    <w:link w:val="EndNoteBibliographyChar"/>
    <w:rsid w:val="00AD0F1E"/>
    <w:pPr>
      <w:spacing w:line="480" w:lineRule="auto"/>
    </w:pPr>
    <w:rPr>
      <w:rFonts w:cs="Times New Roman"/>
    </w:rPr>
  </w:style>
  <w:style w:type="character" w:customStyle="1" w:styleId="EndNoteBibliographyChar">
    <w:name w:val="EndNote Bibliography Char"/>
    <w:basedOn w:val="a0"/>
    <w:link w:val="EndNoteBibliography"/>
    <w:rsid w:val="00AD0F1E"/>
    <w:rPr>
      <w:rFonts w:ascii="Times New Roman" w:hAnsi="Times New Roman" w:cs="Times New Roman"/>
    </w:rPr>
  </w:style>
  <w:style w:type="paragraph" w:styleId="a3">
    <w:name w:val="Balloon Text"/>
    <w:basedOn w:val="a"/>
    <w:link w:val="Char"/>
    <w:uiPriority w:val="99"/>
    <w:semiHidden/>
    <w:unhideWhenUsed/>
    <w:rsid w:val="00480F47"/>
    <w:rPr>
      <w:rFonts w:ascii="바탕" w:eastAsia="바탕"/>
      <w:sz w:val="18"/>
      <w:szCs w:val="18"/>
    </w:rPr>
  </w:style>
  <w:style w:type="character" w:customStyle="1" w:styleId="Char">
    <w:name w:val="풍선 도움말 텍스트 Char"/>
    <w:basedOn w:val="a0"/>
    <w:link w:val="a3"/>
    <w:uiPriority w:val="99"/>
    <w:semiHidden/>
    <w:rsid w:val="00480F47"/>
    <w:rPr>
      <w:rFonts w:ascii="바탕" w:eastAsia="바탕" w:hAnsi="Times New Roman"/>
      <w:sz w:val="18"/>
      <w:szCs w:val="18"/>
    </w:rPr>
  </w:style>
  <w:style w:type="character" w:styleId="a4">
    <w:name w:val="Hyperlink"/>
    <w:basedOn w:val="a0"/>
    <w:uiPriority w:val="99"/>
    <w:unhideWhenUsed/>
    <w:rsid w:val="00366A43"/>
    <w:rPr>
      <w:color w:val="0563C1" w:themeColor="hyperlink"/>
      <w:u w:val="single"/>
    </w:rPr>
  </w:style>
  <w:style w:type="paragraph" w:styleId="a5">
    <w:name w:val="header"/>
    <w:basedOn w:val="a"/>
    <w:link w:val="Char0"/>
    <w:uiPriority w:val="99"/>
    <w:unhideWhenUsed/>
    <w:rsid w:val="00366A43"/>
    <w:pPr>
      <w:widowControl/>
      <w:tabs>
        <w:tab w:val="center" w:pos="4513"/>
        <w:tab w:val="right" w:pos="9026"/>
      </w:tabs>
      <w:wordWrap/>
      <w:snapToGrid w:val="0"/>
      <w:jc w:val="left"/>
    </w:pPr>
    <w:rPr>
      <w:rFonts w:eastAsia="Times New Roman" w:cs="Times New Roman"/>
      <w:kern w:val="0"/>
      <w:szCs w:val="20"/>
    </w:rPr>
  </w:style>
  <w:style w:type="character" w:customStyle="1" w:styleId="Char0">
    <w:name w:val="머리글 Char"/>
    <w:basedOn w:val="a0"/>
    <w:link w:val="a5"/>
    <w:uiPriority w:val="99"/>
    <w:rsid w:val="00366A43"/>
    <w:rPr>
      <w:rFonts w:ascii="Times New Roman" w:eastAsia="Times New Roman" w:hAnsi="Times New Roman" w:cs="Times New Roman"/>
      <w:kern w:val="0"/>
      <w:sz w:val="20"/>
      <w:szCs w:val="20"/>
    </w:rPr>
  </w:style>
  <w:style w:type="character" w:styleId="a6">
    <w:name w:val="annotation reference"/>
    <w:basedOn w:val="a0"/>
    <w:uiPriority w:val="99"/>
    <w:semiHidden/>
    <w:unhideWhenUsed/>
    <w:rsid w:val="00366A43"/>
    <w:rPr>
      <w:sz w:val="16"/>
      <w:szCs w:val="16"/>
    </w:rPr>
  </w:style>
  <w:style w:type="paragraph" w:styleId="a7">
    <w:name w:val="annotation text"/>
    <w:basedOn w:val="a"/>
    <w:link w:val="Char1"/>
    <w:uiPriority w:val="99"/>
    <w:unhideWhenUsed/>
    <w:rsid w:val="00366A43"/>
    <w:pPr>
      <w:widowControl/>
      <w:wordWrap/>
      <w:jc w:val="left"/>
    </w:pPr>
    <w:rPr>
      <w:rFonts w:eastAsia="Times New Roman" w:cs="Times New Roman"/>
      <w:kern w:val="0"/>
      <w:szCs w:val="20"/>
    </w:rPr>
  </w:style>
  <w:style w:type="character" w:customStyle="1" w:styleId="Char1">
    <w:name w:val="메모 텍스트 Char"/>
    <w:basedOn w:val="a0"/>
    <w:link w:val="a7"/>
    <w:uiPriority w:val="99"/>
    <w:rsid w:val="00366A43"/>
    <w:rPr>
      <w:rFonts w:ascii="Times New Roman" w:eastAsia="Times New Roman" w:hAnsi="Times New Roman" w:cs="Times New Roman"/>
      <w:kern w:val="0"/>
      <w:sz w:val="20"/>
      <w:szCs w:val="20"/>
    </w:rPr>
  </w:style>
  <w:style w:type="character" w:styleId="a8">
    <w:name w:val="line number"/>
    <w:basedOn w:val="a0"/>
    <w:uiPriority w:val="99"/>
    <w:semiHidden/>
    <w:unhideWhenUsed/>
    <w:rsid w:val="00366A43"/>
  </w:style>
  <w:style w:type="paragraph" w:styleId="a9">
    <w:name w:val="List Paragraph"/>
    <w:basedOn w:val="a"/>
    <w:uiPriority w:val="34"/>
    <w:qFormat/>
    <w:rsid w:val="006D1776"/>
    <w:pPr>
      <w:ind w:leftChars="400" w:left="800"/>
    </w:pPr>
  </w:style>
  <w:style w:type="character" w:styleId="aa">
    <w:name w:val="Strong"/>
    <w:basedOn w:val="a0"/>
    <w:uiPriority w:val="22"/>
    <w:qFormat/>
    <w:rsid w:val="00DB21C8"/>
    <w:rPr>
      <w:b/>
      <w:bCs/>
    </w:rPr>
  </w:style>
  <w:style w:type="character" w:customStyle="1" w:styleId="apple-converted-space">
    <w:name w:val="apple-converted-space"/>
    <w:basedOn w:val="a0"/>
    <w:rsid w:val="00DB21C8"/>
  </w:style>
  <w:style w:type="paragraph" w:styleId="ab">
    <w:name w:val="footer"/>
    <w:basedOn w:val="a"/>
    <w:link w:val="Char2"/>
    <w:uiPriority w:val="99"/>
    <w:unhideWhenUsed/>
    <w:rsid w:val="003069EA"/>
    <w:pPr>
      <w:tabs>
        <w:tab w:val="center" w:pos="4513"/>
        <w:tab w:val="right" w:pos="9026"/>
      </w:tabs>
      <w:snapToGrid w:val="0"/>
    </w:pPr>
  </w:style>
  <w:style w:type="character" w:customStyle="1" w:styleId="Char2">
    <w:name w:val="바닥글 Char"/>
    <w:basedOn w:val="a0"/>
    <w:link w:val="ab"/>
    <w:uiPriority w:val="99"/>
    <w:rsid w:val="003069EA"/>
    <w:rPr>
      <w:rFonts w:ascii="Times New Roman" w:hAnsi="Times New Roman"/>
    </w:rPr>
  </w:style>
  <w:style w:type="character" w:styleId="ac">
    <w:name w:val="page number"/>
    <w:basedOn w:val="a0"/>
    <w:uiPriority w:val="99"/>
    <w:semiHidden/>
    <w:unhideWhenUsed/>
    <w:rsid w:val="003069EA"/>
  </w:style>
  <w:style w:type="paragraph" w:styleId="ad">
    <w:name w:val="annotation subject"/>
    <w:basedOn w:val="a7"/>
    <w:next w:val="a7"/>
    <w:link w:val="Char3"/>
    <w:uiPriority w:val="99"/>
    <w:semiHidden/>
    <w:unhideWhenUsed/>
    <w:rsid w:val="00D5772A"/>
    <w:pPr>
      <w:widowControl w:val="0"/>
      <w:wordWrap w:val="0"/>
    </w:pPr>
    <w:rPr>
      <w:rFonts w:eastAsiaTheme="minorEastAsia" w:cs="Times New Roman(본문 CS)"/>
      <w:b/>
      <w:bCs/>
      <w:kern w:val="2"/>
      <w:szCs w:val="24"/>
    </w:rPr>
  </w:style>
  <w:style w:type="character" w:customStyle="1" w:styleId="Char3">
    <w:name w:val="메모 주제 Char"/>
    <w:basedOn w:val="Char1"/>
    <w:link w:val="ad"/>
    <w:uiPriority w:val="99"/>
    <w:semiHidden/>
    <w:rsid w:val="00D5772A"/>
    <w:rPr>
      <w:rFonts w:ascii="Times New Roman" w:eastAsia="Times New Roman" w:hAnsi="Times New Roman" w:cs="Times New Roman(본문 CS)"/>
      <w:b/>
      <w:bCs/>
      <w:kern w:val="0"/>
      <w:sz w:val="20"/>
      <w:szCs w:val="20"/>
    </w:rPr>
  </w:style>
  <w:style w:type="paragraph" w:styleId="ae">
    <w:name w:val="Normal (Web)"/>
    <w:basedOn w:val="a"/>
    <w:uiPriority w:val="99"/>
    <w:semiHidden/>
    <w:unhideWhenUsed/>
    <w:rsid w:val="004333D2"/>
    <w:rPr>
      <w:rFonts w:cs="Times New Roman"/>
      <w:sz w:val="24"/>
    </w:rPr>
  </w:style>
  <w:style w:type="character" w:styleId="af">
    <w:name w:val="Placeholder Text"/>
    <w:basedOn w:val="a0"/>
    <w:uiPriority w:val="99"/>
    <w:semiHidden/>
    <w:rsid w:val="00B13F8D"/>
    <w:rPr>
      <w:color w:val="666666"/>
    </w:rPr>
  </w:style>
  <w:style w:type="character" w:customStyle="1" w:styleId="3Char">
    <w:name w:val="제목 3 Char"/>
    <w:basedOn w:val="a0"/>
    <w:link w:val="3"/>
    <w:uiPriority w:val="9"/>
    <w:semiHidden/>
    <w:rsid w:val="003A0C7B"/>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7593">
      <w:bodyDiv w:val="1"/>
      <w:marLeft w:val="0"/>
      <w:marRight w:val="0"/>
      <w:marTop w:val="0"/>
      <w:marBottom w:val="0"/>
      <w:divBdr>
        <w:top w:val="none" w:sz="0" w:space="0" w:color="auto"/>
        <w:left w:val="none" w:sz="0" w:space="0" w:color="auto"/>
        <w:bottom w:val="none" w:sz="0" w:space="0" w:color="auto"/>
        <w:right w:val="none" w:sz="0" w:space="0" w:color="auto"/>
      </w:divBdr>
    </w:div>
    <w:div w:id="171516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DC69-8F32-6B41-A134-B6C56597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6</Pages>
  <Words>1567</Words>
  <Characters>9403</Characters>
  <Application>Microsoft Office Word</Application>
  <DocSecurity>0</DocSecurity>
  <Lines>154</Lines>
  <Paragraphs>59</Paragraphs>
  <ScaleCrop>false</ScaleCrop>
  <HeadingPairs>
    <vt:vector size="2" baseType="variant">
      <vt:variant>
        <vt:lpstr>제목</vt:lpstr>
      </vt:variant>
      <vt:variant>
        <vt:i4>1</vt:i4>
      </vt:variant>
    </vt:vector>
  </HeadingPairs>
  <TitlesOfParts>
    <vt:vector size="1" baseType="lpstr">
      <vt:lpstr/>
    </vt:vector>
  </TitlesOfParts>
  <Company>UUMC</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dc:creator>
  <cp:keywords/>
  <dc:description/>
  <cp:lastModifiedBy>상욱 강</cp:lastModifiedBy>
  <cp:revision>71</cp:revision>
  <cp:lastPrinted>2021-12-13T23:39:00Z</cp:lastPrinted>
  <dcterms:created xsi:type="dcterms:W3CDTF">2025-10-21T09:11:00Z</dcterms:created>
  <dcterms:modified xsi:type="dcterms:W3CDTF">2026-01-09T05:47:00Z</dcterms:modified>
</cp:coreProperties>
</file>