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A3A0AC" w14:textId="77777777" w:rsidR="00EA26EF" w:rsidRPr="00A750E0" w:rsidRDefault="00EA26EF" w:rsidP="00EA26EF">
      <w:pPr>
        <w:adjustRightInd w:val="0"/>
        <w:snapToGrid w:val="0"/>
        <w:spacing w:afterLines="50" w:after="211" w:line="360" w:lineRule="auto"/>
        <w:outlineLvl w:val="0"/>
        <w:rPr>
          <w:rFonts w:ascii="Arial" w:hAnsi="Arial" w:cs="Arial"/>
          <w:b/>
          <w:bCs/>
          <w:sz w:val="28"/>
          <w:szCs w:val="28"/>
          <w:lang w:val="en-US"/>
        </w:rPr>
      </w:pPr>
      <w:r w:rsidRPr="00A750E0">
        <w:rPr>
          <w:rFonts w:ascii="Arial" w:hAnsi="Arial" w:cs="Arial"/>
          <w:b/>
          <w:bCs/>
          <w:sz w:val="28"/>
          <w:szCs w:val="28"/>
          <w:lang w:val="en-US"/>
        </w:rPr>
        <w:t>Supplementary Figure Legends</w:t>
      </w:r>
    </w:p>
    <w:p w14:paraId="2E57CC77" w14:textId="77777777" w:rsidR="00EA26EF" w:rsidRPr="00A750E0" w:rsidRDefault="00EA26EF" w:rsidP="00EA26EF">
      <w:pPr>
        <w:adjustRightInd w:val="0"/>
        <w:snapToGrid w:val="0"/>
        <w:spacing w:afterLines="50" w:after="211" w:line="360" w:lineRule="auto"/>
        <w:rPr>
          <w:rFonts w:ascii="Arial" w:hAnsi="Arial" w:cs="Arial"/>
          <w:b/>
          <w:bCs/>
          <w:sz w:val="22"/>
          <w:szCs w:val="22"/>
          <w:lang w:val="en-US"/>
        </w:rPr>
      </w:pPr>
      <w:r w:rsidRPr="00A750E0">
        <w:rPr>
          <w:rFonts w:ascii="Arial" w:hAnsi="Arial" w:cs="Arial"/>
          <w:b/>
          <w:bCs/>
          <w:sz w:val="22"/>
          <w:szCs w:val="22"/>
          <w:lang w:val="en-US"/>
        </w:rPr>
        <w:t>Figure S</w:t>
      </w:r>
      <w:r>
        <w:rPr>
          <w:rFonts w:ascii="Arial" w:hAnsi="Arial" w:cs="Arial"/>
          <w:b/>
          <w:bCs/>
          <w:sz w:val="22"/>
          <w:szCs w:val="22"/>
          <w:lang w:val="en-US"/>
        </w:rPr>
        <w:t>1</w:t>
      </w:r>
      <w:r w:rsidRPr="00A750E0">
        <w:rPr>
          <w:rFonts w:ascii="Arial" w:hAnsi="Arial" w:cs="Arial"/>
          <w:b/>
          <w:bCs/>
          <w:sz w:val="22"/>
          <w:szCs w:val="22"/>
          <w:lang w:val="en-US"/>
        </w:rPr>
        <w:t xml:space="preserve">. </w:t>
      </w:r>
      <w:r w:rsidRPr="00A750E0">
        <w:rPr>
          <w:rFonts w:ascii="Arial" w:hAnsi="Arial" w:cs="Arial"/>
          <w:b/>
          <w:bCs/>
          <w:sz w:val="22"/>
          <w:szCs w:val="22"/>
        </w:rPr>
        <w:t>Identification of the senescen</w:t>
      </w:r>
      <w:r>
        <w:rPr>
          <w:rFonts w:ascii="Arial" w:hAnsi="Arial" w:cs="Arial"/>
          <w:b/>
          <w:bCs/>
          <w:sz w:val="22"/>
          <w:szCs w:val="22"/>
        </w:rPr>
        <w:t>ce</w:t>
      </w:r>
      <w:r w:rsidRPr="00A750E0">
        <w:rPr>
          <w:rFonts w:ascii="Arial" w:hAnsi="Arial" w:cs="Arial"/>
          <w:b/>
          <w:bCs/>
          <w:sz w:val="22"/>
          <w:szCs w:val="22"/>
        </w:rPr>
        <w:t xml:space="preserve"> character in GC. A.</w:t>
      </w:r>
      <w:r w:rsidRPr="00A750E0">
        <w:rPr>
          <w:rFonts w:ascii="Arial" w:hAnsi="Arial" w:cs="Arial"/>
          <w:bCs/>
          <w:sz w:val="22"/>
          <w:szCs w:val="22"/>
        </w:rPr>
        <w:t xml:space="preserve"> </w:t>
      </w:r>
      <w:r w:rsidRPr="00A750E0">
        <w:rPr>
          <w:rFonts w:ascii="Arial" w:hAnsi="Arial" w:cs="Arial"/>
          <w:bCs/>
          <w:sz w:val="22"/>
          <w:szCs w:val="22"/>
          <w:lang w:val="en-US"/>
        </w:rPr>
        <w:t>GSEA plot showed that GO term associated with senescence</w:t>
      </w:r>
      <w:r w:rsidRPr="00A750E0">
        <w:rPr>
          <w:rFonts w:ascii="Arial" w:hAnsi="Arial" w:cs="Arial"/>
          <w:color w:val="FF0000"/>
          <w:sz w:val="22"/>
          <w:szCs w:val="22"/>
        </w:rPr>
        <w:t xml:space="preserve"> </w:t>
      </w:r>
      <w:r w:rsidRPr="00A750E0">
        <w:rPr>
          <w:rFonts w:ascii="Arial" w:hAnsi="Arial" w:cs="Arial"/>
          <w:bCs/>
          <w:color w:val="000000" w:themeColor="text1"/>
          <w:sz w:val="22"/>
          <w:szCs w:val="22"/>
          <w:lang w:val="en-US"/>
        </w:rPr>
        <w:t xml:space="preserve">was significantly </w:t>
      </w:r>
      <w:r w:rsidRPr="00A750E0">
        <w:rPr>
          <w:rFonts w:ascii="Arial" w:hAnsi="Arial" w:cs="Arial"/>
          <w:bCs/>
          <w:sz w:val="22"/>
          <w:szCs w:val="22"/>
          <w:lang w:val="en-US"/>
        </w:rPr>
        <w:t xml:space="preserve">enriched in GC compared with normal tissues in TCGA-STAD cohort. </w:t>
      </w:r>
      <w:r w:rsidRPr="00A750E0">
        <w:rPr>
          <w:rFonts w:ascii="Arial" w:hAnsi="Arial" w:cs="Arial"/>
          <w:b/>
          <w:bCs/>
          <w:sz w:val="22"/>
          <w:szCs w:val="22"/>
          <w:lang w:val="en-US"/>
        </w:rPr>
        <w:t>B.</w:t>
      </w:r>
      <w:r w:rsidRPr="00A750E0">
        <w:rPr>
          <w:rFonts w:ascii="Arial" w:hAnsi="Arial" w:cs="Arial"/>
          <w:bCs/>
          <w:sz w:val="22"/>
          <w:szCs w:val="22"/>
          <w:lang w:val="en-US"/>
        </w:rPr>
        <w:t xml:space="preserve"> GSEA plot exhibited the enriched pathway associated with senescence based on GC versus normal gastric tissues in GSE29272 cohort. </w:t>
      </w:r>
      <w:r w:rsidRPr="00A750E0">
        <w:rPr>
          <w:rFonts w:ascii="Arial" w:hAnsi="Arial" w:cs="Arial"/>
          <w:b/>
          <w:bCs/>
          <w:sz w:val="22"/>
          <w:szCs w:val="22"/>
          <w:lang w:val="en-US"/>
        </w:rPr>
        <w:t>C-D.</w:t>
      </w:r>
      <w:r w:rsidRPr="00A750E0">
        <w:rPr>
          <w:rFonts w:ascii="Arial" w:hAnsi="Arial" w:cs="Arial"/>
          <w:bCs/>
          <w:sz w:val="22"/>
          <w:szCs w:val="22"/>
          <w:lang w:val="en-US"/>
        </w:rPr>
        <w:t xml:space="preserve"> Heatmap (</w:t>
      </w:r>
      <w:r w:rsidRPr="00A750E0">
        <w:rPr>
          <w:rFonts w:ascii="Arial" w:hAnsi="Arial" w:cs="Arial"/>
          <w:b/>
          <w:bCs/>
          <w:sz w:val="22"/>
          <w:szCs w:val="22"/>
          <w:lang w:val="en-US"/>
        </w:rPr>
        <w:t>C</w:t>
      </w:r>
      <w:r w:rsidRPr="00A750E0">
        <w:rPr>
          <w:rFonts w:ascii="Arial" w:hAnsi="Arial" w:cs="Arial"/>
          <w:bCs/>
          <w:sz w:val="22"/>
          <w:szCs w:val="22"/>
          <w:lang w:val="en-US"/>
        </w:rPr>
        <w:t>) and volcano plot (</w:t>
      </w:r>
      <w:r w:rsidRPr="00A750E0">
        <w:rPr>
          <w:rFonts w:ascii="Arial" w:hAnsi="Arial" w:cs="Arial"/>
          <w:b/>
          <w:bCs/>
          <w:sz w:val="22"/>
          <w:szCs w:val="22"/>
          <w:lang w:val="en-US"/>
        </w:rPr>
        <w:t>D</w:t>
      </w:r>
      <w:r w:rsidRPr="00A750E0">
        <w:rPr>
          <w:rFonts w:ascii="Arial" w:hAnsi="Arial" w:cs="Arial"/>
          <w:bCs/>
          <w:sz w:val="22"/>
          <w:szCs w:val="22"/>
          <w:lang w:val="en-US"/>
        </w:rPr>
        <w:t>) demonstrating differentially expressed genes between GC and normal tissues</w:t>
      </w:r>
      <w:r>
        <w:rPr>
          <w:rFonts w:ascii="Arial" w:hAnsi="Arial" w:cs="Arial"/>
          <w:bCs/>
          <w:sz w:val="22"/>
          <w:szCs w:val="22"/>
          <w:lang w:val="en-US"/>
        </w:rPr>
        <w:t xml:space="preserve"> in TCGA-STAD cohort</w:t>
      </w:r>
      <w:r w:rsidRPr="00A750E0">
        <w:rPr>
          <w:rFonts w:ascii="Arial" w:hAnsi="Arial" w:cs="Arial"/>
          <w:bCs/>
          <w:sz w:val="22"/>
          <w:szCs w:val="22"/>
          <w:lang w:val="en-US"/>
        </w:rPr>
        <w:t xml:space="preserve">. </w:t>
      </w:r>
      <w:r w:rsidRPr="00A750E0">
        <w:rPr>
          <w:rFonts w:ascii="Arial" w:hAnsi="Arial" w:cs="Arial"/>
          <w:b/>
          <w:bCs/>
          <w:sz w:val="22"/>
          <w:szCs w:val="22"/>
          <w:lang w:val="en-US"/>
        </w:rPr>
        <w:t>E.</w:t>
      </w:r>
      <w:r w:rsidRPr="00A750E0">
        <w:rPr>
          <w:rFonts w:ascii="Arial" w:hAnsi="Arial" w:cs="Arial"/>
          <w:bCs/>
          <w:sz w:val="22"/>
          <w:szCs w:val="22"/>
          <w:lang w:val="en-US"/>
        </w:rPr>
        <w:t xml:space="preserve"> Bar plot showing enriched KEGG pathways of differentially expressed genes.</w:t>
      </w:r>
    </w:p>
    <w:p w14:paraId="794BACDF" w14:textId="77777777" w:rsidR="00EA26EF" w:rsidRDefault="00EA26EF" w:rsidP="00EA26EF">
      <w:pPr>
        <w:adjustRightInd w:val="0"/>
        <w:snapToGrid w:val="0"/>
        <w:spacing w:afterLines="50" w:after="211" w:line="360" w:lineRule="auto"/>
        <w:rPr>
          <w:rFonts w:ascii="Arial" w:hAnsi="Arial" w:cs="Arial"/>
          <w:bCs/>
          <w:sz w:val="22"/>
          <w:szCs w:val="22"/>
          <w:lang w:val="en-US"/>
        </w:rPr>
      </w:pPr>
      <w:r w:rsidRPr="00A750E0">
        <w:rPr>
          <w:rFonts w:ascii="Arial" w:hAnsi="Arial" w:cs="Arial"/>
          <w:b/>
          <w:bCs/>
          <w:sz w:val="22"/>
          <w:szCs w:val="22"/>
        </w:rPr>
        <w:t>Figure S</w:t>
      </w:r>
      <w:r>
        <w:rPr>
          <w:rFonts w:ascii="Arial" w:hAnsi="Arial" w:cs="Arial"/>
          <w:b/>
          <w:bCs/>
          <w:sz w:val="22"/>
          <w:szCs w:val="22"/>
        </w:rPr>
        <w:t>2</w:t>
      </w:r>
      <w:r w:rsidRPr="00A750E0">
        <w:rPr>
          <w:rFonts w:ascii="Arial" w:hAnsi="Arial" w:cs="Arial"/>
          <w:b/>
          <w:bCs/>
          <w:sz w:val="22"/>
          <w:szCs w:val="22"/>
        </w:rPr>
        <w:t xml:space="preserve">. </w:t>
      </w:r>
      <w:r>
        <w:rPr>
          <w:rFonts w:ascii="Arial" w:hAnsi="Arial" w:cs="Arial"/>
          <w:b/>
          <w:bCs/>
          <w:sz w:val="22"/>
          <w:szCs w:val="22"/>
        </w:rPr>
        <w:t>Transcriptomic</w:t>
      </w:r>
      <w:r w:rsidRPr="00A750E0">
        <w:rPr>
          <w:rFonts w:ascii="Arial" w:hAnsi="Arial" w:cs="Arial"/>
          <w:b/>
          <w:bCs/>
          <w:sz w:val="22"/>
          <w:szCs w:val="22"/>
        </w:rPr>
        <w:t xml:space="preserve"> and genomic features of </w:t>
      </w:r>
      <w:r>
        <w:rPr>
          <w:rFonts w:ascii="Arial" w:hAnsi="Arial" w:cs="Arial"/>
          <w:b/>
          <w:bCs/>
          <w:sz w:val="22"/>
          <w:szCs w:val="22"/>
        </w:rPr>
        <w:t>CSGs</w:t>
      </w:r>
      <w:r w:rsidRPr="00A750E0">
        <w:rPr>
          <w:rFonts w:ascii="Arial" w:hAnsi="Arial" w:cs="Arial"/>
          <w:b/>
          <w:bCs/>
          <w:sz w:val="22"/>
          <w:szCs w:val="22"/>
        </w:rPr>
        <w:t xml:space="preserve">. </w:t>
      </w:r>
      <w:r>
        <w:rPr>
          <w:rFonts w:ascii="Arial" w:hAnsi="Arial" w:cs="Arial"/>
          <w:b/>
          <w:bCs/>
          <w:sz w:val="22"/>
          <w:szCs w:val="22"/>
        </w:rPr>
        <w:t xml:space="preserve">A. </w:t>
      </w:r>
      <w:r>
        <w:rPr>
          <w:rFonts w:ascii="Arial" w:hAnsi="Arial" w:cs="Arial"/>
          <w:sz w:val="22"/>
          <w:szCs w:val="22"/>
        </w:rPr>
        <w:t xml:space="preserve">UMAP plot showed </w:t>
      </w:r>
      <w:r w:rsidRPr="00864671">
        <w:rPr>
          <w:rFonts w:ascii="Arial" w:hAnsi="Arial" w:cs="Arial"/>
          <w:sz w:val="22"/>
          <w:szCs w:val="22"/>
          <w:lang w:val="en-US"/>
        </w:rPr>
        <w:t xml:space="preserve">single-cell transcriptomic profiling of </w:t>
      </w:r>
      <w:r>
        <w:rPr>
          <w:rFonts w:ascii="Arial" w:hAnsi="Arial" w:cs="Arial"/>
          <w:sz w:val="22"/>
          <w:szCs w:val="22"/>
          <w:lang w:val="en-US"/>
        </w:rPr>
        <w:t xml:space="preserve">different sample distribution of gastric normal tissues and GC. </w:t>
      </w:r>
      <w:r>
        <w:rPr>
          <w:rFonts w:ascii="Arial" w:hAnsi="Arial" w:cs="Arial"/>
          <w:b/>
          <w:bCs/>
          <w:sz w:val="22"/>
          <w:szCs w:val="22"/>
          <w:lang w:val="en-US"/>
        </w:rPr>
        <w:t xml:space="preserve">B. </w:t>
      </w:r>
      <w:r>
        <w:rPr>
          <w:rFonts w:ascii="Arial" w:hAnsi="Arial" w:cs="Arial"/>
          <w:sz w:val="22"/>
          <w:szCs w:val="22"/>
          <w:lang w:val="en-US"/>
        </w:rPr>
        <w:t xml:space="preserve">Senescence </w:t>
      </w:r>
      <w:r w:rsidRPr="00032960">
        <w:rPr>
          <w:rFonts w:ascii="Arial" w:hAnsi="Arial" w:cs="Arial"/>
          <w:sz w:val="22"/>
          <w:szCs w:val="22"/>
          <w:lang w:val="en-US"/>
        </w:rPr>
        <w:t xml:space="preserve">signature </w:t>
      </w:r>
      <w:r>
        <w:rPr>
          <w:rFonts w:ascii="Arial" w:hAnsi="Arial" w:cs="Arial"/>
          <w:sz w:val="22"/>
          <w:szCs w:val="22"/>
          <w:lang w:val="en-US"/>
        </w:rPr>
        <w:t>enrichment displayed in different cells from</w:t>
      </w:r>
      <w:r w:rsidRPr="00032960">
        <w:rPr>
          <w:rFonts w:ascii="Arial" w:hAnsi="Arial" w:cs="Arial"/>
          <w:sz w:val="22"/>
          <w:szCs w:val="22"/>
          <w:lang w:val="en-US"/>
        </w:rPr>
        <w:t xml:space="preserve"> </w:t>
      </w:r>
      <w:r>
        <w:rPr>
          <w:rFonts w:ascii="Arial" w:hAnsi="Arial" w:cs="Arial"/>
          <w:sz w:val="22"/>
          <w:szCs w:val="22"/>
          <w:lang w:val="en-US"/>
        </w:rPr>
        <w:t>gastric tissues of non-atrophic gastritis and chronic atrophic gastritis.</w:t>
      </w:r>
      <w:r w:rsidRPr="00A750E0" w:rsidDel="00DB68CC">
        <w:rPr>
          <w:rFonts w:ascii="Arial" w:hAnsi="Arial" w:cs="Arial"/>
          <w:b/>
          <w:bCs/>
          <w:sz w:val="22"/>
          <w:szCs w:val="22"/>
        </w:rPr>
        <w:t xml:space="preserve"> </w:t>
      </w:r>
      <w:r>
        <w:rPr>
          <w:rFonts w:ascii="Arial" w:hAnsi="Arial" w:cs="Arial"/>
          <w:b/>
          <w:bCs/>
          <w:sz w:val="22"/>
          <w:szCs w:val="22"/>
        </w:rPr>
        <w:t>C</w:t>
      </w:r>
      <w:r w:rsidRPr="00A750E0">
        <w:rPr>
          <w:rFonts w:ascii="Arial" w:hAnsi="Arial" w:cs="Arial"/>
          <w:b/>
          <w:bCs/>
          <w:sz w:val="22"/>
          <w:szCs w:val="22"/>
        </w:rPr>
        <w:t>.</w:t>
      </w:r>
      <w:r w:rsidRPr="00A750E0">
        <w:rPr>
          <w:rFonts w:ascii="Arial" w:hAnsi="Arial" w:cs="Arial"/>
          <w:bCs/>
          <w:sz w:val="22"/>
          <w:szCs w:val="22"/>
        </w:rPr>
        <w:t xml:space="preserve"> Mutation landscape of </w:t>
      </w:r>
      <w:r>
        <w:rPr>
          <w:rFonts w:ascii="Arial" w:hAnsi="Arial" w:cs="Arial"/>
          <w:bCs/>
          <w:sz w:val="22"/>
          <w:szCs w:val="22"/>
        </w:rPr>
        <w:t>CSGs</w:t>
      </w:r>
      <w:r w:rsidRPr="00A750E0">
        <w:rPr>
          <w:rFonts w:ascii="Arial" w:hAnsi="Arial" w:cs="Arial"/>
          <w:bCs/>
          <w:sz w:val="22"/>
          <w:szCs w:val="22"/>
        </w:rPr>
        <w:t xml:space="preserve"> in the meta-cohort.</w:t>
      </w:r>
      <w:r w:rsidRPr="0007390F">
        <w:rPr>
          <w:rFonts w:ascii="Arial" w:hAnsi="Arial" w:cs="Arial"/>
          <w:b/>
          <w:bCs/>
          <w:sz w:val="22"/>
          <w:szCs w:val="22"/>
          <w:lang w:val="en-US"/>
        </w:rPr>
        <w:t xml:space="preserve"> </w:t>
      </w:r>
      <w:r>
        <w:rPr>
          <w:rFonts w:ascii="Arial" w:hAnsi="Arial" w:cs="Arial"/>
          <w:b/>
          <w:bCs/>
          <w:sz w:val="22"/>
          <w:szCs w:val="22"/>
          <w:lang w:val="en-US"/>
        </w:rPr>
        <w:t>D</w:t>
      </w:r>
      <w:r w:rsidRPr="00A750E0">
        <w:rPr>
          <w:rFonts w:ascii="Arial" w:hAnsi="Arial" w:cs="Arial"/>
          <w:b/>
          <w:bCs/>
          <w:sz w:val="22"/>
          <w:szCs w:val="22"/>
          <w:lang w:val="en-US"/>
        </w:rPr>
        <w:t>.</w:t>
      </w:r>
      <w:r w:rsidRPr="00A750E0">
        <w:rPr>
          <w:rFonts w:ascii="Arial" w:hAnsi="Arial" w:cs="Arial"/>
          <w:bCs/>
          <w:sz w:val="22"/>
          <w:szCs w:val="22"/>
          <w:lang w:val="en-US"/>
        </w:rPr>
        <w:t xml:space="preserve"> The mutation co-occurrence and exclusion analyses for </w:t>
      </w:r>
      <w:r>
        <w:rPr>
          <w:rFonts w:ascii="Arial" w:hAnsi="Arial" w:cs="Arial"/>
          <w:bCs/>
          <w:sz w:val="22"/>
          <w:szCs w:val="22"/>
          <w:lang w:val="en-US"/>
        </w:rPr>
        <w:t>CSGs</w:t>
      </w:r>
      <w:r w:rsidRPr="00A750E0">
        <w:rPr>
          <w:rFonts w:ascii="Arial" w:hAnsi="Arial" w:cs="Arial"/>
          <w:bCs/>
          <w:sz w:val="22"/>
          <w:szCs w:val="22"/>
          <w:lang w:val="en-US"/>
        </w:rPr>
        <w:t xml:space="preserve"> in TCGA-STAD dataset. Co-occurrence, violet; exclusion, wheat. </w:t>
      </w:r>
      <w:r>
        <w:rPr>
          <w:rFonts w:ascii="Arial" w:hAnsi="Arial" w:cs="Arial"/>
          <w:b/>
          <w:bCs/>
          <w:sz w:val="22"/>
          <w:szCs w:val="22"/>
          <w:lang w:val="en-US"/>
        </w:rPr>
        <w:t>E</w:t>
      </w:r>
      <w:r w:rsidRPr="00A750E0">
        <w:rPr>
          <w:rFonts w:ascii="Arial" w:hAnsi="Arial" w:cs="Arial"/>
          <w:b/>
          <w:bCs/>
          <w:sz w:val="22"/>
          <w:szCs w:val="22"/>
          <w:lang w:val="en-US"/>
        </w:rPr>
        <w:t>.</w:t>
      </w:r>
      <w:r w:rsidRPr="00A750E0">
        <w:rPr>
          <w:rFonts w:ascii="Arial" w:hAnsi="Arial" w:cs="Arial"/>
          <w:bCs/>
          <w:sz w:val="22"/>
          <w:szCs w:val="22"/>
          <w:lang w:val="en-US"/>
        </w:rPr>
        <w:t xml:space="preserve"> The relative expression of 17 </w:t>
      </w:r>
      <w:r>
        <w:rPr>
          <w:rFonts w:ascii="Arial" w:hAnsi="Arial" w:cs="Arial"/>
          <w:bCs/>
          <w:sz w:val="22"/>
          <w:szCs w:val="22"/>
          <w:lang w:val="en-US"/>
        </w:rPr>
        <w:t>CSGs</w:t>
      </w:r>
      <w:r w:rsidRPr="00A750E0">
        <w:rPr>
          <w:rFonts w:ascii="Arial" w:hAnsi="Arial" w:cs="Arial"/>
          <w:bCs/>
          <w:sz w:val="22"/>
          <w:szCs w:val="22"/>
          <w:lang w:val="en-US"/>
        </w:rPr>
        <w:t xml:space="preserve"> between GCs and paired normal tissues in GSE66229 dataset. Box and whisker plots show all data points, and the box represents the second and third quartiles and median. Significance was analyzed using the Wilcoxon rank-sum test. The asterisks represented the statistical p value (*P &lt; 0.05; **P &lt; 0.01; ***P &lt; 0.001).</w:t>
      </w:r>
    </w:p>
    <w:p w14:paraId="6733D754" w14:textId="77777777" w:rsidR="00EA26EF" w:rsidRPr="00604B54" w:rsidRDefault="00EA26EF" w:rsidP="00EA26EF">
      <w:pPr>
        <w:adjustRightInd w:val="0"/>
        <w:snapToGrid w:val="0"/>
        <w:spacing w:afterLines="50" w:after="211" w:line="360" w:lineRule="auto"/>
        <w:rPr>
          <w:rFonts w:ascii="Arial" w:hAnsi="Arial" w:cs="Arial"/>
          <w:bCs/>
          <w:sz w:val="22"/>
          <w:szCs w:val="22"/>
          <w:lang w:val="en-US"/>
        </w:rPr>
      </w:pPr>
      <w:r w:rsidRPr="00037DBC">
        <w:rPr>
          <w:rFonts w:ascii="Arial" w:hAnsi="Arial" w:cs="Arial" w:hint="eastAsia"/>
          <w:b/>
          <w:sz w:val="22"/>
          <w:szCs w:val="22"/>
          <w:lang w:val="en-US"/>
        </w:rPr>
        <w:t>F</w:t>
      </w:r>
      <w:r w:rsidRPr="00037DBC">
        <w:rPr>
          <w:rFonts w:ascii="Arial" w:hAnsi="Arial" w:cs="Arial"/>
          <w:b/>
          <w:sz w:val="22"/>
          <w:szCs w:val="22"/>
          <w:lang w:val="en-US"/>
        </w:rPr>
        <w:t>igure S</w:t>
      </w:r>
      <w:r>
        <w:rPr>
          <w:rFonts w:ascii="Arial" w:hAnsi="Arial" w:cs="Arial"/>
          <w:b/>
          <w:sz w:val="22"/>
          <w:szCs w:val="22"/>
          <w:lang w:val="en-US"/>
        </w:rPr>
        <w:t>3</w:t>
      </w:r>
      <w:r w:rsidRPr="00037DBC">
        <w:rPr>
          <w:rFonts w:ascii="Arial" w:hAnsi="Arial" w:cs="Arial"/>
          <w:b/>
          <w:sz w:val="22"/>
          <w:szCs w:val="22"/>
          <w:lang w:val="en-US"/>
        </w:rPr>
        <w:t>. Validation of the senescence su</w:t>
      </w:r>
      <w:r w:rsidRPr="00604B54">
        <w:rPr>
          <w:rFonts w:ascii="Arial" w:hAnsi="Arial" w:cs="Arial"/>
          <w:b/>
          <w:sz w:val="22"/>
          <w:szCs w:val="22"/>
          <w:lang w:val="en-US"/>
        </w:rPr>
        <w:t>btypes.</w:t>
      </w:r>
      <w:r w:rsidRPr="00604B54">
        <w:rPr>
          <w:rFonts w:ascii="Arial" w:hAnsi="Arial" w:cs="Arial"/>
          <w:bCs/>
          <w:sz w:val="22"/>
          <w:szCs w:val="22"/>
          <w:lang w:val="en-US"/>
        </w:rPr>
        <w:t xml:space="preserve"> </w:t>
      </w:r>
      <w:r w:rsidRPr="00604B54">
        <w:rPr>
          <w:rFonts w:ascii="Arial" w:hAnsi="Arial" w:cs="Arial"/>
          <w:b/>
          <w:bCs/>
          <w:sz w:val="22"/>
          <w:szCs w:val="22"/>
        </w:rPr>
        <w:t>A.</w:t>
      </w:r>
      <w:r w:rsidRPr="00604B54">
        <w:rPr>
          <w:rFonts w:ascii="Arial" w:hAnsi="Arial" w:cs="Arial"/>
          <w:bCs/>
          <w:sz w:val="22"/>
          <w:szCs w:val="22"/>
        </w:rPr>
        <w:t xml:space="preserve"> </w:t>
      </w:r>
      <w:proofErr w:type="spellStart"/>
      <w:r w:rsidRPr="00604B54">
        <w:rPr>
          <w:rFonts w:ascii="Arial" w:hAnsi="Arial" w:cs="Arial"/>
          <w:bCs/>
          <w:sz w:val="22"/>
          <w:szCs w:val="22"/>
        </w:rPr>
        <w:t>NbClust</w:t>
      </w:r>
      <w:proofErr w:type="spellEnd"/>
      <w:r w:rsidRPr="00604B54">
        <w:rPr>
          <w:rFonts w:ascii="Arial" w:hAnsi="Arial" w:cs="Arial"/>
          <w:bCs/>
          <w:sz w:val="22"/>
          <w:szCs w:val="22"/>
        </w:rPr>
        <w:t xml:space="preserve"> test of </w:t>
      </w:r>
      <w:r w:rsidRPr="00604B54">
        <w:rPr>
          <w:rFonts w:ascii="Arial" w:hAnsi="Arial" w:cs="Arial"/>
          <w:bCs/>
          <w:sz w:val="22"/>
          <w:szCs w:val="22"/>
          <w:lang w:val="en-US"/>
        </w:rPr>
        <w:t xml:space="preserve">unsupervised </w:t>
      </w:r>
      <w:r w:rsidRPr="00604B54">
        <w:rPr>
          <w:rFonts w:ascii="Arial" w:hAnsi="Arial" w:cs="Arial"/>
          <w:bCs/>
          <w:sz w:val="22"/>
          <w:szCs w:val="22"/>
        </w:rPr>
        <w:t>clustering</w:t>
      </w:r>
      <w:r w:rsidRPr="00604B54">
        <w:rPr>
          <w:rFonts w:ascii="Arial" w:hAnsi="Arial" w:cs="Arial"/>
          <w:bCs/>
          <w:sz w:val="22"/>
          <w:szCs w:val="22"/>
          <w:lang w:val="en-US"/>
        </w:rPr>
        <w:t>.</w:t>
      </w:r>
      <w:r w:rsidRPr="00604B54">
        <w:rPr>
          <w:rFonts w:ascii="Arial" w:hAnsi="Arial" w:cs="Arial" w:hint="eastAsia"/>
          <w:bCs/>
          <w:sz w:val="22"/>
          <w:szCs w:val="22"/>
          <w:lang w:val="en-US"/>
        </w:rPr>
        <w:t xml:space="preserve"> </w:t>
      </w:r>
      <w:r w:rsidRPr="00604B54">
        <w:rPr>
          <w:rFonts w:ascii="Arial" w:hAnsi="Arial" w:cs="Arial"/>
          <w:b/>
          <w:bCs/>
          <w:sz w:val="22"/>
          <w:szCs w:val="22"/>
          <w:lang w:val="en-US"/>
        </w:rPr>
        <w:t>B.</w:t>
      </w:r>
      <w:r w:rsidRPr="00604B54">
        <w:rPr>
          <w:rFonts w:ascii="Arial" w:hAnsi="Arial" w:cs="Arial"/>
          <w:bCs/>
          <w:sz w:val="22"/>
          <w:szCs w:val="22"/>
          <w:lang w:val="en-US"/>
        </w:rPr>
        <w:t xml:space="preserve"> The relative expression of CSGs between two clusters. The asterisks represented the statistical p value (the unpaired Student t test, *P &lt; 0.05; **P &lt; 0.01; ***P &lt; 0.001). </w:t>
      </w:r>
      <w:r w:rsidRPr="00604B54">
        <w:rPr>
          <w:rFonts w:ascii="Arial" w:hAnsi="Arial" w:cs="Arial"/>
          <w:b/>
          <w:bCs/>
          <w:sz w:val="22"/>
          <w:szCs w:val="22"/>
          <w:lang w:val="en-US"/>
        </w:rPr>
        <w:t>C.</w:t>
      </w:r>
      <w:r w:rsidRPr="00604B54">
        <w:rPr>
          <w:rFonts w:ascii="Arial" w:hAnsi="Arial" w:cs="Arial"/>
          <w:bCs/>
          <w:sz w:val="22"/>
          <w:szCs w:val="22"/>
          <w:lang w:val="en-US"/>
        </w:rPr>
        <w:t xml:space="preserve"> Unsupervised clustering of patients in validation cohort1 to validate senescence subtypes. GEO accession numbers of cohorts were used as sample annotations. </w:t>
      </w:r>
      <w:r w:rsidRPr="00604B54">
        <w:rPr>
          <w:rFonts w:ascii="Arial" w:hAnsi="Arial" w:cs="Arial"/>
          <w:b/>
          <w:bCs/>
          <w:sz w:val="22"/>
          <w:szCs w:val="22"/>
          <w:lang w:val="en-US"/>
        </w:rPr>
        <w:t>D.</w:t>
      </w:r>
      <w:r w:rsidRPr="00604B54">
        <w:rPr>
          <w:rFonts w:ascii="Arial" w:hAnsi="Arial" w:cs="Arial"/>
          <w:bCs/>
          <w:sz w:val="22"/>
          <w:szCs w:val="22"/>
          <w:lang w:val="en-US"/>
        </w:rPr>
        <w:t xml:space="preserve"> Kaplan-Meier curves indicated that senescence subtypes were markedly related to OS in 1484 patients of validation cohort1.P value was calculated by Log-rank test.</w:t>
      </w:r>
    </w:p>
    <w:p w14:paraId="4AD89625" w14:textId="77777777" w:rsidR="00EA26EF" w:rsidRDefault="00EA26EF" w:rsidP="00EA26EF">
      <w:pPr>
        <w:adjustRightInd w:val="0"/>
        <w:snapToGrid w:val="0"/>
        <w:spacing w:afterLines="50" w:after="211" w:line="360" w:lineRule="auto"/>
        <w:rPr>
          <w:rFonts w:ascii="Arial" w:hAnsi="Arial" w:cs="Arial"/>
          <w:bCs/>
          <w:sz w:val="22"/>
          <w:szCs w:val="22"/>
          <w:lang w:val="en-US"/>
        </w:rPr>
      </w:pPr>
      <w:r w:rsidRPr="00604B54">
        <w:rPr>
          <w:rFonts w:ascii="Arial" w:hAnsi="Arial" w:cs="Arial"/>
          <w:b/>
          <w:bCs/>
          <w:sz w:val="22"/>
          <w:szCs w:val="22"/>
        </w:rPr>
        <w:t xml:space="preserve">Figure S4. Clinical characteristics of senescence subtypes. </w:t>
      </w:r>
      <w:r w:rsidRPr="00604B54">
        <w:rPr>
          <w:rFonts w:ascii="Arial" w:hAnsi="Arial" w:cs="Arial"/>
          <w:b/>
          <w:bCs/>
          <w:sz w:val="22"/>
          <w:szCs w:val="22"/>
          <w:lang w:val="en-US"/>
        </w:rPr>
        <w:t>A-E.</w:t>
      </w:r>
      <w:r w:rsidRPr="00604B54">
        <w:rPr>
          <w:rFonts w:ascii="Arial" w:hAnsi="Arial" w:cs="Arial"/>
          <w:bCs/>
          <w:sz w:val="22"/>
          <w:szCs w:val="22"/>
          <w:lang w:val="en-US"/>
        </w:rPr>
        <w:t xml:space="preserve"> The stacked </w:t>
      </w:r>
      <w:proofErr w:type="spellStart"/>
      <w:r w:rsidRPr="00604B54">
        <w:rPr>
          <w:rFonts w:ascii="Arial" w:hAnsi="Arial" w:cs="Arial"/>
          <w:bCs/>
          <w:sz w:val="22"/>
          <w:szCs w:val="22"/>
          <w:lang w:val="en-US"/>
        </w:rPr>
        <w:t>barplots</w:t>
      </w:r>
      <w:proofErr w:type="spellEnd"/>
      <w:r w:rsidRPr="00604B54">
        <w:rPr>
          <w:rFonts w:ascii="Arial" w:hAnsi="Arial" w:cs="Arial"/>
          <w:bCs/>
          <w:sz w:val="22"/>
          <w:szCs w:val="22"/>
          <w:lang w:val="en-US"/>
        </w:rPr>
        <w:t xml:space="preserve"> showing the fraction of the TNM stage (</w:t>
      </w:r>
      <w:r w:rsidRPr="00604B54">
        <w:rPr>
          <w:rFonts w:ascii="Arial" w:hAnsi="Arial" w:cs="Arial"/>
          <w:b/>
          <w:bCs/>
          <w:sz w:val="22"/>
          <w:szCs w:val="22"/>
          <w:lang w:val="en-US"/>
        </w:rPr>
        <w:t>A</w:t>
      </w:r>
      <w:r w:rsidRPr="00604B54">
        <w:rPr>
          <w:rFonts w:ascii="Arial" w:hAnsi="Arial" w:cs="Arial"/>
          <w:bCs/>
          <w:sz w:val="22"/>
          <w:szCs w:val="22"/>
          <w:lang w:val="en-US"/>
        </w:rPr>
        <w:t>), age distribution (</w:t>
      </w:r>
      <w:r w:rsidRPr="00604B54">
        <w:rPr>
          <w:rFonts w:ascii="Arial" w:hAnsi="Arial" w:cs="Arial"/>
          <w:b/>
          <w:bCs/>
          <w:sz w:val="22"/>
          <w:szCs w:val="22"/>
          <w:lang w:val="en-US"/>
        </w:rPr>
        <w:t>B</w:t>
      </w:r>
      <w:r w:rsidRPr="00604B54">
        <w:rPr>
          <w:rFonts w:ascii="Arial" w:hAnsi="Arial" w:cs="Arial"/>
          <w:bCs/>
          <w:sz w:val="22"/>
          <w:szCs w:val="22"/>
          <w:lang w:val="en-US"/>
        </w:rPr>
        <w:t>), histological classification (</w:t>
      </w:r>
      <w:r w:rsidRPr="00604B54">
        <w:rPr>
          <w:rFonts w:ascii="Arial" w:hAnsi="Arial" w:cs="Arial"/>
          <w:b/>
          <w:bCs/>
          <w:sz w:val="22"/>
          <w:szCs w:val="22"/>
          <w:lang w:val="en-US"/>
        </w:rPr>
        <w:t>C</w:t>
      </w:r>
      <w:r w:rsidRPr="00604B54">
        <w:rPr>
          <w:rFonts w:ascii="Arial" w:hAnsi="Arial" w:cs="Arial"/>
          <w:bCs/>
          <w:sz w:val="22"/>
          <w:szCs w:val="22"/>
          <w:lang w:val="en-US"/>
        </w:rPr>
        <w:t>), molecular subtypes (</w:t>
      </w:r>
      <w:r w:rsidRPr="00604B54">
        <w:rPr>
          <w:rFonts w:ascii="Arial" w:hAnsi="Arial" w:cs="Arial"/>
          <w:b/>
          <w:bCs/>
          <w:sz w:val="22"/>
          <w:szCs w:val="22"/>
          <w:lang w:val="en-US"/>
        </w:rPr>
        <w:t>D</w:t>
      </w:r>
      <w:r w:rsidRPr="00604B54">
        <w:rPr>
          <w:rFonts w:ascii="Arial" w:hAnsi="Arial" w:cs="Arial"/>
          <w:bCs/>
          <w:sz w:val="22"/>
          <w:szCs w:val="22"/>
          <w:lang w:val="en-US"/>
        </w:rPr>
        <w:t>), and MSI status (</w:t>
      </w:r>
      <w:r w:rsidRPr="00604B54">
        <w:rPr>
          <w:rFonts w:ascii="Arial" w:hAnsi="Arial" w:cs="Arial"/>
          <w:b/>
          <w:bCs/>
          <w:sz w:val="22"/>
          <w:szCs w:val="22"/>
          <w:lang w:val="en-US"/>
        </w:rPr>
        <w:t>E</w:t>
      </w:r>
      <w:r w:rsidRPr="00604B54">
        <w:rPr>
          <w:rFonts w:ascii="Arial" w:hAnsi="Arial" w:cs="Arial"/>
          <w:bCs/>
          <w:sz w:val="22"/>
          <w:szCs w:val="22"/>
          <w:lang w:val="en-US"/>
        </w:rPr>
        <w:t xml:space="preserve">) in two clusters. Statistical significance was tested by two-sided Fisher’s exact test. </w:t>
      </w:r>
      <w:r w:rsidRPr="00604B54">
        <w:rPr>
          <w:rFonts w:ascii="Arial" w:hAnsi="Arial" w:cs="Arial"/>
          <w:b/>
          <w:bCs/>
          <w:sz w:val="22"/>
          <w:szCs w:val="22"/>
          <w:lang w:val="en-US"/>
        </w:rPr>
        <w:t>F.</w:t>
      </w:r>
      <w:r w:rsidRPr="00604B54">
        <w:rPr>
          <w:rFonts w:ascii="Arial" w:hAnsi="Arial" w:cs="Arial"/>
          <w:bCs/>
          <w:sz w:val="22"/>
          <w:szCs w:val="22"/>
          <w:lang w:val="en-US"/>
        </w:rPr>
        <w:t xml:space="preserve"> Box plot showing the significant difference of the clonal detection score between two senescence subtypes. P value was calculated by Wilcoxon test.</w:t>
      </w:r>
    </w:p>
    <w:p w14:paraId="7204E11B" w14:textId="77777777" w:rsidR="00EA26EF" w:rsidRPr="00604B54" w:rsidRDefault="00EA26EF" w:rsidP="00EA26EF">
      <w:pPr>
        <w:adjustRightInd w:val="0"/>
        <w:snapToGrid w:val="0"/>
        <w:spacing w:afterLines="50" w:after="211" w:line="360" w:lineRule="auto"/>
        <w:rPr>
          <w:rFonts w:ascii="Arial" w:hAnsi="Arial" w:cs="Arial"/>
          <w:bCs/>
          <w:sz w:val="22"/>
          <w:szCs w:val="22"/>
          <w:lang w:val="en-US"/>
        </w:rPr>
      </w:pPr>
      <w:r w:rsidRPr="00A750E0">
        <w:rPr>
          <w:rFonts w:ascii="Arial" w:hAnsi="Arial" w:cs="Arial"/>
          <w:b/>
          <w:bCs/>
          <w:sz w:val="22"/>
          <w:szCs w:val="22"/>
          <w:lang w:val="en-US"/>
        </w:rPr>
        <w:t>Figure S</w:t>
      </w:r>
      <w:r>
        <w:rPr>
          <w:rFonts w:ascii="Arial" w:hAnsi="Arial" w:cs="Arial"/>
          <w:b/>
          <w:bCs/>
          <w:sz w:val="22"/>
          <w:szCs w:val="22"/>
          <w:lang w:val="en-US"/>
        </w:rPr>
        <w:t>5</w:t>
      </w:r>
      <w:r w:rsidRPr="00A750E0">
        <w:rPr>
          <w:rFonts w:ascii="Arial" w:hAnsi="Arial" w:cs="Arial"/>
          <w:b/>
          <w:bCs/>
          <w:sz w:val="22"/>
          <w:szCs w:val="22"/>
          <w:lang w:val="en-US"/>
        </w:rPr>
        <w:t xml:space="preserve">. Development and characterization of the </w:t>
      </w:r>
      <w:proofErr w:type="spellStart"/>
      <w:r w:rsidRPr="00A750E0">
        <w:rPr>
          <w:rFonts w:ascii="Arial" w:hAnsi="Arial" w:cs="Arial"/>
          <w:b/>
          <w:bCs/>
          <w:sz w:val="22"/>
          <w:szCs w:val="22"/>
          <w:lang w:val="en-US"/>
        </w:rPr>
        <w:t>senescore</w:t>
      </w:r>
      <w:proofErr w:type="spellEnd"/>
      <w:r w:rsidRPr="00A750E0">
        <w:rPr>
          <w:rFonts w:ascii="Arial" w:hAnsi="Arial" w:cs="Arial"/>
          <w:b/>
          <w:bCs/>
          <w:sz w:val="22"/>
          <w:szCs w:val="22"/>
          <w:lang w:val="en-US"/>
        </w:rPr>
        <w:t xml:space="preserve"> in TCGA-STAD cohort. A.</w:t>
      </w:r>
      <w:r w:rsidRPr="00A750E0">
        <w:rPr>
          <w:rFonts w:ascii="Arial" w:hAnsi="Arial" w:cs="Arial"/>
          <w:bCs/>
          <w:sz w:val="22"/>
          <w:szCs w:val="22"/>
          <w:lang w:val="en-US"/>
        </w:rPr>
        <w:t xml:space="preserve"> Partial likelihood deviance of different numbers of variables revealed by the LASSO regression model. Tuning parameter (λ) selection used ten-fold cross-validation via the maximum criteria. The red dots represent the partial likelihood deviance values, the grey lines represent the standard error (SE), the two vertical dotted lines on the left and right, respectively, represent optimal values by minimum criteria and 1-SE criteria. </w:t>
      </w:r>
      <w:r w:rsidRPr="00A750E0">
        <w:rPr>
          <w:rFonts w:ascii="Arial" w:hAnsi="Arial" w:cs="Arial"/>
          <w:b/>
          <w:bCs/>
          <w:sz w:val="22"/>
          <w:szCs w:val="22"/>
          <w:lang w:val="en-US"/>
        </w:rPr>
        <w:t>B.</w:t>
      </w:r>
      <w:r w:rsidRPr="00A750E0">
        <w:rPr>
          <w:rFonts w:ascii="Arial" w:hAnsi="Arial" w:cs="Arial"/>
          <w:bCs/>
          <w:sz w:val="22"/>
          <w:szCs w:val="22"/>
          <w:lang w:val="en-US"/>
        </w:rPr>
        <w:t xml:space="preserve"> LASSO coefficient profiles of the 17 senescen</w:t>
      </w:r>
      <w:r>
        <w:rPr>
          <w:rFonts w:ascii="Arial" w:hAnsi="Arial" w:cs="Arial"/>
          <w:bCs/>
          <w:sz w:val="22"/>
          <w:szCs w:val="22"/>
          <w:lang w:val="en-US"/>
        </w:rPr>
        <w:t>ce</w:t>
      </w:r>
      <w:r w:rsidRPr="00A750E0">
        <w:rPr>
          <w:rFonts w:ascii="Arial" w:hAnsi="Arial" w:cs="Arial"/>
          <w:bCs/>
          <w:sz w:val="22"/>
          <w:szCs w:val="22"/>
          <w:lang w:val="en-US"/>
        </w:rPr>
        <w:t xml:space="preserve"> core genes. </w:t>
      </w:r>
      <w:r>
        <w:rPr>
          <w:rFonts w:ascii="Arial" w:hAnsi="Arial" w:cs="Arial"/>
          <w:b/>
          <w:bCs/>
          <w:sz w:val="22"/>
          <w:szCs w:val="22"/>
          <w:lang w:val="en-US"/>
        </w:rPr>
        <w:t>C</w:t>
      </w:r>
      <w:r w:rsidRPr="00A750E0">
        <w:rPr>
          <w:rFonts w:ascii="Arial" w:hAnsi="Arial" w:cs="Arial"/>
          <w:b/>
          <w:bCs/>
          <w:sz w:val="22"/>
          <w:szCs w:val="22"/>
          <w:lang w:val="en-US"/>
        </w:rPr>
        <w:t>.</w:t>
      </w:r>
      <w:r w:rsidRPr="00A750E0">
        <w:rPr>
          <w:rFonts w:ascii="Arial" w:hAnsi="Arial" w:cs="Arial"/>
          <w:bCs/>
          <w:sz w:val="22"/>
          <w:szCs w:val="22"/>
          <w:lang w:val="en-US"/>
        </w:rPr>
        <w:t xml:space="preserve"> The </w:t>
      </w:r>
      <w:r w:rsidRPr="00A750E0">
        <w:rPr>
          <w:rFonts w:ascii="Arial" w:hAnsi="Arial" w:cs="Arial"/>
          <w:bCs/>
          <w:sz w:val="22"/>
          <w:szCs w:val="22"/>
          <w:lang w:val="en-US"/>
        </w:rPr>
        <w:lastRenderedPageBreak/>
        <w:t xml:space="preserve">relation between the overall survival status and distribution of the </w:t>
      </w:r>
      <w:proofErr w:type="spellStart"/>
      <w:r w:rsidRPr="00A750E0">
        <w:rPr>
          <w:rFonts w:ascii="Arial" w:hAnsi="Arial" w:cs="Arial"/>
          <w:bCs/>
          <w:sz w:val="22"/>
          <w:szCs w:val="22"/>
          <w:lang w:val="en-US"/>
        </w:rPr>
        <w:t>senescore</w:t>
      </w:r>
      <w:proofErr w:type="spellEnd"/>
      <w:r w:rsidRPr="00A750E0">
        <w:rPr>
          <w:rFonts w:ascii="Arial" w:hAnsi="Arial" w:cs="Arial"/>
          <w:bCs/>
          <w:sz w:val="22"/>
          <w:szCs w:val="22"/>
          <w:lang w:val="en-US"/>
        </w:rPr>
        <w:t>.</w:t>
      </w:r>
      <w:r>
        <w:rPr>
          <w:rFonts w:ascii="Arial" w:hAnsi="Arial" w:cs="Arial"/>
          <w:bCs/>
          <w:sz w:val="22"/>
          <w:szCs w:val="22"/>
          <w:lang w:val="en-US"/>
        </w:rPr>
        <w:t xml:space="preserve"> </w:t>
      </w:r>
      <w:r>
        <w:rPr>
          <w:rFonts w:ascii="Arial" w:hAnsi="Arial" w:cs="Arial"/>
          <w:b/>
          <w:bCs/>
          <w:sz w:val="22"/>
          <w:szCs w:val="22"/>
          <w:lang w:val="en-US"/>
        </w:rPr>
        <w:t>C</w:t>
      </w:r>
      <w:r w:rsidRPr="00A750E0">
        <w:rPr>
          <w:rFonts w:ascii="Arial" w:hAnsi="Arial" w:cs="Arial"/>
          <w:b/>
          <w:bCs/>
          <w:sz w:val="22"/>
          <w:szCs w:val="22"/>
          <w:lang w:val="en-US"/>
        </w:rPr>
        <w:t>.</w:t>
      </w:r>
      <w:r w:rsidRPr="00A750E0">
        <w:rPr>
          <w:rFonts w:ascii="Arial" w:hAnsi="Arial" w:cs="Arial"/>
          <w:bCs/>
          <w:sz w:val="22"/>
          <w:szCs w:val="22"/>
          <w:lang w:val="en-US"/>
        </w:rPr>
        <w:t xml:space="preserve"> Time</w:t>
      </w:r>
      <w:r w:rsidRPr="00A750E0">
        <w:rPr>
          <w:rFonts w:ascii="宋体" w:eastAsia="宋体" w:hAnsi="宋体" w:cs="宋体" w:hint="eastAsia"/>
          <w:bCs/>
          <w:sz w:val="22"/>
          <w:szCs w:val="22"/>
          <w:lang w:val="en-US"/>
        </w:rPr>
        <w:t>‐</w:t>
      </w:r>
      <w:r w:rsidRPr="00A750E0">
        <w:rPr>
          <w:rFonts w:ascii="Arial" w:hAnsi="Arial" w:cs="Arial"/>
          <w:bCs/>
          <w:sz w:val="22"/>
          <w:szCs w:val="22"/>
          <w:lang w:val="en-US"/>
        </w:rPr>
        <w:t xml:space="preserve">dependent ROC analysis was used to evaluate the accuracy of the prognostic nomogram. </w:t>
      </w:r>
      <w:r>
        <w:rPr>
          <w:rFonts w:ascii="Arial" w:hAnsi="Arial" w:cs="Arial"/>
          <w:b/>
          <w:bCs/>
          <w:sz w:val="22"/>
          <w:szCs w:val="22"/>
          <w:lang w:val="en-US"/>
        </w:rPr>
        <w:t>D</w:t>
      </w:r>
      <w:r w:rsidRPr="00A750E0">
        <w:rPr>
          <w:rFonts w:ascii="Arial" w:hAnsi="Arial" w:cs="Arial"/>
          <w:b/>
          <w:bCs/>
          <w:sz w:val="22"/>
          <w:szCs w:val="22"/>
          <w:lang w:val="en-US"/>
        </w:rPr>
        <w:t>-</w:t>
      </w:r>
      <w:r>
        <w:rPr>
          <w:rFonts w:ascii="Arial" w:hAnsi="Arial" w:cs="Arial"/>
          <w:b/>
          <w:bCs/>
          <w:sz w:val="22"/>
          <w:szCs w:val="22"/>
          <w:lang w:val="en-US"/>
        </w:rPr>
        <w:t>E</w:t>
      </w:r>
      <w:r w:rsidRPr="00A750E0">
        <w:rPr>
          <w:rFonts w:ascii="Arial" w:hAnsi="Arial" w:cs="Arial"/>
          <w:b/>
          <w:bCs/>
          <w:sz w:val="22"/>
          <w:szCs w:val="22"/>
          <w:lang w:val="en-US"/>
        </w:rPr>
        <w:t>.</w:t>
      </w:r>
      <w:r w:rsidRPr="00A750E0">
        <w:rPr>
          <w:rFonts w:ascii="Arial" w:hAnsi="Arial" w:cs="Arial"/>
          <w:bCs/>
          <w:sz w:val="22"/>
          <w:szCs w:val="22"/>
          <w:lang w:val="en-US"/>
        </w:rPr>
        <w:t xml:space="preserve"> Calibration plots comparing predicted and actual survival probabilities at 3</w:t>
      </w:r>
      <w:r w:rsidRPr="00A750E0">
        <w:rPr>
          <w:rFonts w:ascii="宋体" w:eastAsia="宋体" w:hAnsi="宋体" w:cs="宋体" w:hint="eastAsia"/>
          <w:bCs/>
          <w:sz w:val="22"/>
          <w:szCs w:val="22"/>
          <w:lang w:val="en-US"/>
        </w:rPr>
        <w:t>‐</w:t>
      </w:r>
      <w:r>
        <w:rPr>
          <w:rFonts w:ascii="Arial" w:hAnsi="Arial" w:cs="Arial"/>
          <w:bCs/>
          <w:sz w:val="22"/>
          <w:szCs w:val="22"/>
          <w:lang w:val="en-US"/>
        </w:rPr>
        <w:t xml:space="preserve"> </w:t>
      </w:r>
      <w:r w:rsidRPr="00A750E0">
        <w:rPr>
          <w:rFonts w:ascii="Arial" w:hAnsi="Arial" w:cs="Arial"/>
          <w:bCs/>
          <w:sz w:val="22"/>
          <w:szCs w:val="22"/>
          <w:lang w:val="en-US"/>
        </w:rPr>
        <w:t>and 5</w:t>
      </w:r>
      <w:r w:rsidRPr="00A750E0">
        <w:rPr>
          <w:rFonts w:ascii="宋体" w:eastAsia="宋体" w:hAnsi="宋体" w:cs="宋体" w:hint="eastAsia"/>
          <w:bCs/>
          <w:sz w:val="22"/>
          <w:szCs w:val="22"/>
          <w:lang w:val="en-US"/>
        </w:rPr>
        <w:t>‐</w:t>
      </w:r>
      <w:r w:rsidRPr="00A750E0">
        <w:rPr>
          <w:rFonts w:ascii="Arial" w:hAnsi="Arial" w:cs="Arial"/>
          <w:bCs/>
          <w:sz w:val="22"/>
          <w:szCs w:val="22"/>
          <w:lang w:val="en-US"/>
        </w:rPr>
        <w:t xml:space="preserve">year OS. The blue dashed lines represent the ideal predictive model, and the red solid line represents the observed model. Red dots represent nomogram-predicted probabilities; blue crosses represent the bootstrap-corrected estimates; and error bars represent the 95% CIs of </w:t>
      </w:r>
      <w:r w:rsidRPr="00604B54">
        <w:rPr>
          <w:rFonts w:ascii="Arial" w:hAnsi="Arial" w:cs="Arial"/>
          <w:bCs/>
          <w:sz w:val="22"/>
          <w:szCs w:val="22"/>
          <w:lang w:val="en-US"/>
        </w:rPr>
        <w:t xml:space="preserve">these estimates. </w:t>
      </w:r>
      <w:r w:rsidRPr="00604B54">
        <w:rPr>
          <w:rFonts w:ascii="Arial" w:hAnsi="Arial" w:cs="Arial"/>
          <w:b/>
          <w:bCs/>
          <w:sz w:val="22"/>
          <w:szCs w:val="22"/>
          <w:lang w:val="en-US"/>
        </w:rPr>
        <w:t>F-G.</w:t>
      </w:r>
      <w:r w:rsidRPr="00604B54">
        <w:rPr>
          <w:rFonts w:ascii="Arial" w:hAnsi="Arial" w:cs="Arial"/>
          <w:bCs/>
          <w:sz w:val="22"/>
          <w:szCs w:val="22"/>
          <w:lang w:val="en-US"/>
        </w:rPr>
        <w:t xml:space="preserve"> The distinctions of the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in different MSI status (</w:t>
      </w:r>
      <w:r w:rsidRPr="00604B54">
        <w:rPr>
          <w:rFonts w:ascii="Arial" w:hAnsi="Arial" w:cs="Arial"/>
          <w:b/>
          <w:bCs/>
          <w:sz w:val="22"/>
          <w:szCs w:val="22"/>
          <w:lang w:val="en-US"/>
        </w:rPr>
        <w:t>F</w:t>
      </w:r>
      <w:r w:rsidRPr="00604B54">
        <w:rPr>
          <w:rFonts w:ascii="Arial" w:hAnsi="Arial" w:cs="Arial"/>
          <w:bCs/>
          <w:sz w:val="22"/>
          <w:szCs w:val="22"/>
          <w:lang w:val="en-US"/>
        </w:rPr>
        <w:t>) and histological classification (</w:t>
      </w:r>
      <w:r w:rsidRPr="00604B54">
        <w:rPr>
          <w:rFonts w:ascii="Arial" w:hAnsi="Arial" w:cs="Arial"/>
          <w:b/>
          <w:bCs/>
          <w:sz w:val="22"/>
          <w:szCs w:val="22"/>
          <w:lang w:val="en-US"/>
        </w:rPr>
        <w:t>G</w:t>
      </w:r>
      <w:r w:rsidRPr="00604B54">
        <w:rPr>
          <w:rFonts w:ascii="Arial" w:hAnsi="Arial" w:cs="Arial"/>
          <w:bCs/>
          <w:sz w:val="22"/>
          <w:szCs w:val="22"/>
          <w:lang w:val="en-US"/>
        </w:rPr>
        <w:t>) in TCGA-STAD cohort. The statistical significance between two group was analyzed by the Wilcoxon rank-sum test. The Kruskal-Wallis test was applied to evaluate significant differences among all the groups.</w:t>
      </w:r>
    </w:p>
    <w:p w14:paraId="403CB694" w14:textId="77777777" w:rsidR="00EA26EF" w:rsidRDefault="00EA26EF" w:rsidP="00EA26EF">
      <w:pPr>
        <w:adjustRightInd w:val="0"/>
        <w:snapToGrid w:val="0"/>
        <w:spacing w:afterLines="50" w:after="211" w:line="360" w:lineRule="auto"/>
        <w:rPr>
          <w:rFonts w:ascii="Arial" w:hAnsi="Arial" w:cs="Arial"/>
          <w:bCs/>
          <w:sz w:val="22"/>
          <w:szCs w:val="22"/>
          <w:lang w:val="en-US"/>
        </w:rPr>
      </w:pPr>
      <w:r w:rsidRPr="00604B54">
        <w:rPr>
          <w:rFonts w:ascii="Arial" w:hAnsi="Arial" w:cs="Arial"/>
          <w:b/>
          <w:bCs/>
          <w:sz w:val="22"/>
          <w:szCs w:val="22"/>
          <w:lang w:val="en-US"/>
        </w:rPr>
        <w:t xml:space="preserve">Figure S6. Validation of the </w:t>
      </w:r>
      <w:proofErr w:type="spellStart"/>
      <w:r w:rsidRPr="00604B54">
        <w:rPr>
          <w:rFonts w:ascii="Arial" w:hAnsi="Arial" w:cs="Arial"/>
          <w:b/>
          <w:bCs/>
          <w:sz w:val="22"/>
          <w:szCs w:val="22"/>
          <w:lang w:val="en-US"/>
        </w:rPr>
        <w:t>senescore</w:t>
      </w:r>
      <w:proofErr w:type="spellEnd"/>
      <w:r w:rsidRPr="00604B54">
        <w:rPr>
          <w:rFonts w:ascii="Arial" w:hAnsi="Arial" w:cs="Arial"/>
          <w:b/>
          <w:bCs/>
          <w:sz w:val="22"/>
          <w:szCs w:val="22"/>
          <w:lang w:val="en-US"/>
        </w:rPr>
        <w:t xml:space="preserve"> for clinical outcome in different cohorts. A.</w:t>
      </w:r>
      <w:r w:rsidRPr="00604B54">
        <w:rPr>
          <w:rFonts w:ascii="Arial" w:hAnsi="Arial" w:cs="Arial"/>
          <w:bCs/>
          <w:sz w:val="22"/>
          <w:szCs w:val="22"/>
          <w:lang w:val="en-US"/>
        </w:rPr>
        <w:t xml:space="preserve"> The differences of the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among histological classification in ACRG cohort. The statistical significance between two group was analyzed by the Wilcoxon rank-sum test. The Kruskal-Wallis test was applied to evaluate significant differences among all the groups. </w:t>
      </w:r>
      <w:r w:rsidRPr="00604B54">
        <w:rPr>
          <w:rFonts w:ascii="Arial" w:hAnsi="Arial" w:cs="Arial"/>
          <w:b/>
          <w:sz w:val="22"/>
          <w:szCs w:val="22"/>
          <w:lang w:val="en-US"/>
        </w:rPr>
        <w:t>B-G.</w:t>
      </w:r>
      <w:r w:rsidRPr="00604B54">
        <w:rPr>
          <w:rFonts w:ascii="Arial" w:hAnsi="Arial" w:cs="Arial"/>
          <w:bCs/>
          <w:sz w:val="22"/>
          <w:szCs w:val="22"/>
          <w:lang w:val="en-US"/>
        </w:rPr>
        <w:t xml:space="preserve"> Survival analysis of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in all gastric cancer patients in our study (B), TCGA-COADRE</w:t>
      </w:r>
      <w:r w:rsidRPr="00A750E0">
        <w:rPr>
          <w:rFonts w:ascii="Arial" w:hAnsi="Arial" w:cs="Arial"/>
          <w:bCs/>
          <w:sz w:val="22"/>
          <w:szCs w:val="22"/>
          <w:lang w:val="en-US"/>
        </w:rPr>
        <w:t>AD (B)</w:t>
      </w:r>
      <w:r w:rsidRPr="00A750E0">
        <w:rPr>
          <w:rFonts w:ascii="Arial" w:hAnsi="Arial" w:cs="Arial"/>
          <w:b/>
          <w:bCs/>
          <w:sz w:val="22"/>
          <w:szCs w:val="22"/>
          <w:lang w:val="en-US"/>
        </w:rPr>
        <w:t>,</w:t>
      </w:r>
      <w:r>
        <w:rPr>
          <w:rFonts w:ascii="Arial" w:hAnsi="Arial" w:cs="Arial"/>
          <w:b/>
          <w:bCs/>
          <w:sz w:val="22"/>
          <w:szCs w:val="22"/>
          <w:lang w:val="en-US"/>
        </w:rPr>
        <w:t xml:space="preserve"> </w:t>
      </w:r>
      <w:r w:rsidRPr="00A750E0">
        <w:rPr>
          <w:rFonts w:ascii="Arial" w:hAnsi="Arial" w:cs="Arial"/>
          <w:bCs/>
          <w:sz w:val="22"/>
          <w:szCs w:val="22"/>
          <w:lang w:val="en-US"/>
        </w:rPr>
        <w:t>colon cancer GSE39582 (</w:t>
      </w:r>
      <w:r>
        <w:rPr>
          <w:rFonts w:ascii="Arial" w:hAnsi="Arial" w:cs="Arial"/>
          <w:bCs/>
          <w:sz w:val="22"/>
          <w:szCs w:val="22"/>
          <w:lang w:val="en-US"/>
        </w:rPr>
        <w:t>C</w:t>
      </w:r>
      <w:r w:rsidRPr="00A750E0">
        <w:rPr>
          <w:rFonts w:ascii="Arial" w:hAnsi="Arial" w:cs="Arial"/>
          <w:bCs/>
          <w:sz w:val="22"/>
          <w:szCs w:val="22"/>
          <w:lang w:val="en-US"/>
        </w:rPr>
        <w:t>),</w:t>
      </w:r>
      <w:r>
        <w:rPr>
          <w:rFonts w:ascii="Arial" w:hAnsi="Arial" w:cs="Arial"/>
          <w:bCs/>
          <w:sz w:val="22"/>
          <w:szCs w:val="22"/>
          <w:lang w:val="en-US"/>
        </w:rPr>
        <w:t xml:space="preserve"> </w:t>
      </w:r>
      <w:r w:rsidRPr="00A750E0">
        <w:rPr>
          <w:rFonts w:ascii="Arial" w:hAnsi="Arial" w:cs="Arial"/>
          <w:bCs/>
          <w:sz w:val="22"/>
          <w:szCs w:val="22"/>
          <w:lang w:val="en-US"/>
        </w:rPr>
        <w:t>TCGA-ESCA (</w:t>
      </w:r>
      <w:r>
        <w:rPr>
          <w:rFonts w:ascii="Arial" w:hAnsi="Arial" w:cs="Arial"/>
          <w:bCs/>
          <w:sz w:val="22"/>
          <w:szCs w:val="22"/>
          <w:lang w:val="en-US"/>
        </w:rPr>
        <w:t>E</w:t>
      </w:r>
      <w:r w:rsidRPr="00A750E0">
        <w:rPr>
          <w:rFonts w:ascii="Arial" w:hAnsi="Arial" w:cs="Arial"/>
          <w:bCs/>
          <w:sz w:val="22"/>
          <w:szCs w:val="22"/>
          <w:lang w:val="en-US"/>
        </w:rPr>
        <w:t>), TCGA-LIHC (</w:t>
      </w:r>
      <w:r>
        <w:rPr>
          <w:rFonts w:ascii="Arial" w:hAnsi="Arial" w:cs="Arial"/>
          <w:bCs/>
          <w:sz w:val="22"/>
          <w:szCs w:val="22"/>
          <w:lang w:val="en-US"/>
        </w:rPr>
        <w:t>F</w:t>
      </w:r>
      <w:r w:rsidRPr="00A750E0">
        <w:rPr>
          <w:rFonts w:ascii="Arial" w:hAnsi="Arial" w:cs="Arial"/>
          <w:bCs/>
          <w:sz w:val="22"/>
          <w:szCs w:val="22"/>
          <w:lang w:val="en-US"/>
        </w:rPr>
        <w:t>), and</w:t>
      </w:r>
      <w:r w:rsidRPr="00886581">
        <w:rPr>
          <w:rFonts w:ascii="Arial" w:hAnsi="Arial" w:cs="Arial"/>
          <w:bCs/>
          <w:sz w:val="22"/>
          <w:szCs w:val="22"/>
          <w:lang w:val="en-US"/>
        </w:rPr>
        <w:t xml:space="preserve"> </w:t>
      </w:r>
      <w:r w:rsidRPr="00A750E0">
        <w:rPr>
          <w:rFonts w:ascii="Arial" w:hAnsi="Arial" w:cs="Arial"/>
          <w:bCs/>
          <w:sz w:val="22"/>
          <w:szCs w:val="22"/>
          <w:lang w:val="en-US"/>
        </w:rPr>
        <w:t>TCGA-PAAD(</w:t>
      </w:r>
      <w:r>
        <w:rPr>
          <w:rFonts w:ascii="Arial" w:hAnsi="Arial" w:cs="Arial"/>
          <w:bCs/>
          <w:sz w:val="22"/>
          <w:szCs w:val="22"/>
          <w:lang w:val="en-US"/>
        </w:rPr>
        <w:t>G</w:t>
      </w:r>
      <w:r w:rsidRPr="00A750E0">
        <w:rPr>
          <w:rFonts w:ascii="Arial" w:hAnsi="Arial" w:cs="Arial"/>
          <w:bCs/>
          <w:sz w:val="22"/>
          <w:szCs w:val="22"/>
          <w:lang w:val="en-US"/>
        </w:rPr>
        <w:t xml:space="preserve">). The log-rank P value was indicated. </w:t>
      </w:r>
    </w:p>
    <w:p w14:paraId="743529A6" w14:textId="77777777" w:rsidR="00EA26EF" w:rsidRDefault="00EA26EF" w:rsidP="00EA26EF">
      <w:pPr>
        <w:adjustRightInd w:val="0"/>
        <w:snapToGrid w:val="0"/>
        <w:spacing w:afterLines="50" w:after="211" w:line="360" w:lineRule="auto"/>
        <w:rPr>
          <w:rFonts w:ascii="Arial" w:hAnsi="Arial" w:cs="Arial"/>
          <w:b/>
          <w:bCs/>
          <w:sz w:val="22"/>
          <w:szCs w:val="22"/>
          <w:lang w:val="en-US"/>
        </w:rPr>
      </w:pPr>
      <w:r w:rsidRPr="00A750E0">
        <w:rPr>
          <w:rFonts w:ascii="Arial" w:hAnsi="Arial" w:cs="Arial"/>
          <w:b/>
          <w:bCs/>
          <w:sz w:val="22"/>
          <w:szCs w:val="22"/>
          <w:lang w:val="en-US"/>
        </w:rPr>
        <w:t>Figure S</w:t>
      </w:r>
      <w:r>
        <w:rPr>
          <w:rFonts w:ascii="Arial" w:hAnsi="Arial" w:cs="Arial"/>
          <w:b/>
          <w:bCs/>
          <w:sz w:val="22"/>
          <w:szCs w:val="22"/>
          <w:lang w:val="en-US"/>
        </w:rPr>
        <w:t>7</w:t>
      </w:r>
      <w:r w:rsidRPr="00A750E0">
        <w:rPr>
          <w:rFonts w:ascii="Arial" w:hAnsi="Arial" w:cs="Arial"/>
          <w:b/>
          <w:bCs/>
          <w:sz w:val="22"/>
          <w:szCs w:val="22"/>
          <w:lang w:val="en-US"/>
        </w:rPr>
        <w:t>.</w:t>
      </w:r>
      <w:r>
        <w:rPr>
          <w:rFonts w:ascii="Arial" w:hAnsi="Arial" w:cs="Arial"/>
          <w:b/>
          <w:bCs/>
          <w:sz w:val="22"/>
          <w:szCs w:val="22"/>
          <w:lang w:val="en-US"/>
        </w:rPr>
        <w:t xml:space="preserve"> </w:t>
      </w:r>
      <w:r w:rsidRPr="00A750E0">
        <w:rPr>
          <w:rFonts w:ascii="Arial" w:hAnsi="Arial" w:cs="Arial"/>
          <w:b/>
          <w:bCs/>
          <w:sz w:val="22"/>
          <w:szCs w:val="22"/>
          <w:lang w:val="en-US"/>
        </w:rPr>
        <w:t xml:space="preserve">Validation of the </w:t>
      </w:r>
      <w:proofErr w:type="spellStart"/>
      <w:r w:rsidRPr="00A750E0">
        <w:rPr>
          <w:rFonts w:ascii="Arial" w:hAnsi="Arial" w:cs="Arial"/>
          <w:b/>
          <w:bCs/>
          <w:sz w:val="22"/>
          <w:szCs w:val="22"/>
          <w:lang w:val="en-US"/>
        </w:rPr>
        <w:t>senescore</w:t>
      </w:r>
      <w:proofErr w:type="spellEnd"/>
      <w:r w:rsidRPr="00A750E0">
        <w:rPr>
          <w:rFonts w:ascii="Arial" w:hAnsi="Arial" w:cs="Arial"/>
          <w:b/>
          <w:bCs/>
          <w:sz w:val="22"/>
          <w:szCs w:val="22"/>
          <w:lang w:val="en-US"/>
        </w:rPr>
        <w:t xml:space="preserve"> for </w:t>
      </w:r>
      <w:r>
        <w:rPr>
          <w:rFonts w:ascii="Arial" w:hAnsi="Arial" w:cs="Arial"/>
          <w:b/>
          <w:bCs/>
          <w:sz w:val="22"/>
          <w:szCs w:val="22"/>
          <w:lang w:val="en-US"/>
        </w:rPr>
        <w:t>therapeutic efficacies</w:t>
      </w:r>
      <w:r w:rsidRPr="00A750E0">
        <w:rPr>
          <w:rFonts w:ascii="Arial" w:hAnsi="Arial" w:cs="Arial"/>
          <w:b/>
          <w:bCs/>
          <w:sz w:val="22"/>
          <w:szCs w:val="22"/>
          <w:lang w:val="en-US"/>
        </w:rPr>
        <w:t xml:space="preserve"> in different cohorts</w:t>
      </w:r>
      <w:r>
        <w:rPr>
          <w:rFonts w:ascii="Arial" w:hAnsi="Arial" w:cs="Arial"/>
          <w:b/>
          <w:bCs/>
          <w:sz w:val="22"/>
          <w:szCs w:val="22"/>
          <w:lang w:val="en-US"/>
        </w:rPr>
        <w:t xml:space="preserve"> A.  </w:t>
      </w:r>
      <w:r w:rsidRPr="00BD6B53">
        <w:rPr>
          <w:rFonts w:ascii="Arial" w:hAnsi="Arial" w:cs="Arial"/>
          <w:sz w:val="22"/>
          <w:szCs w:val="22"/>
          <w:lang w:val="en-US"/>
        </w:rPr>
        <w:t xml:space="preserve">Disease-free </w:t>
      </w:r>
      <w:r>
        <w:rPr>
          <w:rFonts w:ascii="Arial" w:hAnsi="Arial" w:cs="Arial"/>
          <w:bCs/>
          <w:sz w:val="22"/>
          <w:szCs w:val="22"/>
          <w:lang w:val="en-US"/>
        </w:rPr>
        <w:t>s</w:t>
      </w:r>
      <w:r w:rsidRPr="00A750E0">
        <w:rPr>
          <w:rFonts w:ascii="Arial" w:hAnsi="Arial" w:cs="Arial"/>
          <w:bCs/>
          <w:sz w:val="22"/>
          <w:szCs w:val="22"/>
          <w:lang w:val="en-US"/>
        </w:rPr>
        <w:t xml:space="preserve">urvival analyses for patients </w:t>
      </w:r>
      <w:r>
        <w:rPr>
          <w:rFonts w:ascii="Arial" w:hAnsi="Arial" w:cs="Arial"/>
          <w:bCs/>
          <w:sz w:val="22"/>
          <w:szCs w:val="22"/>
          <w:lang w:val="en-US"/>
        </w:rPr>
        <w:t xml:space="preserve">in ACRG cohort </w:t>
      </w:r>
      <w:r w:rsidRPr="00A750E0">
        <w:rPr>
          <w:rFonts w:ascii="Arial" w:hAnsi="Arial" w:cs="Arial"/>
          <w:bCs/>
          <w:sz w:val="22"/>
          <w:szCs w:val="22"/>
          <w:lang w:val="en-US"/>
        </w:rPr>
        <w:t xml:space="preserve">stratified by both the </w:t>
      </w:r>
      <w:proofErr w:type="spellStart"/>
      <w:r w:rsidRPr="00A750E0">
        <w:rPr>
          <w:rFonts w:ascii="Arial" w:hAnsi="Arial" w:cs="Arial"/>
          <w:bCs/>
          <w:sz w:val="22"/>
          <w:szCs w:val="22"/>
          <w:lang w:val="en-US"/>
        </w:rPr>
        <w:t>senescore</w:t>
      </w:r>
      <w:proofErr w:type="spellEnd"/>
      <w:r w:rsidRPr="00A750E0">
        <w:rPr>
          <w:rFonts w:ascii="Arial" w:hAnsi="Arial" w:cs="Arial"/>
          <w:bCs/>
          <w:sz w:val="22"/>
          <w:szCs w:val="22"/>
          <w:lang w:val="en-US"/>
        </w:rPr>
        <w:t xml:space="preserve"> and treatment with adjuvant chemotherapy using Kaplan-Meier curves.</w:t>
      </w:r>
      <w:r>
        <w:rPr>
          <w:rFonts w:ascii="Arial" w:hAnsi="Arial" w:cs="Arial"/>
          <w:bCs/>
          <w:sz w:val="22"/>
          <w:szCs w:val="22"/>
          <w:lang w:val="en-US"/>
        </w:rPr>
        <w:t xml:space="preserve"> </w:t>
      </w:r>
      <w:r>
        <w:rPr>
          <w:rFonts w:ascii="Arial" w:hAnsi="Arial" w:cs="Arial"/>
          <w:b/>
          <w:bCs/>
          <w:sz w:val="22"/>
          <w:szCs w:val="22"/>
          <w:lang w:val="en-US"/>
        </w:rPr>
        <w:t>B</w:t>
      </w:r>
      <w:r w:rsidRPr="00A750E0">
        <w:rPr>
          <w:rFonts w:ascii="Arial" w:hAnsi="Arial" w:cs="Arial"/>
          <w:b/>
          <w:bCs/>
          <w:sz w:val="22"/>
          <w:szCs w:val="22"/>
          <w:lang w:val="en-US"/>
        </w:rPr>
        <w:t>.</w:t>
      </w:r>
      <w:r w:rsidRPr="00A750E0">
        <w:rPr>
          <w:rFonts w:ascii="Arial" w:hAnsi="Arial" w:cs="Arial"/>
          <w:bCs/>
          <w:sz w:val="22"/>
          <w:szCs w:val="22"/>
          <w:lang w:val="en-US"/>
        </w:rPr>
        <w:t xml:space="preserve"> Kaplan–Meier plots for OS of patients </w:t>
      </w:r>
      <w:r>
        <w:rPr>
          <w:rFonts w:ascii="Arial" w:hAnsi="Arial" w:cs="Arial"/>
          <w:bCs/>
          <w:sz w:val="22"/>
          <w:szCs w:val="22"/>
          <w:lang w:val="en-US"/>
        </w:rPr>
        <w:t xml:space="preserve">in adjuvant chemotherapy cohort </w:t>
      </w:r>
      <w:r w:rsidRPr="00A750E0">
        <w:rPr>
          <w:rFonts w:ascii="Arial" w:hAnsi="Arial" w:cs="Arial"/>
          <w:bCs/>
          <w:sz w:val="22"/>
          <w:szCs w:val="22"/>
          <w:lang w:val="en-US"/>
        </w:rPr>
        <w:t xml:space="preserve">who received adjuvant chemotherapy and those who did not in each </w:t>
      </w:r>
      <w:proofErr w:type="spellStart"/>
      <w:r w:rsidRPr="00A750E0">
        <w:rPr>
          <w:rFonts w:ascii="Arial" w:hAnsi="Arial" w:cs="Arial"/>
          <w:bCs/>
          <w:sz w:val="22"/>
          <w:szCs w:val="22"/>
          <w:lang w:val="en-US"/>
        </w:rPr>
        <w:t>senescore</w:t>
      </w:r>
      <w:proofErr w:type="spellEnd"/>
      <w:r w:rsidRPr="00A750E0">
        <w:rPr>
          <w:rFonts w:ascii="Arial" w:hAnsi="Arial" w:cs="Arial"/>
          <w:bCs/>
          <w:sz w:val="22"/>
          <w:szCs w:val="22"/>
          <w:lang w:val="en-US"/>
        </w:rPr>
        <w:t xml:space="preserve"> group. P values were obtained using the log-rank test. </w:t>
      </w:r>
      <w:r>
        <w:rPr>
          <w:rFonts w:ascii="Arial" w:hAnsi="Arial" w:cs="Arial"/>
          <w:b/>
          <w:sz w:val="22"/>
          <w:szCs w:val="22"/>
          <w:lang w:val="en-US"/>
        </w:rPr>
        <w:t>C</w:t>
      </w:r>
      <w:r>
        <w:rPr>
          <w:rFonts w:ascii="Arial" w:hAnsi="Arial" w:cs="Arial"/>
          <w:bCs/>
          <w:sz w:val="22"/>
          <w:szCs w:val="22"/>
          <w:lang w:val="en-US"/>
        </w:rPr>
        <w:t xml:space="preserve"> </w:t>
      </w:r>
      <w:r w:rsidRPr="00A750E0">
        <w:rPr>
          <w:rFonts w:ascii="Arial" w:hAnsi="Arial" w:cs="Arial"/>
          <w:bCs/>
          <w:sz w:val="22"/>
          <w:szCs w:val="22"/>
          <w:lang w:val="en-US"/>
        </w:rPr>
        <w:t>Kaplan-Meier curves</w:t>
      </w:r>
      <w:r>
        <w:rPr>
          <w:rFonts w:ascii="Arial" w:hAnsi="Arial" w:cs="Arial"/>
          <w:bCs/>
          <w:sz w:val="22"/>
          <w:szCs w:val="22"/>
          <w:lang w:val="en-US"/>
        </w:rPr>
        <w:t xml:space="preserve"> showed survival differences of OS between </w:t>
      </w:r>
      <w:r w:rsidRPr="00A750E0">
        <w:rPr>
          <w:rFonts w:ascii="Arial" w:hAnsi="Arial" w:cs="Arial"/>
          <w:bCs/>
          <w:sz w:val="22"/>
          <w:szCs w:val="22"/>
          <w:lang w:val="en-US"/>
        </w:rPr>
        <w:t xml:space="preserve">low and high </w:t>
      </w:r>
      <w:proofErr w:type="spellStart"/>
      <w:r w:rsidRPr="00A750E0">
        <w:rPr>
          <w:rFonts w:ascii="Arial" w:hAnsi="Arial" w:cs="Arial"/>
          <w:bCs/>
          <w:sz w:val="22"/>
          <w:szCs w:val="22"/>
          <w:lang w:val="en-US"/>
        </w:rPr>
        <w:t>senescore</w:t>
      </w:r>
      <w:proofErr w:type="spellEnd"/>
      <w:r w:rsidRPr="00A750E0">
        <w:rPr>
          <w:rFonts w:ascii="Arial" w:hAnsi="Arial" w:cs="Arial"/>
          <w:bCs/>
          <w:sz w:val="22"/>
          <w:szCs w:val="22"/>
          <w:lang w:val="en-US"/>
        </w:rPr>
        <w:t xml:space="preserve"> patients</w:t>
      </w:r>
      <w:r>
        <w:rPr>
          <w:rFonts w:ascii="Arial" w:hAnsi="Arial" w:cs="Arial"/>
          <w:bCs/>
          <w:sz w:val="22"/>
          <w:szCs w:val="22"/>
          <w:lang w:val="en-US"/>
        </w:rPr>
        <w:t xml:space="preserve"> in an anti-PD1/PD-L1 therapy cohort. </w:t>
      </w:r>
      <w:r>
        <w:rPr>
          <w:rFonts w:ascii="Arial" w:hAnsi="Arial" w:cs="Arial"/>
          <w:b/>
          <w:bCs/>
          <w:sz w:val="22"/>
          <w:szCs w:val="22"/>
          <w:lang w:val="en-US"/>
        </w:rPr>
        <w:t>D</w:t>
      </w:r>
      <w:r w:rsidRPr="00A750E0">
        <w:rPr>
          <w:rFonts w:ascii="Arial" w:hAnsi="Arial" w:cs="Arial"/>
          <w:b/>
          <w:bCs/>
          <w:sz w:val="22"/>
          <w:szCs w:val="22"/>
          <w:lang w:val="en-US"/>
        </w:rPr>
        <w:t>.</w:t>
      </w:r>
      <w:r w:rsidRPr="00A750E0">
        <w:rPr>
          <w:rFonts w:ascii="Arial" w:hAnsi="Arial" w:cs="Arial"/>
          <w:bCs/>
          <w:sz w:val="22"/>
          <w:szCs w:val="22"/>
          <w:lang w:val="en-US"/>
        </w:rPr>
        <w:t xml:space="preserve"> Kaplan-Meier plot of the overall survival of immunotherapy patients stratified by the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quartile. </w:t>
      </w:r>
      <w:r w:rsidRPr="00604B54">
        <w:rPr>
          <w:rFonts w:ascii="Arial" w:hAnsi="Arial" w:cs="Arial"/>
          <w:b/>
          <w:sz w:val="22"/>
          <w:szCs w:val="22"/>
          <w:lang w:val="en-US"/>
        </w:rPr>
        <w:t>E.</w:t>
      </w:r>
      <w:r w:rsidRPr="00604B54">
        <w:rPr>
          <w:rFonts w:ascii="Arial" w:hAnsi="Arial" w:cs="Arial"/>
          <w:bCs/>
          <w:sz w:val="22"/>
          <w:szCs w:val="22"/>
          <w:lang w:val="en-US"/>
        </w:rPr>
        <w:t xml:space="preserve"> Boxplot showed the difference of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in distinct therapy response group. P value was calculated by the Wilcoxon rank-sum test. </w:t>
      </w:r>
      <w:r w:rsidRPr="00604B54">
        <w:rPr>
          <w:rFonts w:ascii="Arial" w:hAnsi="Arial" w:cs="Arial"/>
          <w:b/>
          <w:sz w:val="22"/>
          <w:szCs w:val="22"/>
          <w:lang w:val="en-US"/>
        </w:rPr>
        <w:t>F.</w:t>
      </w:r>
      <w:r w:rsidRPr="00604B54">
        <w:rPr>
          <w:rFonts w:ascii="Arial" w:hAnsi="Arial" w:cs="Arial"/>
          <w:bCs/>
          <w:sz w:val="22"/>
          <w:szCs w:val="22"/>
          <w:lang w:val="en-US"/>
        </w:rPr>
        <w:t xml:space="preserve"> Scatterplot showing the correlations of the </w:t>
      </w:r>
      <w:proofErr w:type="spellStart"/>
      <w:r w:rsidRPr="00604B54">
        <w:rPr>
          <w:rFonts w:ascii="Arial" w:hAnsi="Arial" w:cs="Arial"/>
          <w:bCs/>
          <w:sz w:val="22"/>
          <w:szCs w:val="22"/>
          <w:lang w:val="en-US"/>
        </w:rPr>
        <w:t>senescore</w:t>
      </w:r>
      <w:proofErr w:type="spellEnd"/>
      <w:r w:rsidRPr="00604B54">
        <w:rPr>
          <w:rFonts w:ascii="Arial" w:hAnsi="Arial" w:cs="Arial"/>
          <w:bCs/>
          <w:sz w:val="22"/>
          <w:szCs w:val="22"/>
          <w:lang w:val="en-US"/>
        </w:rPr>
        <w:t xml:space="preserve"> with tumor mutation burden. R coefficient and p value was calculated by Pearson correlation test. ADCT: adjuvant chemotherapy.</w:t>
      </w:r>
    </w:p>
    <w:p w14:paraId="368BB5FF" w14:textId="77777777" w:rsidR="00EA26EF" w:rsidRPr="00604B54" w:rsidRDefault="00EA26EF" w:rsidP="00EA26EF">
      <w:pPr>
        <w:adjustRightInd w:val="0"/>
        <w:snapToGrid w:val="0"/>
        <w:spacing w:afterLines="50" w:after="211" w:line="360" w:lineRule="auto"/>
        <w:rPr>
          <w:rFonts w:ascii="Arial" w:hAnsi="Arial" w:cs="Arial"/>
          <w:b/>
          <w:bCs/>
          <w:sz w:val="22"/>
          <w:szCs w:val="22"/>
          <w:lang w:val="en-US"/>
        </w:rPr>
      </w:pPr>
      <w:r w:rsidRPr="00A750E0">
        <w:rPr>
          <w:rFonts w:ascii="Arial" w:hAnsi="Arial" w:cs="Arial"/>
          <w:b/>
          <w:bCs/>
          <w:sz w:val="22"/>
          <w:szCs w:val="22"/>
          <w:lang w:val="en-US"/>
        </w:rPr>
        <w:t>Figure S</w:t>
      </w:r>
      <w:r>
        <w:rPr>
          <w:rFonts w:ascii="Arial" w:hAnsi="Arial" w:cs="Arial"/>
          <w:b/>
          <w:bCs/>
          <w:sz w:val="22"/>
          <w:szCs w:val="22"/>
          <w:lang w:val="en-US"/>
        </w:rPr>
        <w:t>8</w:t>
      </w:r>
      <w:r w:rsidRPr="00A750E0">
        <w:rPr>
          <w:rFonts w:ascii="Arial" w:hAnsi="Arial" w:cs="Arial"/>
          <w:b/>
          <w:bCs/>
          <w:sz w:val="22"/>
          <w:szCs w:val="22"/>
          <w:lang w:val="en-US"/>
        </w:rPr>
        <w:t>. Multiplex immunofluorescence immunohistochemistry profiling for prognostic analysis of the senescen</w:t>
      </w:r>
      <w:r>
        <w:rPr>
          <w:rFonts w:ascii="Arial" w:hAnsi="Arial" w:cs="Arial"/>
          <w:b/>
          <w:bCs/>
          <w:sz w:val="22"/>
          <w:szCs w:val="22"/>
          <w:lang w:val="en-US"/>
        </w:rPr>
        <w:t>ce</w:t>
      </w:r>
      <w:r w:rsidRPr="00A750E0">
        <w:rPr>
          <w:rFonts w:ascii="Arial" w:hAnsi="Arial" w:cs="Arial"/>
          <w:b/>
          <w:bCs/>
          <w:sz w:val="22"/>
          <w:szCs w:val="22"/>
          <w:lang w:val="en-US"/>
        </w:rPr>
        <w:t xml:space="preserve"> biomarkers in tissue microarray of GC. </w:t>
      </w:r>
      <w:r w:rsidRPr="00A750E0" w:rsidDel="00A720ED">
        <w:rPr>
          <w:rFonts w:ascii="Arial" w:hAnsi="Arial" w:cs="Arial"/>
          <w:b/>
          <w:bCs/>
          <w:sz w:val="22"/>
          <w:szCs w:val="22"/>
          <w:lang w:val="en-US"/>
        </w:rPr>
        <w:t xml:space="preserve"> </w:t>
      </w:r>
      <w:r w:rsidRPr="00A750E0">
        <w:rPr>
          <w:rFonts w:ascii="Arial" w:hAnsi="Arial" w:cs="Arial"/>
          <w:b/>
          <w:bCs/>
          <w:sz w:val="22"/>
          <w:szCs w:val="22"/>
          <w:lang w:val="en-US"/>
        </w:rPr>
        <w:t xml:space="preserve">A-F. </w:t>
      </w:r>
      <w:r w:rsidRPr="00A750E0">
        <w:rPr>
          <w:rFonts w:ascii="Arial" w:hAnsi="Arial" w:cs="Arial"/>
          <w:bCs/>
          <w:sz w:val="22"/>
          <w:szCs w:val="22"/>
          <w:lang w:val="en-US"/>
        </w:rPr>
        <w:t>Survival analysis for protein expression quantification o</w:t>
      </w:r>
      <w:r w:rsidRPr="00604B54">
        <w:rPr>
          <w:rFonts w:ascii="Arial" w:hAnsi="Arial" w:cs="Arial"/>
          <w:bCs/>
          <w:sz w:val="22"/>
          <w:szCs w:val="22"/>
          <w:lang w:val="en-US"/>
        </w:rPr>
        <w:t>f ADH1B (A), SERPINE1 (B), SPARC (C), TNFAIP2 (D), IL1A(E) and EZH2 (F) in tissue microarray of GC. P value was calculated by Log-rank test.</w:t>
      </w:r>
    </w:p>
    <w:p w14:paraId="28D1D8AC" w14:textId="40EAAF91" w:rsidR="00EA26EF" w:rsidRDefault="00EA26EF" w:rsidP="00EA26EF">
      <w:pPr>
        <w:rPr>
          <w:rFonts w:ascii="Arial" w:hAnsi="Arial" w:cs="Arial"/>
          <w:bCs/>
          <w:lang w:val="en-US"/>
        </w:rPr>
      </w:pPr>
    </w:p>
    <w:p w14:paraId="065E1A42" w14:textId="33EDB213" w:rsidR="00EA26EF" w:rsidRDefault="00EA26EF" w:rsidP="00EA26EF">
      <w:pPr>
        <w:rPr>
          <w:rFonts w:ascii="Arial" w:hAnsi="Arial" w:cs="Arial"/>
          <w:bCs/>
          <w:lang w:val="en-US"/>
        </w:rPr>
      </w:pPr>
    </w:p>
    <w:p w14:paraId="6147BD79" w14:textId="77777777" w:rsidR="00EA26EF" w:rsidRPr="00604B54" w:rsidRDefault="00EA26EF" w:rsidP="00EA26EF">
      <w:pPr>
        <w:rPr>
          <w:rFonts w:ascii="Arial" w:hAnsi="Arial" w:cs="Arial" w:hint="eastAsia"/>
          <w:bCs/>
          <w:lang w:val="en-US"/>
        </w:rPr>
      </w:pPr>
    </w:p>
    <w:p w14:paraId="1571FA94" w14:textId="77777777" w:rsidR="00EA26EF" w:rsidRPr="001B72C0" w:rsidRDefault="00EA26EF" w:rsidP="00EA26EF">
      <w:pPr>
        <w:adjustRightInd w:val="0"/>
        <w:snapToGrid w:val="0"/>
        <w:spacing w:afterLines="50" w:after="211"/>
        <w:rPr>
          <w:rFonts w:ascii="Arial" w:hAnsi="Arial" w:cs="Arial"/>
          <w:b/>
          <w:bCs/>
          <w:sz w:val="22"/>
          <w:szCs w:val="22"/>
          <w:lang w:val="en-US"/>
        </w:rPr>
      </w:pPr>
      <w:r w:rsidRPr="00604B54">
        <w:rPr>
          <w:rFonts w:ascii="Arial" w:hAnsi="Arial" w:cs="Arial"/>
          <w:b/>
          <w:bCs/>
          <w:sz w:val="22"/>
          <w:szCs w:val="22"/>
          <w:lang w:val="en-US"/>
        </w:rPr>
        <w:lastRenderedPageBreak/>
        <w:t>Table S1. Information of senescence gene sets</w:t>
      </w:r>
    </w:p>
    <w:p w14:paraId="50A6CD2A" w14:textId="77777777" w:rsidR="00EA26EF" w:rsidRPr="003F3A05" w:rsidRDefault="00EA26EF" w:rsidP="00EA26EF">
      <w:pPr>
        <w:adjustRightInd w:val="0"/>
        <w:snapToGrid w:val="0"/>
        <w:spacing w:afterLines="50" w:after="211"/>
        <w:rPr>
          <w:rFonts w:ascii="Arial" w:hAnsi="Arial" w:cs="Arial"/>
          <w:b/>
          <w:bCs/>
          <w:sz w:val="22"/>
          <w:szCs w:val="22"/>
          <w:lang w:val="en-US"/>
        </w:rPr>
      </w:pPr>
      <w:r w:rsidRPr="003F3A05">
        <w:rPr>
          <w:rFonts w:ascii="Arial" w:hAnsi="Arial" w:cs="Arial"/>
          <w:b/>
          <w:bCs/>
          <w:sz w:val="22"/>
          <w:szCs w:val="22"/>
          <w:lang w:val="en-US"/>
        </w:rPr>
        <w:t xml:space="preserve">Table </w:t>
      </w:r>
      <w:r>
        <w:rPr>
          <w:rFonts w:ascii="Arial" w:hAnsi="Arial" w:cs="Arial"/>
          <w:b/>
          <w:bCs/>
          <w:sz w:val="22"/>
          <w:szCs w:val="22"/>
          <w:lang w:val="en-US"/>
        </w:rPr>
        <w:t>S2</w:t>
      </w:r>
      <w:r w:rsidRPr="003F3A05">
        <w:rPr>
          <w:rFonts w:ascii="Arial" w:hAnsi="Arial" w:cs="Arial"/>
          <w:b/>
          <w:bCs/>
          <w:sz w:val="22"/>
          <w:szCs w:val="22"/>
          <w:lang w:val="en-US"/>
        </w:rPr>
        <w:t>. Summary of patient's information of cohorts for clinical outcomes</w:t>
      </w:r>
    </w:p>
    <w:p w14:paraId="2A19B673" w14:textId="77777777" w:rsidR="00EA26EF" w:rsidRDefault="00EA26EF" w:rsidP="00EA26EF">
      <w:pPr>
        <w:adjustRightInd w:val="0"/>
        <w:snapToGrid w:val="0"/>
        <w:spacing w:afterLines="50" w:after="211"/>
        <w:rPr>
          <w:rFonts w:ascii="Arial" w:hAnsi="Arial" w:cs="Arial"/>
          <w:b/>
          <w:bCs/>
          <w:sz w:val="22"/>
          <w:szCs w:val="22"/>
          <w:lang w:val="en-US"/>
        </w:rPr>
      </w:pPr>
      <w:r w:rsidRPr="003F3A05">
        <w:rPr>
          <w:rFonts w:ascii="Arial" w:hAnsi="Arial" w:cs="Arial"/>
          <w:b/>
          <w:bCs/>
          <w:sz w:val="22"/>
          <w:szCs w:val="22"/>
          <w:lang w:val="en-US"/>
        </w:rPr>
        <w:t xml:space="preserve">Table </w:t>
      </w:r>
      <w:r>
        <w:rPr>
          <w:rFonts w:ascii="Arial" w:hAnsi="Arial" w:cs="Arial"/>
          <w:b/>
          <w:bCs/>
          <w:sz w:val="22"/>
          <w:szCs w:val="22"/>
          <w:lang w:val="en-US"/>
        </w:rPr>
        <w:t>S3</w:t>
      </w:r>
      <w:r w:rsidRPr="003F3A05">
        <w:rPr>
          <w:rFonts w:ascii="Arial" w:hAnsi="Arial" w:cs="Arial"/>
          <w:b/>
          <w:bCs/>
          <w:sz w:val="22"/>
          <w:szCs w:val="22"/>
          <w:lang w:val="en-US"/>
        </w:rPr>
        <w:t>. Detailed information of TCGA-STAD cohort in this study.</w:t>
      </w:r>
    </w:p>
    <w:p w14:paraId="37792CB9" w14:textId="77777777" w:rsidR="00EA26EF" w:rsidRPr="003F3A05" w:rsidRDefault="00EA26EF" w:rsidP="00EA26EF">
      <w:pPr>
        <w:adjustRightInd w:val="0"/>
        <w:snapToGrid w:val="0"/>
        <w:spacing w:afterLines="50" w:after="211"/>
        <w:rPr>
          <w:rFonts w:ascii="Arial" w:hAnsi="Arial" w:cs="Arial"/>
          <w:b/>
          <w:bCs/>
          <w:sz w:val="22"/>
          <w:szCs w:val="22"/>
          <w:lang w:val="en-US"/>
        </w:rPr>
      </w:pPr>
      <w:r w:rsidRPr="00604B54">
        <w:rPr>
          <w:rFonts w:ascii="Arial" w:hAnsi="Arial" w:cs="Arial"/>
          <w:b/>
          <w:bCs/>
          <w:sz w:val="22"/>
          <w:szCs w:val="22"/>
          <w:lang w:val="en-US"/>
        </w:rPr>
        <w:t>Table S4. Details about the datasets used in this study</w:t>
      </w:r>
    </w:p>
    <w:p w14:paraId="3EB591F8" w14:textId="77777777" w:rsidR="00EA26EF" w:rsidRPr="003F3A05" w:rsidRDefault="00EA26EF" w:rsidP="00EA26EF">
      <w:pPr>
        <w:adjustRightInd w:val="0"/>
        <w:snapToGrid w:val="0"/>
        <w:spacing w:afterLines="50" w:after="211"/>
        <w:rPr>
          <w:rFonts w:ascii="Arial" w:hAnsi="Arial" w:cs="Arial"/>
          <w:b/>
          <w:bCs/>
          <w:sz w:val="22"/>
          <w:szCs w:val="22"/>
          <w:lang w:val="en-US"/>
        </w:rPr>
      </w:pPr>
      <w:r w:rsidRPr="003F3A05">
        <w:rPr>
          <w:rFonts w:ascii="Arial" w:hAnsi="Arial" w:cs="Arial"/>
          <w:b/>
          <w:bCs/>
          <w:sz w:val="22"/>
          <w:szCs w:val="22"/>
          <w:lang w:val="en-US"/>
        </w:rPr>
        <w:t xml:space="preserve">Table </w:t>
      </w:r>
      <w:r>
        <w:rPr>
          <w:rFonts w:ascii="Arial" w:hAnsi="Arial" w:cs="Arial"/>
          <w:b/>
          <w:bCs/>
          <w:sz w:val="22"/>
          <w:szCs w:val="22"/>
          <w:lang w:val="en-US"/>
        </w:rPr>
        <w:t>S5</w:t>
      </w:r>
      <w:r w:rsidRPr="003F3A05">
        <w:rPr>
          <w:rFonts w:ascii="Arial" w:hAnsi="Arial" w:cs="Arial"/>
          <w:b/>
          <w:bCs/>
          <w:sz w:val="22"/>
          <w:szCs w:val="22"/>
          <w:lang w:val="en-US"/>
        </w:rPr>
        <w:t>. Detailed information of chemotherapy cohorts in this study</w:t>
      </w:r>
    </w:p>
    <w:p w14:paraId="56ADABFD" w14:textId="77777777" w:rsidR="00EA26EF" w:rsidRPr="003F3A05" w:rsidRDefault="00EA26EF" w:rsidP="00EA26EF">
      <w:pPr>
        <w:adjustRightInd w:val="0"/>
        <w:snapToGrid w:val="0"/>
        <w:spacing w:afterLines="50" w:after="211"/>
        <w:rPr>
          <w:rFonts w:ascii="Arial" w:hAnsi="Arial" w:cs="Arial"/>
          <w:b/>
          <w:bCs/>
          <w:sz w:val="22"/>
          <w:szCs w:val="22"/>
          <w:lang w:val="en-US"/>
        </w:rPr>
      </w:pPr>
      <w:r w:rsidRPr="003F3A05">
        <w:rPr>
          <w:rFonts w:ascii="Arial" w:hAnsi="Arial" w:cs="Arial"/>
          <w:b/>
          <w:bCs/>
          <w:sz w:val="22"/>
          <w:szCs w:val="22"/>
          <w:lang w:val="en-US"/>
        </w:rPr>
        <w:t xml:space="preserve">Table </w:t>
      </w:r>
      <w:r>
        <w:rPr>
          <w:rFonts w:ascii="Arial" w:hAnsi="Arial" w:cs="Arial"/>
          <w:b/>
          <w:bCs/>
          <w:sz w:val="22"/>
          <w:szCs w:val="22"/>
          <w:lang w:val="en-US"/>
        </w:rPr>
        <w:t>S6</w:t>
      </w:r>
      <w:r w:rsidRPr="003F3A05">
        <w:rPr>
          <w:rFonts w:ascii="Arial" w:hAnsi="Arial" w:cs="Arial"/>
          <w:b/>
          <w:bCs/>
          <w:sz w:val="22"/>
          <w:szCs w:val="22"/>
          <w:lang w:val="en-US"/>
        </w:rPr>
        <w:t>. Detailed information of immunotherapy cohorts in this study</w:t>
      </w:r>
    </w:p>
    <w:p w14:paraId="5FABDB08" w14:textId="77777777" w:rsidR="00EA26EF" w:rsidRPr="003F3A05" w:rsidRDefault="00EA26EF" w:rsidP="00EA26EF">
      <w:pPr>
        <w:adjustRightInd w:val="0"/>
        <w:snapToGrid w:val="0"/>
        <w:spacing w:afterLines="50" w:after="211"/>
        <w:rPr>
          <w:rFonts w:ascii="Arial" w:hAnsi="Arial" w:cs="Arial"/>
          <w:b/>
          <w:bCs/>
          <w:sz w:val="22"/>
          <w:szCs w:val="22"/>
          <w:lang w:val="en-US"/>
        </w:rPr>
      </w:pPr>
      <w:r w:rsidRPr="003F3A05">
        <w:rPr>
          <w:rFonts w:ascii="Arial" w:hAnsi="Arial" w:cs="Arial"/>
          <w:b/>
          <w:bCs/>
          <w:sz w:val="22"/>
          <w:szCs w:val="22"/>
          <w:lang w:val="en-US"/>
        </w:rPr>
        <w:t xml:space="preserve">Table </w:t>
      </w:r>
      <w:r>
        <w:rPr>
          <w:rFonts w:ascii="Arial" w:hAnsi="Arial" w:cs="Arial"/>
          <w:b/>
          <w:bCs/>
          <w:sz w:val="22"/>
          <w:szCs w:val="22"/>
          <w:lang w:val="en-US"/>
        </w:rPr>
        <w:t>S</w:t>
      </w:r>
      <w:r w:rsidRPr="003F3A05">
        <w:rPr>
          <w:rFonts w:ascii="Arial" w:hAnsi="Arial" w:cs="Arial"/>
          <w:b/>
          <w:bCs/>
          <w:sz w:val="22"/>
          <w:szCs w:val="22"/>
          <w:lang w:val="en-US"/>
        </w:rPr>
        <w:t>7. Detailed information of tissue microarray cohort in this study</w:t>
      </w:r>
    </w:p>
    <w:p w14:paraId="51DB464C" w14:textId="77777777" w:rsidR="00EC2AAF" w:rsidRPr="00EA26EF" w:rsidRDefault="00EC2AAF">
      <w:pPr>
        <w:rPr>
          <w:lang w:val="en-US"/>
        </w:rPr>
      </w:pPr>
    </w:p>
    <w:sectPr w:rsidR="00EC2AAF" w:rsidRPr="00EA26EF" w:rsidSect="009F1F56">
      <w:footerReference w:type="even" r:id="rId4"/>
      <w:footerReference w:type="default" r:id="rId5"/>
      <w:pgSz w:w="11900" w:h="16840"/>
      <w:pgMar w:top="1440" w:right="1080" w:bottom="1440" w:left="1080" w:header="851" w:footer="992" w:gutter="0"/>
      <w:lnNumType w:countBy="1" w:restart="continuous"/>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937557897"/>
      <w:docPartObj>
        <w:docPartGallery w:val="Page Numbers (Bottom of Page)"/>
        <w:docPartUnique/>
      </w:docPartObj>
    </w:sdtPr>
    <w:sdtEndPr>
      <w:rPr>
        <w:rStyle w:val="a5"/>
      </w:rPr>
    </w:sdtEndPr>
    <w:sdtContent>
      <w:p w14:paraId="5EFE9EBE" w14:textId="77777777" w:rsidR="00575FEB" w:rsidRDefault="00EA26EF" w:rsidP="00575FEB">
        <w:pPr>
          <w:pStyle w:val="a3"/>
          <w:framePr w:wrap="none"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14:paraId="691CBAE2" w14:textId="77777777" w:rsidR="00575FEB" w:rsidRDefault="00EA26EF">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337736472"/>
      <w:docPartObj>
        <w:docPartGallery w:val="Page Numbers (Bottom of Page)"/>
        <w:docPartUnique/>
      </w:docPartObj>
    </w:sdtPr>
    <w:sdtEndPr>
      <w:rPr>
        <w:rStyle w:val="a5"/>
        <w:rFonts w:ascii="Arial" w:hAnsi="Arial" w:cs="Arial"/>
      </w:rPr>
    </w:sdtEndPr>
    <w:sdtContent>
      <w:p w14:paraId="712D0670" w14:textId="77777777" w:rsidR="00575FEB" w:rsidRPr="00DE6A48" w:rsidRDefault="00EA26EF" w:rsidP="00575FEB">
        <w:pPr>
          <w:pStyle w:val="a3"/>
          <w:framePr w:wrap="none" w:vAnchor="text" w:hAnchor="margin" w:xAlign="center" w:y="1"/>
          <w:rPr>
            <w:rStyle w:val="a5"/>
            <w:rFonts w:ascii="Arial" w:hAnsi="Arial" w:cs="Arial"/>
          </w:rPr>
        </w:pPr>
        <w:r w:rsidRPr="00DE6A48">
          <w:rPr>
            <w:rStyle w:val="a5"/>
            <w:rFonts w:ascii="Arial" w:hAnsi="Arial" w:cs="Arial"/>
          </w:rPr>
          <w:fldChar w:fldCharType="begin"/>
        </w:r>
        <w:r w:rsidRPr="00DE6A48">
          <w:rPr>
            <w:rStyle w:val="a5"/>
            <w:rFonts w:ascii="Arial" w:hAnsi="Arial" w:cs="Arial"/>
          </w:rPr>
          <w:instrText xml:space="preserve"> PAGE </w:instrText>
        </w:r>
        <w:r w:rsidRPr="00DE6A48">
          <w:rPr>
            <w:rStyle w:val="a5"/>
            <w:rFonts w:ascii="Arial" w:hAnsi="Arial" w:cs="Arial"/>
          </w:rPr>
          <w:fldChar w:fldCharType="separate"/>
        </w:r>
        <w:r w:rsidRPr="00DE6A48">
          <w:rPr>
            <w:rStyle w:val="a5"/>
            <w:rFonts w:ascii="Arial" w:hAnsi="Arial" w:cs="Arial"/>
            <w:noProof/>
          </w:rPr>
          <w:t>1</w:t>
        </w:r>
        <w:r w:rsidRPr="00DE6A48">
          <w:rPr>
            <w:rStyle w:val="a5"/>
            <w:rFonts w:ascii="Arial" w:hAnsi="Arial" w:cs="Arial"/>
          </w:rPr>
          <w:fldChar w:fldCharType="end"/>
        </w:r>
      </w:p>
    </w:sdtContent>
  </w:sdt>
  <w:p w14:paraId="675CF564" w14:textId="77777777" w:rsidR="00575FEB" w:rsidRDefault="00EA26EF">
    <w:pPr>
      <w:pStyle w:val="a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6EF"/>
    <w:rsid w:val="00004C2E"/>
    <w:rsid w:val="00021E84"/>
    <w:rsid w:val="00026E73"/>
    <w:rsid w:val="00030955"/>
    <w:rsid w:val="00032421"/>
    <w:rsid w:val="00061C1A"/>
    <w:rsid w:val="00063434"/>
    <w:rsid w:val="000718D8"/>
    <w:rsid w:val="00084204"/>
    <w:rsid w:val="00084AC4"/>
    <w:rsid w:val="000915D2"/>
    <w:rsid w:val="00092C03"/>
    <w:rsid w:val="000B13CB"/>
    <w:rsid w:val="000C30F3"/>
    <w:rsid w:val="000D2465"/>
    <w:rsid w:val="000D3BD2"/>
    <w:rsid w:val="000D488E"/>
    <w:rsid w:val="000F0CE3"/>
    <w:rsid w:val="000F6A7F"/>
    <w:rsid w:val="000F72D7"/>
    <w:rsid w:val="0013665A"/>
    <w:rsid w:val="001369BA"/>
    <w:rsid w:val="00144D6E"/>
    <w:rsid w:val="001503AF"/>
    <w:rsid w:val="001539B9"/>
    <w:rsid w:val="001773C0"/>
    <w:rsid w:val="00177414"/>
    <w:rsid w:val="0018412C"/>
    <w:rsid w:val="001846E1"/>
    <w:rsid w:val="001859F2"/>
    <w:rsid w:val="00186124"/>
    <w:rsid w:val="001928D3"/>
    <w:rsid w:val="00194664"/>
    <w:rsid w:val="001A0957"/>
    <w:rsid w:val="001A16C9"/>
    <w:rsid w:val="001A51B0"/>
    <w:rsid w:val="001A6A5C"/>
    <w:rsid w:val="001B39C7"/>
    <w:rsid w:val="001C1F26"/>
    <w:rsid w:val="001E33E0"/>
    <w:rsid w:val="001F1688"/>
    <w:rsid w:val="001F2D6A"/>
    <w:rsid w:val="001F4D65"/>
    <w:rsid w:val="002016DD"/>
    <w:rsid w:val="002350CD"/>
    <w:rsid w:val="002362CF"/>
    <w:rsid w:val="00236BCE"/>
    <w:rsid w:val="00244B97"/>
    <w:rsid w:val="00250924"/>
    <w:rsid w:val="002562F0"/>
    <w:rsid w:val="00256B74"/>
    <w:rsid w:val="00260873"/>
    <w:rsid w:val="00270351"/>
    <w:rsid w:val="002944EA"/>
    <w:rsid w:val="002A2AA2"/>
    <w:rsid w:val="002B165D"/>
    <w:rsid w:val="002B60EA"/>
    <w:rsid w:val="002C0FC5"/>
    <w:rsid w:val="002E7FF3"/>
    <w:rsid w:val="002F1031"/>
    <w:rsid w:val="002F10AF"/>
    <w:rsid w:val="0034384D"/>
    <w:rsid w:val="00350D88"/>
    <w:rsid w:val="0035143A"/>
    <w:rsid w:val="00360359"/>
    <w:rsid w:val="00366452"/>
    <w:rsid w:val="00366F7C"/>
    <w:rsid w:val="003670F6"/>
    <w:rsid w:val="0039409A"/>
    <w:rsid w:val="003B1CCE"/>
    <w:rsid w:val="003B548D"/>
    <w:rsid w:val="003C57BA"/>
    <w:rsid w:val="003F0670"/>
    <w:rsid w:val="00401E34"/>
    <w:rsid w:val="00402134"/>
    <w:rsid w:val="00405473"/>
    <w:rsid w:val="0040626E"/>
    <w:rsid w:val="004121C8"/>
    <w:rsid w:val="0042470B"/>
    <w:rsid w:val="00425EBB"/>
    <w:rsid w:val="004327A9"/>
    <w:rsid w:val="004710B1"/>
    <w:rsid w:val="00474651"/>
    <w:rsid w:val="004766C6"/>
    <w:rsid w:val="00480748"/>
    <w:rsid w:val="00480F3F"/>
    <w:rsid w:val="004902BC"/>
    <w:rsid w:val="004A0627"/>
    <w:rsid w:val="004A467A"/>
    <w:rsid w:val="004A6546"/>
    <w:rsid w:val="004B078F"/>
    <w:rsid w:val="004B5B81"/>
    <w:rsid w:val="004B6DB1"/>
    <w:rsid w:val="004C2D47"/>
    <w:rsid w:val="004D25B8"/>
    <w:rsid w:val="004D3189"/>
    <w:rsid w:val="004D450E"/>
    <w:rsid w:val="004E0EDD"/>
    <w:rsid w:val="004E2261"/>
    <w:rsid w:val="004E4108"/>
    <w:rsid w:val="00507266"/>
    <w:rsid w:val="00511659"/>
    <w:rsid w:val="00522EAA"/>
    <w:rsid w:val="00523FB1"/>
    <w:rsid w:val="00525355"/>
    <w:rsid w:val="00527156"/>
    <w:rsid w:val="00531056"/>
    <w:rsid w:val="00535C2F"/>
    <w:rsid w:val="005367F7"/>
    <w:rsid w:val="00554423"/>
    <w:rsid w:val="005641D4"/>
    <w:rsid w:val="0056431B"/>
    <w:rsid w:val="00577BC2"/>
    <w:rsid w:val="00593FC8"/>
    <w:rsid w:val="005C6DA5"/>
    <w:rsid w:val="005D17B5"/>
    <w:rsid w:val="005D7483"/>
    <w:rsid w:val="00600BA7"/>
    <w:rsid w:val="006041F4"/>
    <w:rsid w:val="00622872"/>
    <w:rsid w:val="00622887"/>
    <w:rsid w:val="00622D93"/>
    <w:rsid w:val="00624876"/>
    <w:rsid w:val="00634AA8"/>
    <w:rsid w:val="006407BF"/>
    <w:rsid w:val="006504D4"/>
    <w:rsid w:val="00657384"/>
    <w:rsid w:val="00661B28"/>
    <w:rsid w:val="0067519E"/>
    <w:rsid w:val="00675C7B"/>
    <w:rsid w:val="00680376"/>
    <w:rsid w:val="0068584E"/>
    <w:rsid w:val="00692CC8"/>
    <w:rsid w:val="006930EC"/>
    <w:rsid w:val="006A1F8A"/>
    <w:rsid w:val="006B369C"/>
    <w:rsid w:val="006B478C"/>
    <w:rsid w:val="006C1780"/>
    <w:rsid w:val="006C2CB5"/>
    <w:rsid w:val="006C66EA"/>
    <w:rsid w:val="006D332C"/>
    <w:rsid w:val="006D70DC"/>
    <w:rsid w:val="006F60A3"/>
    <w:rsid w:val="00703352"/>
    <w:rsid w:val="007044FB"/>
    <w:rsid w:val="00706693"/>
    <w:rsid w:val="0071230C"/>
    <w:rsid w:val="007133DA"/>
    <w:rsid w:val="007168DD"/>
    <w:rsid w:val="00752416"/>
    <w:rsid w:val="00755922"/>
    <w:rsid w:val="00756C71"/>
    <w:rsid w:val="00776F45"/>
    <w:rsid w:val="00777053"/>
    <w:rsid w:val="00780F00"/>
    <w:rsid w:val="007A023B"/>
    <w:rsid w:val="007A184E"/>
    <w:rsid w:val="007A54DE"/>
    <w:rsid w:val="007B3D5D"/>
    <w:rsid w:val="007B5B32"/>
    <w:rsid w:val="007C62BB"/>
    <w:rsid w:val="007E06D2"/>
    <w:rsid w:val="007E3670"/>
    <w:rsid w:val="007F1052"/>
    <w:rsid w:val="00815B91"/>
    <w:rsid w:val="00833C41"/>
    <w:rsid w:val="00835A1B"/>
    <w:rsid w:val="008377D7"/>
    <w:rsid w:val="0085280B"/>
    <w:rsid w:val="008557CF"/>
    <w:rsid w:val="0086298D"/>
    <w:rsid w:val="008775D7"/>
    <w:rsid w:val="008D15C5"/>
    <w:rsid w:val="008D408E"/>
    <w:rsid w:val="008D6ED2"/>
    <w:rsid w:val="008E783F"/>
    <w:rsid w:val="008F1690"/>
    <w:rsid w:val="008F2ECC"/>
    <w:rsid w:val="008F6595"/>
    <w:rsid w:val="009037D5"/>
    <w:rsid w:val="00903BB9"/>
    <w:rsid w:val="00910EB1"/>
    <w:rsid w:val="00911FE1"/>
    <w:rsid w:val="0092497B"/>
    <w:rsid w:val="00924A64"/>
    <w:rsid w:val="009304BC"/>
    <w:rsid w:val="00932495"/>
    <w:rsid w:val="009425B6"/>
    <w:rsid w:val="00943FB1"/>
    <w:rsid w:val="00962275"/>
    <w:rsid w:val="009655BB"/>
    <w:rsid w:val="00984331"/>
    <w:rsid w:val="0098761C"/>
    <w:rsid w:val="009902C7"/>
    <w:rsid w:val="009A5CD5"/>
    <w:rsid w:val="009B224C"/>
    <w:rsid w:val="009C09D2"/>
    <w:rsid w:val="009E2855"/>
    <w:rsid w:val="009E35A5"/>
    <w:rsid w:val="00A03FEA"/>
    <w:rsid w:val="00A04705"/>
    <w:rsid w:val="00A314EC"/>
    <w:rsid w:val="00A56238"/>
    <w:rsid w:val="00A64D38"/>
    <w:rsid w:val="00A77BC7"/>
    <w:rsid w:val="00A8270B"/>
    <w:rsid w:val="00A8477D"/>
    <w:rsid w:val="00AB0636"/>
    <w:rsid w:val="00AE7401"/>
    <w:rsid w:val="00B0274B"/>
    <w:rsid w:val="00B03677"/>
    <w:rsid w:val="00B1331B"/>
    <w:rsid w:val="00B14686"/>
    <w:rsid w:val="00B228D8"/>
    <w:rsid w:val="00B313F3"/>
    <w:rsid w:val="00B53D29"/>
    <w:rsid w:val="00B77DBE"/>
    <w:rsid w:val="00B9102F"/>
    <w:rsid w:val="00B92FB5"/>
    <w:rsid w:val="00BB6F83"/>
    <w:rsid w:val="00BC6D6D"/>
    <w:rsid w:val="00BC7902"/>
    <w:rsid w:val="00BE10D1"/>
    <w:rsid w:val="00BE3568"/>
    <w:rsid w:val="00BF0FA5"/>
    <w:rsid w:val="00BF68BC"/>
    <w:rsid w:val="00C06023"/>
    <w:rsid w:val="00C24886"/>
    <w:rsid w:val="00C27086"/>
    <w:rsid w:val="00C35966"/>
    <w:rsid w:val="00C419EE"/>
    <w:rsid w:val="00C43D2F"/>
    <w:rsid w:val="00C75B78"/>
    <w:rsid w:val="00C83543"/>
    <w:rsid w:val="00C83E70"/>
    <w:rsid w:val="00C8651A"/>
    <w:rsid w:val="00C90AA0"/>
    <w:rsid w:val="00CA41E5"/>
    <w:rsid w:val="00CA58C6"/>
    <w:rsid w:val="00CA6883"/>
    <w:rsid w:val="00CC07F8"/>
    <w:rsid w:val="00CD1698"/>
    <w:rsid w:val="00CD3A89"/>
    <w:rsid w:val="00CD6C11"/>
    <w:rsid w:val="00CE29FC"/>
    <w:rsid w:val="00CE4ADD"/>
    <w:rsid w:val="00CF4C2E"/>
    <w:rsid w:val="00CF7B21"/>
    <w:rsid w:val="00D01E62"/>
    <w:rsid w:val="00D35EE1"/>
    <w:rsid w:val="00D5133A"/>
    <w:rsid w:val="00D645A3"/>
    <w:rsid w:val="00D65FFA"/>
    <w:rsid w:val="00D70158"/>
    <w:rsid w:val="00D73B5A"/>
    <w:rsid w:val="00D7541E"/>
    <w:rsid w:val="00D93341"/>
    <w:rsid w:val="00DA2867"/>
    <w:rsid w:val="00DA572D"/>
    <w:rsid w:val="00DA5DEF"/>
    <w:rsid w:val="00DB2C69"/>
    <w:rsid w:val="00DD35C1"/>
    <w:rsid w:val="00DE1479"/>
    <w:rsid w:val="00DE4083"/>
    <w:rsid w:val="00DF4E52"/>
    <w:rsid w:val="00E0456E"/>
    <w:rsid w:val="00E15DB4"/>
    <w:rsid w:val="00E2631D"/>
    <w:rsid w:val="00E62320"/>
    <w:rsid w:val="00E73263"/>
    <w:rsid w:val="00E756B3"/>
    <w:rsid w:val="00EA26EF"/>
    <w:rsid w:val="00EA2CA9"/>
    <w:rsid w:val="00EA5F53"/>
    <w:rsid w:val="00EC2AAF"/>
    <w:rsid w:val="00EC5580"/>
    <w:rsid w:val="00ED2D33"/>
    <w:rsid w:val="00ED46A5"/>
    <w:rsid w:val="00ED72DC"/>
    <w:rsid w:val="00EF174E"/>
    <w:rsid w:val="00F1297D"/>
    <w:rsid w:val="00F163F4"/>
    <w:rsid w:val="00F177D2"/>
    <w:rsid w:val="00F304B6"/>
    <w:rsid w:val="00F3129C"/>
    <w:rsid w:val="00F336A0"/>
    <w:rsid w:val="00F5036B"/>
    <w:rsid w:val="00F557D1"/>
    <w:rsid w:val="00F576E2"/>
    <w:rsid w:val="00F6423C"/>
    <w:rsid w:val="00F708F9"/>
    <w:rsid w:val="00F719AB"/>
    <w:rsid w:val="00F8014D"/>
    <w:rsid w:val="00F86B91"/>
    <w:rsid w:val="00F94A76"/>
    <w:rsid w:val="00FA42C4"/>
    <w:rsid w:val="00FB480B"/>
    <w:rsid w:val="00FC0A78"/>
    <w:rsid w:val="00FC4EA3"/>
    <w:rsid w:val="00FD0C3C"/>
    <w:rsid w:val="00FD5181"/>
    <w:rsid w:val="00FE05BB"/>
    <w:rsid w:val="00FE56CA"/>
    <w:rsid w:val="00FF6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C3FBE8D"/>
  <w15:chartTrackingRefBased/>
  <w15:docId w15:val="{7627C9F2-9B6B-6F4F-8152-9C372C807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26EF"/>
    <w:pPr>
      <w:widowControl w:val="0"/>
      <w:jc w:val="both"/>
    </w:pPr>
    <w:rPr>
      <w:sz w:val="24"/>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EA26EF"/>
    <w:pPr>
      <w:tabs>
        <w:tab w:val="center" w:pos="4153"/>
        <w:tab w:val="right" w:pos="8306"/>
      </w:tabs>
      <w:snapToGrid w:val="0"/>
      <w:jc w:val="left"/>
    </w:pPr>
    <w:rPr>
      <w:sz w:val="18"/>
      <w:szCs w:val="18"/>
    </w:rPr>
  </w:style>
  <w:style w:type="character" w:customStyle="1" w:styleId="a4">
    <w:name w:val="页脚 字符"/>
    <w:basedOn w:val="a0"/>
    <w:link w:val="a3"/>
    <w:uiPriority w:val="99"/>
    <w:rsid w:val="00EA26EF"/>
    <w:rPr>
      <w:sz w:val="18"/>
      <w:szCs w:val="18"/>
      <w:lang w:val="en-GB"/>
    </w:rPr>
  </w:style>
  <w:style w:type="character" w:styleId="a5">
    <w:name w:val="page number"/>
    <w:basedOn w:val="a0"/>
    <w:uiPriority w:val="99"/>
    <w:semiHidden/>
    <w:unhideWhenUsed/>
    <w:rsid w:val="00EA26EF"/>
  </w:style>
  <w:style w:type="character" w:styleId="a6">
    <w:name w:val="line number"/>
    <w:basedOn w:val="a0"/>
    <w:uiPriority w:val="99"/>
    <w:semiHidden/>
    <w:unhideWhenUsed/>
    <w:rsid w:val="00EA2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946</Words>
  <Characters>5398</Characters>
  <Application>Microsoft Office Word</Application>
  <DocSecurity>0</DocSecurity>
  <Lines>44</Lines>
  <Paragraphs>12</Paragraphs>
  <ScaleCrop>false</ScaleCrop>
  <Company/>
  <LinksUpToDate>false</LinksUpToDate>
  <CharactersWithSpaces>6332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zhoululin</dc:creator>
  <cp:keywords/>
  <dc:description/>
  <cp:lastModifiedBy>zhoululin</cp:lastModifiedBy>
  <cp:revision>1</cp:revision>
  <dcterms:created xsi:type="dcterms:W3CDTF">2021-11-09T01:32:00Z</dcterms:created>
  <dcterms:modified xsi:type="dcterms:W3CDTF">2021-11-09T01:32:00Z</dcterms:modified>
</cp:coreProperties>
</file>