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C3542" w14:textId="77777777" w:rsidR="005C5F76" w:rsidRDefault="005C5F76" w:rsidP="005C5F76">
      <w:pPr>
        <w:pStyle w:val="a7"/>
        <w:spacing w:line="480" w:lineRule="auto"/>
        <w:ind w:firstLineChars="0" w:firstLine="0"/>
        <w:rPr>
          <w:rFonts w:ascii="Times New Roman" w:hAnsi="Times New Roman" w:cs="Times New Roman"/>
          <w:sz w:val="24"/>
          <w:szCs w:val="24"/>
        </w:rPr>
      </w:pPr>
      <w:bookmarkStart w:id="0" w:name="OLE_LINK1"/>
      <w:r w:rsidRPr="005C5F76">
        <w:rPr>
          <w:rFonts w:ascii="Times New Roman" w:hAnsi="Times New Roman" w:cs="Times New Roman"/>
          <w:b/>
          <w:bCs/>
          <w:sz w:val="24"/>
          <w:szCs w:val="24"/>
        </w:rPr>
        <w:t>Appendix 1</w:t>
      </w:r>
      <w:bookmarkEnd w:id="0"/>
      <w:r w:rsidRPr="005C5F76">
        <w:rPr>
          <w:rFonts w:ascii="Times New Roman" w:hAnsi="Times New Roman" w:cs="Times New Roman"/>
          <w:b/>
          <w:bCs/>
          <w:sz w:val="24"/>
          <w:szCs w:val="24"/>
        </w:rPr>
        <w:t>:</w:t>
      </w:r>
      <w:r w:rsidRPr="005C5F76">
        <w:rPr>
          <w:rFonts w:ascii="Times New Roman" w:hAnsi="Times New Roman" w:cs="Times New Roman"/>
          <w:sz w:val="24"/>
          <w:szCs w:val="24"/>
        </w:rPr>
        <w:t xml:space="preserve"> </w:t>
      </w:r>
    </w:p>
    <w:p w14:paraId="3277F637" w14:textId="77777777" w:rsidR="00C77D34" w:rsidRPr="00C77D34" w:rsidRDefault="00C77D34" w:rsidP="00C77D34">
      <w:pPr>
        <w:jc w:val="left"/>
        <w:rPr>
          <w:rFonts w:ascii="Times New Roman" w:eastAsia="宋体" w:hAnsi="Times New Roman"/>
          <w:color w:val="000000" w:themeColor="text1"/>
          <w:sz w:val="24"/>
          <w:szCs w:val="24"/>
        </w:rPr>
      </w:pPr>
      <w:bookmarkStart w:id="1" w:name="OLE_LINK2"/>
      <w:r w:rsidRPr="00C77D34">
        <w:rPr>
          <w:rFonts w:ascii="Times New Roman" w:eastAsia="宋体" w:hAnsi="Times New Roman"/>
          <w:color w:val="000000" w:themeColor="text1"/>
          <w:sz w:val="24"/>
          <w:szCs w:val="24"/>
        </w:rPr>
        <w:t>Main variables and their specific definitions</w:t>
      </w:r>
    </w:p>
    <w:tbl>
      <w:tblPr>
        <w:tblW w:w="5000" w:type="pct"/>
        <w:tblBorders>
          <w:top w:val="single" w:sz="4" w:space="0" w:color="auto"/>
          <w:bottom w:val="single" w:sz="4" w:space="0" w:color="auto"/>
        </w:tblBorders>
        <w:tblLook w:val="04A0" w:firstRow="1" w:lastRow="0" w:firstColumn="1" w:lastColumn="0" w:noHBand="0" w:noVBand="1"/>
      </w:tblPr>
      <w:tblGrid>
        <w:gridCol w:w="2184"/>
        <w:gridCol w:w="6122"/>
      </w:tblGrid>
      <w:tr w:rsidR="00C77D34" w:rsidRPr="00C77D34" w14:paraId="17F5B136" w14:textId="77777777" w:rsidTr="00BA201C">
        <w:trPr>
          <w:trHeight w:val="57"/>
        </w:trPr>
        <w:tc>
          <w:tcPr>
            <w:tcW w:w="1315" w:type="pct"/>
            <w:tcBorders>
              <w:top w:val="single" w:sz="4" w:space="0" w:color="auto"/>
              <w:bottom w:val="single" w:sz="4" w:space="0" w:color="auto"/>
            </w:tcBorders>
          </w:tcPr>
          <w:p w14:paraId="3F2D7166"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 xml:space="preserve">Variable </w:t>
            </w:r>
            <w:r w:rsidRPr="00C77D34">
              <w:rPr>
                <w:rFonts w:ascii="Times New Roman" w:eastAsia="宋体" w:hAnsi="Times New Roman" w:cs="宋体"/>
                <w:color w:val="000000" w:themeColor="text1"/>
                <w:sz w:val="24"/>
                <w:szCs w:val="24"/>
              </w:rPr>
              <w:t>n</w:t>
            </w:r>
            <w:r w:rsidRPr="00C77D34">
              <w:rPr>
                <w:rFonts w:ascii="Times New Roman" w:eastAsia="宋体" w:hAnsi="Times New Roman" w:cs="宋体" w:hint="eastAsia"/>
                <w:color w:val="000000" w:themeColor="text1"/>
                <w:sz w:val="24"/>
                <w:szCs w:val="24"/>
              </w:rPr>
              <w:t>ame</w:t>
            </w:r>
          </w:p>
        </w:tc>
        <w:tc>
          <w:tcPr>
            <w:tcW w:w="3685" w:type="pct"/>
            <w:tcBorders>
              <w:top w:val="single" w:sz="4" w:space="0" w:color="auto"/>
              <w:bottom w:val="single" w:sz="4" w:space="0" w:color="auto"/>
            </w:tcBorders>
          </w:tcPr>
          <w:p w14:paraId="4D643297"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color w:val="000000" w:themeColor="text1"/>
                <w:sz w:val="24"/>
                <w:szCs w:val="24"/>
              </w:rPr>
              <w:t>B</w:t>
            </w:r>
            <w:r w:rsidRPr="00C77D34">
              <w:rPr>
                <w:rFonts w:ascii="Times New Roman" w:eastAsia="宋体" w:hAnsi="Times New Roman" w:cs="宋体" w:hint="eastAsia"/>
                <w:color w:val="000000" w:themeColor="text1"/>
                <w:sz w:val="24"/>
                <w:szCs w:val="24"/>
              </w:rPr>
              <w:t>rief</w:t>
            </w:r>
            <w:r w:rsidRPr="00C77D34">
              <w:rPr>
                <w:rFonts w:ascii="Times New Roman" w:eastAsia="宋体" w:hAnsi="Times New Roman" w:cs="宋体"/>
                <w:color w:val="000000" w:themeColor="text1"/>
                <w:sz w:val="24"/>
                <w:szCs w:val="24"/>
              </w:rPr>
              <w:t xml:space="preserve"> d</w:t>
            </w:r>
            <w:r w:rsidRPr="00C77D34">
              <w:rPr>
                <w:rFonts w:ascii="Times New Roman" w:eastAsia="宋体" w:hAnsi="Times New Roman" w:cs="宋体" w:hint="eastAsia"/>
                <w:color w:val="000000" w:themeColor="text1"/>
                <w:sz w:val="24"/>
                <w:szCs w:val="24"/>
              </w:rPr>
              <w:t>efinition</w:t>
            </w:r>
          </w:p>
        </w:tc>
      </w:tr>
      <w:tr w:rsidR="00C77D34" w:rsidRPr="00C77D34" w14:paraId="7422D4F0" w14:textId="77777777" w:rsidTr="00BA201C">
        <w:trPr>
          <w:trHeight w:val="57"/>
        </w:trPr>
        <w:tc>
          <w:tcPr>
            <w:tcW w:w="1315" w:type="pct"/>
            <w:tcBorders>
              <w:top w:val="single" w:sz="4" w:space="0" w:color="auto"/>
            </w:tcBorders>
          </w:tcPr>
          <w:p w14:paraId="479C1CBD"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proofErr w:type="spellStart"/>
            <w:r w:rsidRPr="00C77D34">
              <w:rPr>
                <w:rFonts w:ascii="Times New Roman" w:eastAsia="宋体" w:hAnsi="Times New Roman" w:cs="宋体" w:hint="eastAsia"/>
                <w:i/>
                <w:iCs/>
                <w:color w:val="000000" w:themeColor="text1"/>
                <w:sz w:val="24"/>
                <w:szCs w:val="24"/>
              </w:rPr>
              <w:t>I</w:t>
            </w:r>
            <w:r w:rsidRPr="00C77D34">
              <w:rPr>
                <w:rFonts w:ascii="Times New Roman" w:eastAsia="宋体" w:hAnsi="Times New Roman" w:cs="宋体"/>
                <w:i/>
                <w:iCs/>
                <w:color w:val="000000" w:themeColor="text1"/>
                <w:sz w:val="24"/>
                <w:szCs w:val="24"/>
              </w:rPr>
              <w:t>nlaws</w:t>
            </w:r>
            <w:proofErr w:type="spellEnd"/>
          </w:p>
        </w:tc>
        <w:tc>
          <w:tcPr>
            <w:tcW w:w="3685" w:type="pct"/>
            <w:tcBorders>
              <w:top w:val="single" w:sz="4" w:space="0" w:color="auto"/>
            </w:tcBorders>
          </w:tcPr>
          <w:p w14:paraId="4B075A5F"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 xml:space="preserve">The presence of in-law involvement in the directors and </w:t>
            </w:r>
            <w:r w:rsidRPr="00C77D34">
              <w:rPr>
                <w:rFonts w:ascii="Times New Roman" w:eastAsia="宋体" w:hAnsi="Times New Roman" w:cs="宋体"/>
                <w:color w:val="000000" w:themeColor="text1"/>
                <w:sz w:val="24"/>
                <w:szCs w:val="24"/>
              </w:rPr>
              <w:t>supervisors’</w:t>
            </w:r>
            <w:r w:rsidRPr="00C77D34">
              <w:rPr>
                <w:rFonts w:ascii="Times New Roman" w:eastAsia="宋体" w:hAnsi="Times New Roman" w:cs="宋体" w:hint="eastAsia"/>
                <w:color w:val="000000" w:themeColor="text1"/>
                <w:sz w:val="24"/>
                <w:szCs w:val="24"/>
              </w:rPr>
              <w:t xml:space="preserve"> team of the family firm in the current year takes the value of 1, and 0 otherwise.</w:t>
            </w:r>
          </w:p>
        </w:tc>
      </w:tr>
      <w:tr w:rsidR="00C77D34" w:rsidRPr="00C77D34" w14:paraId="4BA9D73D" w14:textId="77777777" w:rsidTr="00BA201C">
        <w:trPr>
          <w:trHeight w:val="57"/>
        </w:trPr>
        <w:tc>
          <w:tcPr>
            <w:tcW w:w="1315" w:type="pct"/>
          </w:tcPr>
          <w:p w14:paraId="774FE0A3"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proofErr w:type="spellStart"/>
            <w:r w:rsidRPr="00C77D34">
              <w:rPr>
                <w:rFonts w:ascii="Times New Roman" w:eastAsia="宋体" w:hAnsi="Times New Roman" w:cs="宋体" w:hint="eastAsia"/>
                <w:i/>
                <w:iCs/>
                <w:color w:val="000000" w:themeColor="text1"/>
                <w:sz w:val="24"/>
                <w:szCs w:val="24"/>
              </w:rPr>
              <w:t>I</w:t>
            </w:r>
            <w:r w:rsidRPr="00C77D34">
              <w:rPr>
                <w:rFonts w:ascii="Times New Roman" w:eastAsia="宋体" w:hAnsi="Times New Roman" w:cs="宋体"/>
                <w:i/>
                <w:iCs/>
                <w:color w:val="000000" w:themeColor="text1"/>
                <w:sz w:val="24"/>
                <w:szCs w:val="24"/>
              </w:rPr>
              <w:t>nlaws_p</w:t>
            </w:r>
            <w:proofErr w:type="spellEnd"/>
          </w:p>
        </w:tc>
        <w:tc>
          <w:tcPr>
            <w:tcW w:w="3685" w:type="pct"/>
          </w:tcPr>
          <w:p w14:paraId="4E69CB52"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Percentage of in-laws in the directors' and supervisors' teams of family firms in the current year.</w:t>
            </w:r>
          </w:p>
        </w:tc>
      </w:tr>
      <w:tr w:rsidR="00C77D34" w:rsidRPr="00C77D34" w14:paraId="6AEFD1EC" w14:textId="77777777" w:rsidTr="00BA201C">
        <w:trPr>
          <w:trHeight w:val="57"/>
        </w:trPr>
        <w:tc>
          <w:tcPr>
            <w:tcW w:w="1315" w:type="pct"/>
          </w:tcPr>
          <w:p w14:paraId="4DB31FD1"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hAnsi="Times New Roman" w:cs="Times New Roman"/>
                <w:i/>
                <w:kern w:val="0"/>
                <w:sz w:val="24"/>
                <w:szCs w:val="24"/>
              </w:rPr>
              <w:t>Gap1</w:t>
            </w:r>
          </w:p>
        </w:tc>
        <w:tc>
          <w:tcPr>
            <w:tcW w:w="3685" w:type="pct"/>
          </w:tcPr>
          <w:p w14:paraId="6BD87AE7"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Absolute value of the gap between in-law and non-in-law shareholdings in family firms.</w:t>
            </w:r>
          </w:p>
        </w:tc>
      </w:tr>
      <w:tr w:rsidR="00C77D34" w:rsidRPr="00C77D34" w14:paraId="0CE2C25D" w14:textId="77777777" w:rsidTr="00BA201C">
        <w:trPr>
          <w:trHeight w:val="57"/>
        </w:trPr>
        <w:tc>
          <w:tcPr>
            <w:tcW w:w="1315" w:type="pct"/>
          </w:tcPr>
          <w:p w14:paraId="0D553B0E"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hAnsi="Times New Roman" w:cs="Times New Roman"/>
                <w:i/>
                <w:kern w:val="0"/>
                <w:sz w:val="24"/>
                <w:szCs w:val="24"/>
              </w:rPr>
              <w:t>Gap2</w:t>
            </w:r>
          </w:p>
        </w:tc>
        <w:tc>
          <w:tcPr>
            <w:tcW w:w="3685" w:type="pct"/>
          </w:tcPr>
          <w:p w14:paraId="19C7465B"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Absolute value of the gap between in-laws and non-in-laws holding core positions in family firms.</w:t>
            </w:r>
          </w:p>
        </w:tc>
      </w:tr>
      <w:tr w:rsidR="00C77D34" w:rsidRPr="00C77D34" w14:paraId="496C0465" w14:textId="77777777" w:rsidTr="00BA201C">
        <w:trPr>
          <w:trHeight w:val="57"/>
        </w:trPr>
        <w:tc>
          <w:tcPr>
            <w:tcW w:w="1315" w:type="pct"/>
          </w:tcPr>
          <w:p w14:paraId="72473130"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hAnsi="Times New Roman" w:cs="Times New Roman"/>
                <w:i/>
                <w:kern w:val="0"/>
                <w:sz w:val="24"/>
                <w:szCs w:val="24"/>
              </w:rPr>
              <w:t>In-</w:t>
            </w:r>
            <w:proofErr w:type="spellStart"/>
            <w:r w:rsidRPr="00C77D34">
              <w:rPr>
                <w:rFonts w:ascii="Times New Roman" w:hAnsi="Times New Roman" w:cs="Times New Roman"/>
                <w:i/>
                <w:kern w:val="0"/>
                <w:sz w:val="24"/>
                <w:szCs w:val="24"/>
              </w:rPr>
              <w:t>la</w:t>
            </w:r>
            <w:r w:rsidRPr="00C77D34">
              <w:rPr>
                <w:rFonts w:ascii="Times New Roman" w:hAnsi="Times New Roman" w:cs="Times New Roman" w:hint="eastAsia"/>
                <w:i/>
                <w:kern w:val="0"/>
                <w:sz w:val="24"/>
                <w:szCs w:val="24"/>
              </w:rPr>
              <w:t>ws</w:t>
            </w:r>
            <w:r w:rsidRPr="00C77D34">
              <w:rPr>
                <w:rFonts w:ascii="Times New Roman" w:hAnsi="Times New Roman" w:cs="Times New Roman"/>
                <w:i/>
                <w:kern w:val="0"/>
                <w:sz w:val="24"/>
                <w:szCs w:val="24"/>
              </w:rPr>
              <w:t>_Elder</w:t>
            </w:r>
            <w:proofErr w:type="spellEnd"/>
          </w:p>
        </w:tc>
        <w:tc>
          <w:tcPr>
            <w:tcW w:w="3685" w:type="pct"/>
          </w:tcPr>
          <w:p w14:paraId="3037029D"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Family business paternal in-law participation, i.e., the percentage of paternal in-laws of actual controllers in the director and supervisor teams of family businesses in that year.</w:t>
            </w:r>
          </w:p>
        </w:tc>
      </w:tr>
      <w:tr w:rsidR="00C77D34" w:rsidRPr="00C77D34" w14:paraId="037AC526" w14:textId="77777777" w:rsidTr="00BA201C">
        <w:trPr>
          <w:trHeight w:val="57"/>
        </w:trPr>
        <w:tc>
          <w:tcPr>
            <w:tcW w:w="1315" w:type="pct"/>
          </w:tcPr>
          <w:p w14:paraId="4FF17BD8"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hAnsi="Times New Roman" w:cs="Times New Roman"/>
                <w:i/>
                <w:kern w:val="0"/>
                <w:sz w:val="24"/>
                <w:szCs w:val="24"/>
              </w:rPr>
              <w:t>In-</w:t>
            </w:r>
            <w:proofErr w:type="spellStart"/>
            <w:r w:rsidRPr="00C77D34">
              <w:rPr>
                <w:rFonts w:ascii="Times New Roman" w:hAnsi="Times New Roman" w:cs="Times New Roman"/>
                <w:i/>
                <w:kern w:val="0"/>
                <w:sz w:val="24"/>
                <w:szCs w:val="24"/>
              </w:rPr>
              <w:t>laws_Compeer</w:t>
            </w:r>
            <w:proofErr w:type="spellEnd"/>
          </w:p>
        </w:tc>
        <w:tc>
          <w:tcPr>
            <w:tcW w:w="3685" w:type="pct"/>
          </w:tcPr>
          <w:p w14:paraId="7E28EF8C"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Family business peer in-law participation, i.e., the percentage of peer in-laws of the actual controller in the director and supervisor team of the family business in that year.</w:t>
            </w:r>
          </w:p>
        </w:tc>
      </w:tr>
      <w:tr w:rsidR="00C77D34" w:rsidRPr="00C77D34" w14:paraId="674679C8" w14:textId="77777777" w:rsidTr="00BA201C">
        <w:trPr>
          <w:trHeight w:val="57"/>
        </w:trPr>
        <w:tc>
          <w:tcPr>
            <w:tcW w:w="1315" w:type="pct"/>
          </w:tcPr>
          <w:p w14:paraId="17E9FCE0"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hAnsi="Times New Roman" w:cs="Times New Roman"/>
                <w:i/>
                <w:kern w:val="0"/>
                <w:sz w:val="24"/>
                <w:szCs w:val="24"/>
              </w:rPr>
              <w:t>In-</w:t>
            </w:r>
            <w:proofErr w:type="spellStart"/>
            <w:r w:rsidRPr="00C77D34">
              <w:rPr>
                <w:rFonts w:ascii="Times New Roman" w:hAnsi="Times New Roman" w:cs="Times New Roman"/>
                <w:i/>
                <w:kern w:val="0"/>
                <w:sz w:val="24"/>
                <w:szCs w:val="24"/>
              </w:rPr>
              <w:t>laws_Younger</w:t>
            </w:r>
            <w:proofErr w:type="spellEnd"/>
          </w:p>
        </w:tc>
        <w:tc>
          <w:tcPr>
            <w:tcW w:w="3685" w:type="pct"/>
          </w:tcPr>
          <w:p w14:paraId="0696EE74"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Family business descendant in-law participation, i.e., the percentage of descendant in-laws of the actual controller in the director and supervisor team of the family business in that year.</w:t>
            </w:r>
          </w:p>
        </w:tc>
      </w:tr>
      <w:tr w:rsidR="00C77D34" w:rsidRPr="00C77D34" w14:paraId="61E8D56D" w14:textId="77777777" w:rsidTr="00BA201C">
        <w:trPr>
          <w:trHeight w:val="57"/>
        </w:trPr>
        <w:tc>
          <w:tcPr>
            <w:tcW w:w="1315" w:type="pct"/>
          </w:tcPr>
          <w:p w14:paraId="15BADCDA" w14:textId="19D412CC" w:rsidR="00C77D34" w:rsidRPr="00C77D34" w:rsidRDefault="00AF65B8" w:rsidP="00BA201C">
            <w:pPr>
              <w:spacing w:line="276" w:lineRule="auto"/>
              <w:rPr>
                <w:rFonts w:ascii="Times New Roman" w:eastAsia="宋体" w:hAnsi="Times New Roman" w:cs="宋体"/>
                <w:i/>
                <w:iCs/>
                <w:color w:val="000000" w:themeColor="text1"/>
                <w:sz w:val="24"/>
                <w:szCs w:val="24"/>
              </w:rPr>
            </w:pPr>
            <w:r>
              <w:rPr>
                <w:rFonts w:ascii="Times New Roman" w:eastAsia="宋体" w:hAnsi="Times New Roman" w:cs="宋体" w:hint="eastAsia"/>
                <w:i/>
                <w:iCs/>
                <w:color w:val="000000" w:themeColor="text1"/>
                <w:sz w:val="24"/>
                <w:szCs w:val="24"/>
              </w:rPr>
              <w:t>AM</w:t>
            </w:r>
          </w:p>
        </w:tc>
        <w:tc>
          <w:tcPr>
            <w:tcW w:w="3685" w:type="pct"/>
          </w:tcPr>
          <w:p w14:paraId="3CB75FF4" w14:textId="2BFF8983"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 xml:space="preserve">The marriage section of the CFPS database surveys people in various provinces of China about </w:t>
            </w:r>
            <w:r w:rsidR="00AF65B8">
              <w:rPr>
                <w:rFonts w:ascii="Times New Roman" w:eastAsia="宋体" w:hAnsi="Times New Roman" w:cs="宋体" w:hint="eastAsia"/>
                <w:color w:val="000000" w:themeColor="text1"/>
                <w:sz w:val="24"/>
                <w:szCs w:val="24"/>
              </w:rPr>
              <w:t>arrange</w:t>
            </w:r>
            <w:r w:rsidRPr="00C77D34">
              <w:rPr>
                <w:rFonts w:ascii="Times New Roman" w:eastAsia="宋体" w:hAnsi="Times New Roman" w:cs="宋体" w:hint="eastAsia"/>
                <w:color w:val="000000" w:themeColor="text1"/>
                <w:sz w:val="24"/>
                <w:szCs w:val="24"/>
              </w:rPr>
              <w:t xml:space="preserve"> marriage concepts, calculated by the above method and obtained by matching the birth provinces of the company's de facto controllers.</w:t>
            </w:r>
          </w:p>
        </w:tc>
      </w:tr>
      <w:tr w:rsidR="00C77D34" w:rsidRPr="00C77D34" w14:paraId="16F265EB" w14:textId="77777777" w:rsidTr="00BA201C">
        <w:trPr>
          <w:trHeight w:val="57"/>
        </w:trPr>
        <w:tc>
          <w:tcPr>
            <w:tcW w:w="1315" w:type="pct"/>
          </w:tcPr>
          <w:p w14:paraId="3C50A2DF"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i/>
                <w:iCs/>
                <w:color w:val="000000" w:themeColor="text1"/>
                <w:sz w:val="24"/>
                <w:szCs w:val="24"/>
              </w:rPr>
              <w:t>DP</w:t>
            </w:r>
          </w:p>
        </w:tc>
        <w:tc>
          <w:tcPr>
            <w:tcW w:w="3685" w:type="pct"/>
          </w:tcPr>
          <w:p w14:paraId="7C850A8B"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In-laws involved in the family business in the current year are assigned a value of 1 for the presence of in-laws who have a childbearing family relationship with the de facto controller of the family business, and 0 otherwise.</w:t>
            </w:r>
          </w:p>
        </w:tc>
      </w:tr>
      <w:tr w:rsidR="00C77D34" w:rsidRPr="00C77D34" w14:paraId="7AAEA1B7" w14:textId="77777777" w:rsidTr="00BA201C">
        <w:trPr>
          <w:trHeight w:val="57"/>
        </w:trPr>
        <w:tc>
          <w:tcPr>
            <w:tcW w:w="1315" w:type="pct"/>
          </w:tcPr>
          <w:p w14:paraId="6C3C9FBE"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i/>
                <w:iCs/>
                <w:color w:val="000000" w:themeColor="text1"/>
                <w:sz w:val="24"/>
                <w:szCs w:val="24"/>
              </w:rPr>
              <w:t>CG</w:t>
            </w:r>
          </w:p>
        </w:tc>
        <w:tc>
          <w:tcPr>
            <w:tcW w:w="3685" w:type="pct"/>
          </w:tcPr>
          <w:p w14:paraId="6CC91EC7" w14:textId="77777777" w:rsidR="00C77D34" w:rsidRPr="00C77D34" w:rsidRDefault="00C77D34" w:rsidP="00BA201C">
            <w:pPr>
              <w:spacing w:line="276" w:lineRule="auto"/>
              <w:rPr>
                <w:rFonts w:ascii="Times New Roman" w:eastAsia="宋体" w:hAnsi="Times New Roman" w:cs="宋体"/>
                <w:color w:val="000000" w:themeColor="text1"/>
                <w:sz w:val="24"/>
                <w:szCs w:val="24"/>
                <w:highlight w:val="yellow"/>
              </w:rPr>
            </w:pPr>
            <w:r w:rsidRPr="00C77D34">
              <w:rPr>
                <w:rFonts w:ascii="Times New Roman" w:eastAsia="宋体" w:hAnsi="Times New Roman" w:cs="宋体" w:hint="eastAsia"/>
                <w:color w:val="000000" w:themeColor="text1"/>
                <w:sz w:val="24"/>
                <w:szCs w:val="24"/>
              </w:rPr>
              <w:t>The family business is currently in a period of inter-generational co-governance between father and son, assigned a value of 1, and 0 otherwise.</w:t>
            </w:r>
          </w:p>
        </w:tc>
      </w:tr>
      <w:tr w:rsidR="00C77D34" w:rsidRPr="00C77D34" w14:paraId="44111A33" w14:textId="77777777" w:rsidTr="00BA201C">
        <w:trPr>
          <w:trHeight w:val="57"/>
        </w:trPr>
        <w:tc>
          <w:tcPr>
            <w:tcW w:w="1315" w:type="pct"/>
          </w:tcPr>
          <w:p w14:paraId="187ED934"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hint="eastAsia"/>
                <w:i/>
                <w:iCs/>
                <w:color w:val="000000" w:themeColor="text1"/>
                <w:sz w:val="24"/>
                <w:szCs w:val="24"/>
              </w:rPr>
              <w:t>Size</w:t>
            </w:r>
          </w:p>
        </w:tc>
        <w:tc>
          <w:tcPr>
            <w:tcW w:w="3685" w:type="pct"/>
          </w:tcPr>
          <w:p w14:paraId="555F4CC6" w14:textId="77777777" w:rsidR="00C77D34" w:rsidRPr="00C77D34" w:rsidRDefault="00C77D34" w:rsidP="00BA201C">
            <w:pPr>
              <w:spacing w:line="276" w:lineRule="auto"/>
              <w:rPr>
                <w:rFonts w:ascii="Times New Roman" w:eastAsia="宋体" w:hAnsi="Times New Roman"/>
                <w:color w:val="000000" w:themeColor="text1"/>
                <w:sz w:val="24"/>
                <w:szCs w:val="24"/>
              </w:rPr>
            </w:pPr>
            <w:r w:rsidRPr="00C77D34">
              <w:rPr>
                <w:rFonts w:ascii="Times New Roman" w:eastAsia="宋体" w:hAnsi="Times New Roman" w:cs="宋体" w:hint="eastAsia"/>
                <w:color w:val="000000" w:themeColor="text1"/>
                <w:sz w:val="24"/>
                <w:szCs w:val="24"/>
              </w:rPr>
              <w:t>The natural logarithm of total assets at the end of the year.</w:t>
            </w:r>
          </w:p>
        </w:tc>
      </w:tr>
      <w:tr w:rsidR="00C77D34" w:rsidRPr="00C77D34" w14:paraId="512827F8" w14:textId="77777777" w:rsidTr="00BA201C">
        <w:trPr>
          <w:trHeight w:val="57"/>
        </w:trPr>
        <w:tc>
          <w:tcPr>
            <w:tcW w:w="1315" w:type="pct"/>
          </w:tcPr>
          <w:p w14:paraId="5F27014C"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hint="eastAsia"/>
                <w:i/>
                <w:iCs/>
                <w:color w:val="000000" w:themeColor="text1"/>
                <w:sz w:val="24"/>
                <w:szCs w:val="24"/>
              </w:rPr>
              <w:t>Lev</w:t>
            </w:r>
          </w:p>
        </w:tc>
        <w:tc>
          <w:tcPr>
            <w:tcW w:w="3685" w:type="pct"/>
          </w:tcPr>
          <w:p w14:paraId="7669BA97"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Total liabilities/total assets.</w:t>
            </w:r>
          </w:p>
        </w:tc>
      </w:tr>
      <w:tr w:rsidR="00C77D34" w:rsidRPr="00C77D34" w14:paraId="235EFEC7" w14:textId="77777777" w:rsidTr="00BA201C">
        <w:trPr>
          <w:trHeight w:val="57"/>
        </w:trPr>
        <w:tc>
          <w:tcPr>
            <w:tcW w:w="1315" w:type="pct"/>
          </w:tcPr>
          <w:p w14:paraId="0C922B57"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hint="eastAsia"/>
                <w:i/>
                <w:iCs/>
                <w:color w:val="000000" w:themeColor="text1"/>
                <w:sz w:val="24"/>
                <w:szCs w:val="24"/>
              </w:rPr>
              <w:t>R</w:t>
            </w:r>
            <w:r w:rsidRPr="00C77D34">
              <w:rPr>
                <w:rFonts w:ascii="Times New Roman" w:eastAsia="宋体" w:hAnsi="Times New Roman" w:cs="宋体"/>
                <w:i/>
                <w:iCs/>
                <w:color w:val="000000" w:themeColor="text1"/>
                <w:sz w:val="24"/>
                <w:szCs w:val="24"/>
              </w:rPr>
              <w:t>OA</w:t>
            </w:r>
          </w:p>
        </w:tc>
        <w:tc>
          <w:tcPr>
            <w:tcW w:w="3685" w:type="pct"/>
          </w:tcPr>
          <w:p w14:paraId="5E955EB4"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Net Profit/Total Assets Balance.</w:t>
            </w:r>
          </w:p>
        </w:tc>
      </w:tr>
      <w:tr w:rsidR="00C77D34" w:rsidRPr="00C77D34" w14:paraId="5D6E60C1" w14:textId="77777777" w:rsidTr="00BA201C">
        <w:trPr>
          <w:trHeight w:val="57"/>
        </w:trPr>
        <w:tc>
          <w:tcPr>
            <w:tcW w:w="1315" w:type="pct"/>
          </w:tcPr>
          <w:p w14:paraId="0E60D48A"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hint="eastAsia"/>
                <w:i/>
                <w:iCs/>
                <w:color w:val="000000" w:themeColor="text1"/>
                <w:sz w:val="24"/>
                <w:szCs w:val="24"/>
              </w:rPr>
              <w:t>A</w:t>
            </w:r>
            <w:r w:rsidRPr="00C77D34">
              <w:rPr>
                <w:rFonts w:ascii="Times New Roman" w:eastAsia="宋体" w:hAnsi="Times New Roman" w:cs="宋体"/>
                <w:i/>
                <w:iCs/>
                <w:color w:val="000000" w:themeColor="text1"/>
                <w:sz w:val="24"/>
                <w:szCs w:val="24"/>
              </w:rPr>
              <w:t>ge</w:t>
            </w:r>
          </w:p>
        </w:tc>
        <w:tc>
          <w:tcPr>
            <w:tcW w:w="3685" w:type="pct"/>
          </w:tcPr>
          <w:p w14:paraId="33C6671C"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The natural logarithm of the number of years the company has been in existence.</w:t>
            </w:r>
          </w:p>
        </w:tc>
      </w:tr>
      <w:tr w:rsidR="00C77D34" w:rsidRPr="00C77D34" w14:paraId="5E3FDA70" w14:textId="77777777" w:rsidTr="00BA201C">
        <w:trPr>
          <w:trHeight w:val="57"/>
        </w:trPr>
        <w:tc>
          <w:tcPr>
            <w:tcW w:w="1315" w:type="pct"/>
          </w:tcPr>
          <w:p w14:paraId="6E82C62B"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hint="eastAsia"/>
                <w:i/>
                <w:iCs/>
                <w:color w:val="000000" w:themeColor="text1"/>
                <w:sz w:val="24"/>
                <w:szCs w:val="24"/>
              </w:rPr>
              <w:lastRenderedPageBreak/>
              <w:t>Loss</w:t>
            </w:r>
          </w:p>
        </w:tc>
        <w:tc>
          <w:tcPr>
            <w:tcW w:w="3685" w:type="pct"/>
          </w:tcPr>
          <w:p w14:paraId="29F95BB4"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It is 1 if the company has a loss for the year and 0 otherwise.</w:t>
            </w:r>
          </w:p>
        </w:tc>
      </w:tr>
      <w:tr w:rsidR="00C77D34" w:rsidRPr="00C77D34" w14:paraId="79CB29A9" w14:textId="77777777" w:rsidTr="00BA201C">
        <w:trPr>
          <w:trHeight w:val="57"/>
        </w:trPr>
        <w:tc>
          <w:tcPr>
            <w:tcW w:w="1315" w:type="pct"/>
          </w:tcPr>
          <w:p w14:paraId="52ABD08E"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proofErr w:type="spellStart"/>
            <w:r w:rsidRPr="00C77D34">
              <w:rPr>
                <w:rFonts w:ascii="Times New Roman" w:eastAsia="宋体" w:hAnsi="Times New Roman" w:cs="宋体" w:hint="eastAsia"/>
                <w:i/>
                <w:iCs/>
                <w:color w:val="000000" w:themeColor="text1"/>
                <w:sz w:val="24"/>
                <w:szCs w:val="24"/>
              </w:rPr>
              <w:t>I</w:t>
            </w:r>
            <w:r w:rsidRPr="00C77D34">
              <w:rPr>
                <w:rFonts w:ascii="Times New Roman" w:eastAsia="宋体" w:hAnsi="Times New Roman" w:cs="宋体"/>
                <w:i/>
                <w:iCs/>
                <w:color w:val="000000" w:themeColor="text1"/>
                <w:sz w:val="24"/>
                <w:szCs w:val="24"/>
              </w:rPr>
              <w:t>n</w:t>
            </w:r>
            <w:r w:rsidRPr="00C77D34">
              <w:rPr>
                <w:rFonts w:ascii="Times New Roman" w:eastAsia="宋体" w:hAnsi="Times New Roman" w:cs="宋体" w:hint="eastAsia"/>
                <w:i/>
                <w:iCs/>
                <w:color w:val="000000" w:themeColor="text1"/>
                <w:sz w:val="24"/>
                <w:szCs w:val="24"/>
              </w:rPr>
              <w:t>dep</w:t>
            </w:r>
            <w:proofErr w:type="spellEnd"/>
          </w:p>
        </w:tc>
        <w:tc>
          <w:tcPr>
            <w:tcW w:w="3685" w:type="pct"/>
          </w:tcPr>
          <w:p w14:paraId="246CB792"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The number of independent directors of the company as a percentage of the number of directors on the board.</w:t>
            </w:r>
          </w:p>
        </w:tc>
      </w:tr>
      <w:tr w:rsidR="00C77D34" w:rsidRPr="00C77D34" w14:paraId="541BDFD1" w14:textId="77777777" w:rsidTr="00BA201C">
        <w:trPr>
          <w:trHeight w:val="57"/>
        </w:trPr>
        <w:tc>
          <w:tcPr>
            <w:tcW w:w="1315" w:type="pct"/>
          </w:tcPr>
          <w:p w14:paraId="020A3F7F"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i/>
                <w:iCs/>
                <w:color w:val="000000" w:themeColor="text1"/>
                <w:sz w:val="24"/>
                <w:szCs w:val="24"/>
              </w:rPr>
              <w:t>Founder</w:t>
            </w:r>
          </w:p>
        </w:tc>
        <w:tc>
          <w:tcPr>
            <w:tcW w:w="3685" w:type="pct"/>
          </w:tcPr>
          <w:p w14:paraId="5E328B6E"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Whether the founder of the company was in office during the year, in office takes the value of 1, otherwise 0.</w:t>
            </w:r>
          </w:p>
        </w:tc>
      </w:tr>
      <w:tr w:rsidR="00C77D34" w:rsidRPr="00C77D34" w14:paraId="5D3295D8" w14:textId="77777777" w:rsidTr="00BA201C">
        <w:trPr>
          <w:trHeight w:val="57"/>
        </w:trPr>
        <w:tc>
          <w:tcPr>
            <w:tcW w:w="1315" w:type="pct"/>
          </w:tcPr>
          <w:p w14:paraId="4C663223"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hint="eastAsia"/>
                <w:i/>
                <w:iCs/>
                <w:color w:val="000000" w:themeColor="text1"/>
                <w:sz w:val="24"/>
                <w:szCs w:val="24"/>
              </w:rPr>
              <w:t>F</w:t>
            </w:r>
            <w:r w:rsidRPr="00C77D34">
              <w:rPr>
                <w:rFonts w:ascii="Times New Roman" w:eastAsia="宋体" w:hAnsi="Times New Roman" w:cs="宋体"/>
                <w:i/>
                <w:iCs/>
                <w:color w:val="000000" w:themeColor="text1"/>
                <w:sz w:val="24"/>
                <w:szCs w:val="24"/>
              </w:rPr>
              <w:t>ND</w:t>
            </w:r>
          </w:p>
        </w:tc>
        <w:tc>
          <w:tcPr>
            <w:tcW w:w="3685" w:type="pct"/>
          </w:tcPr>
          <w:p w14:paraId="079E410F"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Company founders are 2 for multiple founders, 1 for a single founder, and 0 for no founder.</w:t>
            </w:r>
          </w:p>
        </w:tc>
      </w:tr>
      <w:tr w:rsidR="00C77D34" w:rsidRPr="00C77D34" w14:paraId="697EF33F" w14:textId="77777777" w:rsidTr="00BA201C">
        <w:trPr>
          <w:trHeight w:val="57"/>
        </w:trPr>
        <w:tc>
          <w:tcPr>
            <w:tcW w:w="1315" w:type="pct"/>
          </w:tcPr>
          <w:p w14:paraId="78AB5E8D"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i/>
                <w:iCs/>
                <w:color w:val="000000" w:themeColor="text1"/>
                <w:sz w:val="24"/>
                <w:szCs w:val="24"/>
              </w:rPr>
              <w:t>Children</w:t>
            </w:r>
          </w:p>
        </w:tc>
        <w:tc>
          <w:tcPr>
            <w:tcW w:w="3685" w:type="pct"/>
          </w:tcPr>
          <w:p w14:paraId="61573451"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Number of children of the company's de facto controller.</w:t>
            </w:r>
          </w:p>
        </w:tc>
      </w:tr>
      <w:tr w:rsidR="00C77D34" w:rsidRPr="00C77D34" w14:paraId="783BF297" w14:textId="77777777" w:rsidTr="00BA201C">
        <w:trPr>
          <w:trHeight w:val="57"/>
        </w:trPr>
        <w:tc>
          <w:tcPr>
            <w:tcW w:w="1315" w:type="pct"/>
          </w:tcPr>
          <w:p w14:paraId="4646A056"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hint="eastAsia"/>
                <w:i/>
                <w:iCs/>
                <w:color w:val="000000" w:themeColor="text1"/>
                <w:sz w:val="24"/>
                <w:szCs w:val="24"/>
              </w:rPr>
              <w:t>Staff</w:t>
            </w:r>
          </w:p>
        </w:tc>
        <w:tc>
          <w:tcPr>
            <w:tcW w:w="3685" w:type="pct"/>
          </w:tcPr>
          <w:p w14:paraId="1E81E507"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The natural logarithm of the number of employees of the Company during the year.</w:t>
            </w:r>
          </w:p>
        </w:tc>
      </w:tr>
      <w:tr w:rsidR="00C77D34" w:rsidRPr="00C77D34" w14:paraId="2C094CD4" w14:textId="77777777" w:rsidTr="00BA201C">
        <w:trPr>
          <w:trHeight w:val="57"/>
        </w:trPr>
        <w:tc>
          <w:tcPr>
            <w:tcW w:w="1315" w:type="pct"/>
          </w:tcPr>
          <w:p w14:paraId="2ED67BC6"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hint="eastAsia"/>
                <w:i/>
                <w:iCs/>
                <w:color w:val="000000" w:themeColor="text1"/>
                <w:sz w:val="24"/>
                <w:szCs w:val="24"/>
              </w:rPr>
              <w:t>A</w:t>
            </w:r>
            <w:r w:rsidRPr="00C77D34">
              <w:rPr>
                <w:rFonts w:ascii="Times New Roman" w:eastAsia="宋体" w:hAnsi="Times New Roman" w:cs="宋体"/>
                <w:i/>
                <w:iCs/>
                <w:color w:val="000000" w:themeColor="text1"/>
                <w:sz w:val="24"/>
                <w:szCs w:val="24"/>
              </w:rPr>
              <w:t>AM</w:t>
            </w:r>
          </w:p>
        </w:tc>
        <w:tc>
          <w:tcPr>
            <w:tcW w:w="3685" w:type="pct"/>
          </w:tcPr>
          <w:p w14:paraId="75572A93"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The natural logarithm of the average age of the company's management.</w:t>
            </w:r>
          </w:p>
        </w:tc>
      </w:tr>
      <w:tr w:rsidR="00C77D34" w:rsidRPr="00C77D34" w14:paraId="4CFC1047" w14:textId="77777777" w:rsidTr="00BA201C">
        <w:trPr>
          <w:trHeight w:val="57"/>
        </w:trPr>
        <w:tc>
          <w:tcPr>
            <w:tcW w:w="1315" w:type="pct"/>
          </w:tcPr>
          <w:p w14:paraId="7BD52B91"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i/>
                <w:iCs/>
                <w:color w:val="000000" w:themeColor="text1"/>
                <w:sz w:val="24"/>
                <w:szCs w:val="24"/>
              </w:rPr>
              <w:t>Religious</w:t>
            </w:r>
          </w:p>
        </w:tc>
        <w:tc>
          <w:tcPr>
            <w:tcW w:w="3685" w:type="pct"/>
          </w:tcPr>
          <w:p w14:paraId="3BF54F9D"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The natural logarithm of the number of Buddhist temples in the area where the company is located.</w:t>
            </w:r>
          </w:p>
        </w:tc>
      </w:tr>
      <w:tr w:rsidR="00C77D34" w:rsidRPr="00C77D34" w14:paraId="09F19552" w14:textId="77777777" w:rsidTr="00BA201C">
        <w:trPr>
          <w:trHeight w:val="57"/>
        </w:trPr>
        <w:tc>
          <w:tcPr>
            <w:tcW w:w="1315" w:type="pct"/>
          </w:tcPr>
          <w:p w14:paraId="7D095040"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hint="eastAsia"/>
                <w:i/>
                <w:iCs/>
                <w:color w:val="000000" w:themeColor="text1"/>
                <w:sz w:val="24"/>
                <w:szCs w:val="24"/>
              </w:rPr>
              <w:t>C</w:t>
            </w:r>
            <w:r w:rsidRPr="00C77D34">
              <w:rPr>
                <w:rFonts w:ascii="Times New Roman" w:eastAsia="宋体" w:hAnsi="Times New Roman" w:cs="宋体"/>
                <w:i/>
                <w:iCs/>
                <w:color w:val="000000" w:themeColor="text1"/>
                <w:sz w:val="24"/>
                <w:szCs w:val="24"/>
              </w:rPr>
              <w:t>lan</w:t>
            </w:r>
          </w:p>
        </w:tc>
        <w:tc>
          <w:tcPr>
            <w:tcW w:w="3685" w:type="pct"/>
          </w:tcPr>
          <w:p w14:paraId="6958ACFF"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color w:val="000000" w:themeColor="text1"/>
                <w:sz w:val="24"/>
                <w:szCs w:val="24"/>
              </w:rPr>
              <w:t>T</w:t>
            </w:r>
            <w:r w:rsidRPr="00C77D34">
              <w:rPr>
                <w:rFonts w:ascii="Times New Roman" w:eastAsia="宋体" w:hAnsi="Times New Roman" w:cs="宋体" w:hint="eastAsia"/>
                <w:color w:val="000000" w:themeColor="text1"/>
                <w:sz w:val="24"/>
                <w:szCs w:val="24"/>
              </w:rPr>
              <w:t xml:space="preserve">he number of genealogies per million people within the birth region of the de facto controller is used and </w:t>
            </w:r>
            <w:proofErr w:type="spellStart"/>
            <w:r w:rsidRPr="00C77D34">
              <w:rPr>
                <w:rFonts w:ascii="Times New Roman" w:eastAsia="宋体" w:hAnsi="Times New Roman" w:cs="宋体" w:hint="eastAsia"/>
                <w:color w:val="000000" w:themeColor="text1"/>
                <w:sz w:val="24"/>
                <w:szCs w:val="24"/>
              </w:rPr>
              <w:t>standardised</w:t>
            </w:r>
            <w:proofErr w:type="spellEnd"/>
            <w:r w:rsidRPr="00C77D34">
              <w:rPr>
                <w:rFonts w:ascii="Times New Roman" w:eastAsia="宋体" w:hAnsi="Times New Roman" w:cs="宋体" w:hint="eastAsia"/>
                <w:color w:val="000000" w:themeColor="text1"/>
                <w:sz w:val="24"/>
                <w:szCs w:val="24"/>
              </w:rPr>
              <w:t>.</w:t>
            </w:r>
          </w:p>
        </w:tc>
      </w:tr>
      <w:tr w:rsidR="00C77D34" w:rsidRPr="00C77D34" w14:paraId="435F41E9" w14:textId="77777777" w:rsidTr="00BA201C">
        <w:trPr>
          <w:trHeight w:val="57"/>
        </w:trPr>
        <w:tc>
          <w:tcPr>
            <w:tcW w:w="1315" w:type="pct"/>
          </w:tcPr>
          <w:p w14:paraId="13FA26BC"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i/>
                <w:iCs/>
                <w:color w:val="000000" w:themeColor="text1"/>
                <w:sz w:val="24"/>
                <w:szCs w:val="24"/>
              </w:rPr>
              <w:t>Merchant</w:t>
            </w:r>
          </w:p>
        </w:tc>
        <w:tc>
          <w:tcPr>
            <w:tcW w:w="3685" w:type="pct"/>
          </w:tcPr>
          <w:p w14:paraId="7EACB9C2"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The natural logarithm of the number of chambers of commerce in the area where the company is located.</w:t>
            </w:r>
          </w:p>
        </w:tc>
      </w:tr>
      <w:tr w:rsidR="00C77D34" w:rsidRPr="00C77D34" w14:paraId="320C462B" w14:textId="77777777" w:rsidTr="00BA201C">
        <w:trPr>
          <w:trHeight w:val="57"/>
        </w:trPr>
        <w:tc>
          <w:tcPr>
            <w:tcW w:w="1315" w:type="pct"/>
          </w:tcPr>
          <w:p w14:paraId="387059FE"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i/>
                <w:iCs/>
                <w:color w:val="000000" w:themeColor="text1"/>
                <w:sz w:val="24"/>
                <w:szCs w:val="24"/>
              </w:rPr>
              <w:t>Confucian</w:t>
            </w:r>
          </w:p>
        </w:tc>
        <w:tc>
          <w:tcPr>
            <w:tcW w:w="3685" w:type="pct"/>
          </w:tcPr>
          <w:p w14:paraId="493930A7"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The natural logarithm of the number of Confucian academies within 200 km of the company's location.</w:t>
            </w:r>
          </w:p>
        </w:tc>
      </w:tr>
      <w:tr w:rsidR="00C77D34" w:rsidRPr="00C77D34" w14:paraId="1B532229" w14:textId="77777777" w:rsidTr="00BA201C">
        <w:trPr>
          <w:trHeight w:val="57"/>
        </w:trPr>
        <w:tc>
          <w:tcPr>
            <w:tcW w:w="1315" w:type="pct"/>
          </w:tcPr>
          <w:p w14:paraId="1BECAEBF"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hint="eastAsia"/>
                <w:i/>
                <w:iCs/>
                <w:color w:val="000000" w:themeColor="text1"/>
                <w:sz w:val="24"/>
                <w:szCs w:val="24"/>
              </w:rPr>
              <w:t>D</w:t>
            </w:r>
            <w:r w:rsidRPr="00C77D34">
              <w:rPr>
                <w:rFonts w:ascii="Times New Roman" w:eastAsia="宋体" w:hAnsi="Times New Roman" w:cs="宋体"/>
                <w:i/>
                <w:iCs/>
                <w:color w:val="000000" w:themeColor="text1"/>
                <w:sz w:val="24"/>
                <w:szCs w:val="24"/>
              </w:rPr>
              <w:t>ialect</w:t>
            </w:r>
          </w:p>
        </w:tc>
        <w:tc>
          <w:tcPr>
            <w:tcW w:w="3685" w:type="pct"/>
          </w:tcPr>
          <w:p w14:paraId="61F8A808"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The number of dialects in the area where the company is located.</w:t>
            </w:r>
          </w:p>
        </w:tc>
      </w:tr>
      <w:tr w:rsidR="00C77D34" w:rsidRPr="00C77D34" w14:paraId="22CAEFA1" w14:textId="77777777" w:rsidTr="00BA201C">
        <w:trPr>
          <w:trHeight w:val="57"/>
        </w:trPr>
        <w:tc>
          <w:tcPr>
            <w:tcW w:w="1315" w:type="pct"/>
          </w:tcPr>
          <w:p w14:paraId="5F523DE8"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hint="eastAsia"/>
                <w:i/>
                <w:iCs/>
                <w:color w:val="000000" w:themeColor="text1"/>
                <w:sz w:val="24"/>
                <w:szCs w:val="24"/>
              </w:rPr>
              <w:t>P</w:t>
            </w:r>
            <w:r w:rsidRPr="00C77D34">
              <w:rPr>
                <w:rFonts w:ascii="Times New Roman" w:eastAsia="宋体" w:hAnsi="Times New Roman" w:cs="宋体"/>
                <w:i/>
                <w:iCs/>
                <w:color w:val="000000" w:themeColor="text1"/>
                <w:sz w:val="24"/>
                <w:szCs w:val="24"/>
              </w:rPr>
              <w:t>GR</w:t>
            </w:r>
          </w:p>
        </w:tc>
        <w:tc>
          <w:tcPr>
            <w:tcW w:w="3685" w:type="pct"/>
          </w:tcPr>
          <w:p w14:paraId="711DE444"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Population growth rate of the region in which the company is located.</w:t>
            </w:r>
          </w:p>
        </w:tc>
      </w:tr>
      <w:tr w:rsidR="00C77D34" w:rsidRPr="00C77D34" w14:paraId="50CF0470" w14:textId="77777777" w:rsidTr="00BA201C">
        <w:trPr>
          <w:trHeight w:val="57"/>
        </w:trPr>
        <w:tc>
          <w:tcPr>
            <w:tcW w:w="1315" w:type="pct"/>
          </w:tcPr>
          <w:p w14:paraId="5E57AEC1" w14:textId="77777777" w:rsidR="00C77D34" w:rsidRPr="00C77D34" w:rsidRDefault="00C77D34" w:rsidP="00BA201C">
            <w:pPr>
              <w:spacing w:line="276" w:lineRule="auto"/>
              <w:rPr>
                <w:rFonts w:ascii="Times New Roman" w:eastAsia="宋体" w:hAnsi="Times New Roman" w:cs="宋体"/>
                <w:i/>
                <w:iCs/>
                <w:color w:val="000000" w:themeColor="text1"/>
                <w:sz w:val="24"/>
                <w:szCs w:val="24"/>
              </w:rPr>
            </w:pPr>
            <w:r w:rsidRPr="00C77D34">
              <w:rPr>
                <w:rFonts w:ascii="Times New Roman" w:eastAsia="宋体" w:hAnsi="Times New Roman" w:cs="宋体" w:hint="eastAsia"/>
                <w:i/>
                <w:iCs/>
                <w:color w:val="000000" w:themeColor="text1"/>
                <w:sz w:val="24"/>
                <w:szCs w:val="24"/>
              </w:rPr>
              <w:t>G</w:t>
            </w:r>
            <w:r w:rsidRPr="00C77D34">
              <w:rPr>
                <w:rFonts w:ascii="Times New Roman" w:eastAsia="宋体" w:hAnsi="Times New Roman" w:cs="宋体"/>
                <w:i/>
                <w:iCs/>
                <w:color w:val="000000" w:themeColor="text1"/>
                <w:sz w:val="24"/>
                <w:szCs w:val="24"/>
              </w:rPr>
              <w:t>ender</w:t>
            </w:r>
            <w:r w:rsidRPr="00C77D34">
              <w:rPr>
                <w:rFonts w:ascii="Times New Roman" w:eastAsia="宋体" w:hAnsi="Times New Roman" w:cs="宋体" w:hint="eastAsia"/>
                <w:i/>
                <w:iCs/>
                <w:color w:val="000000" w:themeColor="text1"/>
                <w:sz w:val="24"/>
                <w:szCs w:val="24"/>
              </w:rPr>
              <w:t xml:space="preserve"> </w:t>
            </w:r>
            <w:r w:rsidRPr="00C77D34">
              <w:rPr>
                <w:rFonts w:ascii="Times New Roman" w:eastAsia="宋体" w:hAnsi="Times New Roman" w:cs="宋体"/>
                <w:i/>
                <w:iCs/>
                <w:color w:val="000000" w:themeColor="text1"/>
                <w:sz w:val="24"/>
                <w:szCs w:val="24"/>
              </w:rPr>
              <w:t>Ratio</w:t>
            </w:r>
          </w:p>
        </w:tc>
        <w:tc>
          <w:tcPr>
            <w:tcW w:w="3685" w:type="pct"/>
          </w:tcPr>
          <w:p w14:paraId="64D815F3" w14:textId="77777777" w:rsidR="00C77D34" w:rsidRPr="00C77D34" w:rsidRDefault="00C77D34" w:rsidP="00BA201C">
            <w:pPr>
              <w:spacing w:line="276" w:lineRule="auto"/>
              <w:rPr>
                <w:rFonts w:ascii="Times New Roman" w:eastAsia="宋体" w:hAnsi="Times New Roman" w:cs="宋体"/>
                <w:color w:val="000000" w:themeColor="text1"/>
                <w:sz w:val="24"/>
                <w:szCs w:val="24"/>
              </w:rPr>
            </w:pPr>
            <w:r w:rsidRPr="00C77D34">
              <w:rPr>
                <w:rFonts w:ascii="Times New Roman" w:eastAsia="宋体" w:hAnsi="Times New Roman" w:cs="宋体" w:hint="eastAsia"/>
                <w:color w:val="000000" w:themeColor="text1"/>
                <w:sz w:val="24"/>
                <w:szCs w:val="24"/>
              </w:rPr>
              <w:t>Gender ratio of men and women in the area where the company is located.</w:t>
            </w:r>
          </w:p>
        </w:tc>
      </w:tr>
    </w:tbl>
    <w:bookmarkEnd w:id="1"/>
    <w:p w14:paraId="67840A75" w14:textId="31C4784B" w:rsidR="00C77D34" w:rsidRPr="00C77D34" w:rsidRDefault="00C77D34" w:rsidP="005C5F76">
      <w:pPr>
        <w:pStyle w:val="a7"/>
        <w:spacing w:line="480" w:lineRule="auto"/>
        <w:ind w:firstLineChars="0" w:firstLine="0"/>
        <w:rPr>
          <w:rFonts w:ascii="Times New Roman" w:hAnsi="Times New Roman" w:cs="Times New Roman"/>
          <w:sz w:val="24"/>
          <w:szCs w:val="24"/>
        </w:rPr>
      </w:pPr>
      <w:r w:rsidRPr="005C5F76">
        <w:rPr>
          <w:rFonts w:ascii="Times New Roman" w:hAnsi="Times New Roman" w:cs="Times New Roman"/>
          <w:b/>
          <w:bCs/>
          <w:sz w:val="24"/>
          <w:szCs w:val="24"/>
        </w:rPr>
        <w:t xml:space="preserve">Appendix </w:t>
      </w:r>
      <w:r>
        <w:rPr>
          <w:rFonts w:ascii="Times New Roman" w:hAnsi="Times New Roman" w:cs="Times New Roman"/>
          <w:b/>
          <w:bCs/>
          <w:sz w:val="24"/>
          <w:szCs w:val="24"/>
        </w:rPr>
        <w:t>2</w:t>
      </w:r>
      <w:r w:rsidRPr="005C5F76">
        <w:rPr>
          <w:rFonts w:ascii="Times New Roman" w:hAnsi="Times New Roman" w:cs="Times New Roman"/>
          <w:b/>
          <w:bCs/>
          <w:sz w:val="24"/>
          <w:szCs w:val="24"/>
        </w:rPr>
        <w:t>:</w:t>
      </w:r>
      <w:r w:rsidRPr="005C5F76">
        <w:rPr>
          <w:rFonts w:ascii="Times New Roman" w:hAnsi="Times New Roman" w:cs="Times New Roman"/>
          <w:sz w:val="24"/>
          <w:szCs w:val="24"/>
        </w:rPr>
        <w:t xml:space="preserve"> </w:t>
      </w:r>
    </w:p>
    <w:p w14:paraId="1720BB11" w14:textId="1BD920FF" w:rsidR="00CE40CD" w:rsidRDefault="005C5F76" w:rsidP="005C5F76">
      <w:pPr>
        <w:pStyle w:val="a7"/>
        <w:spacing w:line="480" w:lineRule="auto"/>
        <w:ind w:firstLine="480"/>
        <w:rPr>
          <w:rFonts w:ascii="Times New Roman" w:hAnsi="Times New Roman" w:cs="Times New Roman"/>
          <w:sz w:val="24"/>
          <w:szCs w:val="24"/>
        </w:rPr>
      </w:pPr>
      <w:r w:rsidRPr="005C5F76">
        <w:rPr>
          <w:rFonts w:ascii="Times New Roman" w:hAnsi="Times New Roman" w:cs="Times New Roman"/>
          <w:sz w:val="24"/>
          <w:szCs w:val="24"/>
        </w:rPr>
        <w:t xml:space="preserve">the question on the concept of marriage is "How do you know your spouse/partner". Respondents' responses to this question included "Arranged by parents", "introduced through the Internet", "introduced by a matchmaking agency", "introduced by friends", "known by myself at workplace", "known by myself at residence place", "known by myself at other places", "known by myself at school", and "other ways". In this research, we think that the traditional marriage culture emphasizes "the order of parents and the </w:t>
      </w:r>
      <w:r w:rsidRPr="005C5F76">
        <w:rPr>
          <w:rFonts w:ascii="Times New Roman" w:hAnsi="Times New Roman" w:cs="Times New Roman"/>
          <w:sz w:val="24"/>
          <w:szCs w:val="24"/>
        </w:rPr>
        <w:lastRenderedPageBreak/>
        <w:t>words of matchmakers", and the answer of "Arranged by parents" may be more in line with this criterion.</w:t>
      </w:r>
    </w:p>
    <w:p w14:paraId="6D0AADD4" w14:textId="4AB2D8AE" w:rsidR="00D64CD2" w:rsidRPr="00D64CD2" w:rsidRDefault="00D64CD2" w:rsidP="005C5F76">
      <w:pPr>
        <w:pStyle w:val="a7"/>
        <w:spacing w:line="480" w:lineRule="auto"/>
        <w:ind w:firstLine="480"/>
        <w:rPr>
          <w:rFonts w:ascii="Times New Roman" w:hAnsi="Times New Roman" w:cs="Times New Roman"/>
          <w:sz w:val="24"/>
          <w:szCs w:val="24"/>
        </w:rPr>
      </w:pPr>
      <w:r w:rsidRPr="00EB5E04">
        <w:rPr>
          <w:rFonts w:ascii="Times New Roman" w:eastAsia="宋体" w:hAnsi="Times New Roman" w:cs="Times New Roman"/>
          <w:sz w:val="24"/>
        </w:rPr>
        <w:t>The</w:t>
      </w:r>
      <w:r w:rsidR="005E34E7">
        <w:rPr>
          <w:rFonts w:ascii="Times New Roman" w:eastAsia="宋体" w:hAnsi="Times New Roman" w:cs="Times New Roman"/>
          <w:sz w:val="24"/>
        </w:rPr>
        <w:t xml:space="preserve"> CFPS (</w:t>
      </w:r>
      <w:r w:rsidR="005E34E7" w:rsidRPr="005E34E7">
        <w:rPr>
          <w:rFonts w:ascii="Times New Roman" w:eastAsia="宋体" w:hAnsi="Times New Roman" w:cs="Times New Roman"/>
          <w:sz w:val="24"/>
        </w:rPr>
        <w:t>China Family Panel Studies</w:t>
      </w:r>
      <w:r w:rsidR="005E34E7">
        <w:rPr>
          <w:rFonts w:ascii="Times New Roman" w:eastAsia="宋体" w:hAnsi="Times New Roman" w:cs="Times New Roman"/>
          <w:sz w:val="24"/>
        </w:rPr>
        <w:t>)</w:t>
      </w:r>
      <w:r w:rsidRPr="00EB5E04">
        <w:rPr>
          <w:rFonts w:ascii="Times New Roman" w:eastAsia="宋体" w:hAnsi="Times New Roman" w:cs="Times New Roman"/>
          <w:sz w:val="24"/>
        </w:rPr>
        <w:t xml:space="preserve"> data </w:t>
      </w:r>
      <w:r w:rsidRPr="00EB5E04">
        <w:rPr>
          <w:rFonts w:ascii="Times New Roman" w:eastAsia="宋体" w:hAnsi="Times New Roman" w:cs="Times New Roman" w:hint="eastAsia"/>
          <w:sz w:val="24"/>
        </w:rPr>
        <w:t>from the</w:t>
      </w:r>
      <w:r w:rsidRPr="00EB5E04">
        <w:rPr>
          <w:rFonts w:ascii="Times New Roman" w:eastAsia="宋体" w:hAnsi="Times New Roman" w:cs="Times New Roman"/>
          <w:sz w:val="24"/>
        </w:rPr>
        <w:t xml:space="preserve"> questionnaire</w:t>
      </w:r>
      <w:r w:rsidRPr="00EB5E04">
        <w:rPr>
          <w:rFonts w:ascii="Times New Roman" w:eastAsia="宋体" w:hAnsi="Times New Roman" w:cs="Times New Roman" w:hint="eastAsia"/>
          <w:sz w:val="24"/>
        </w:rPr>
        <w:t xml:space="preserve"> included </w:t>
      </w:r>
      <w:r w:rsidRPr="00EB5E04">
        <w:rPr>
          <w:rFonts w:ascii="Times New Roman" w:eastAsia="宋体" w:hAnsi="Times New Roman" w:cs="Times New Roman"/>
          <w:sz w:val="24"/>
        </w:rPr>
        <w:t xml:space="preserve">31 provinces, autonomous regions and municipalities directly under the central government in China, and the data interval is relatively continuous. </w:t>
      </w:r>
      <w:r w:rsidRPr="00EB5E04">
        <w:rPr>
          <w:rFonts w:ascii="Times New Roman" w:eastAsia="宋体" w:hAnsi="Times New Roman" w:cs="Times New Roman" w:hint="eastAsia"/>
          <w:sz w:val="24"/>
        </w:rPr>
        <w:t>At the present time</w:t>
      </w:r>
      <w:r w:rsidRPr="00EB5E04">
        <w:rPr>
          <w:rFonts w:ascii="Times New Roman" w:eastAsia="宋体" w:hAnsi="Times New Roman" w:cs="Times New Roman"/>
          <w:sz w:val="24"/>
        </w:rPr>
        <w:t xml:space="preserve">, the CFPS database has published six micro-data questionnaires in the year of 2010, 2012, 2014, 2016, 2018 and 2020. This </w:t>
      </w:r>
      <w:r w:rsidRPr="00EB5E04">
        <w:rPr>
          <w:rFonts w:ascii="Times New Roman" w:eastAsia="宋体" w:hAnsi="Times New Roman" w:cs="Times New Roman" w:hint="eastAsia"/>
          <w:sz w:val="24"/>
        </w:rPr>
        <w:t>research</w:t>
      </w:r>
      <w:r w:rsidRPr="00EB5E04">
        <w:rPr>
          <w:rFonts w:ascii="Times New Roman" w:eastAsia="宋体" w:hAnsi="Times New Roman" w:cs="Times New Roman"/>
          <w:sz w:val="24"/>
        </w:rPr>
        <w:t xml:space="preserve"> argues that changes in the concept of marriage and marital status will be affected by the composition, institutions and cultural concepts of society, and that traditional Chinese culture has gone through an uninterrupted development process for up to thousands of years, and that as children of China still maintain their traditional concepts, the concept of marriage is also so deep-rooted. Considering that the concept of marriage will remain relatively stable for a period of time, and there is no significant impact of national institutions, social policies and other cultural concepts on the national marriage policy during the sample period. Therefore, we chose 2010 data to measure the concept of marriage in 2009 (the previous year), and by analogy, the traditional concept of marriage in 2011, 2013, 2015, 2017 and 2019 were measured using 2012, 2014, 2016, 2018 and 2020 data, respectively, 2016, 2018 &amp; 2020 data to replace them respectively.</w:t>
      </w:r>
    </w:p>
    <w:p w14:paraId="0E5EA2D7" w14:textId="2D70D809" w:rsidR="005C5F76" w:rsidRDefault="005C5F76" w:rsidP="005C5F76">
      <w:pPr>
        <w:pStyle w:val="a7"/>
        <w:spacing w:line="480" w:lineRule="auto"/>
        <w:ind w:firstLineChars="0" w:firstLine="0"/>
        <w:rPr>
          <w:rFonts w:ascii="Times New Roman" w:eastAsia="宋体" w:hAnsi="Times New Roman" w:cs="Times New Roman"/>
          <w:b/>
          <w:bCs/>
          <w:sz w:val="24"/>
          <w:szCs w:val="24"/>
        </w:rPr>
      </w:pPr>
      <w:r w:rsidRPr="005C5F76">
        <w:rPr>
          <w:rFonts w:ascii="Times New Roman" w:eastAsia="宋体" w:hAnsi="Times New Roman" w:cs="Times New Roman"/>
          <w:b/>
          <w:bCs/>
          <w:sz w:val="24"/>
          <w:szCs w:val="24"/>
        </w:rPr>
        <w:t xml:space="preserve">Appendix </w:t>
      </w:r>
      <w:r w:rsidR="00C77D34">
        <w:rPr>
          <w:rFonts w:ascii="Times New Roman" w:eastAsia="宋体" w:hAnsi="Times New Roman" w:cs="Times New Roman"/>
          <w:b/>
          <w:bCs/>
          <w:sz w:val="24"/>
          <w:szCs w:val="24"/>
        </w:rPr>
        <w:t>3</w:t>
      </w:r>
      <w:r w:rsidRPr="005C5F76">
        <w:rPr>
          <w:rFonts w:ascii="Times New Roman" w:eastAsia="宋体" w:hAnsi="Times New Roman" w:cs="Times New Roman"/>
          <w:b/>
          <w:bCs/>
          <w:sz w:val="24"/>
          <w:szCs w:val="24"/>
        </w:rPr>
        <w:t>:</w:t>
      </w:r>
    </w:p>
    <w:p w14:paraId="72470DAA" w14:textId="265229B1" w:rsidR="00756784" w:rsidRPr="00756784" w:rsidRDefault="004C45AE" w:rsidP="00756784">
      <w:pPr>
        <w:pStyle w:val="a7"/>
        <w:spacing w:line="480" w:lineRule="auto"/>
        <w:ind w:firstLine="480"/>
        <w:rPr>
          <w:rFonts w:ascii="Times New Roman" w:eastAsia="宋体" w:hAnsi="Times New Roman" w:cs="Times New Roman"/>
          <w:sz w:val="24"/>
        </w:rPr>
      </w:pPr>
      <w:r w:rsidRPr="00EB5E04">
        <w:rPr>
          <w:rFonts w:ascii="Times New Roman" w:eastAsia="宋体" w:hAnsi="Times New Roman" w:cs="Times New Roman"/>
          <w:sz w:val="24"/>
        </w:rPr>
        <w:t>the land reform movement carried out in 1946-1947 in the old liberated areas of Northeast, North, Central, and East China</w:t>
      </w:r>
      <w:r w:rsidRPr="00EB5E04">
        <w:rPr>
          <w:rFonts w:ascii="Times New Roman" w:eastAsia="宋体" w:hAnsi="Times New Roman" w:cs="Times New Roman" w:hint="eastAsia"/>
          <w:sz w:val="24"/>
        </w:rPr>
        <w:t xml:space="preserve"> as well as</w:t>
      </w:r>
      <w:r w:rsidRPr="00EB5E04">
        <w:rPr>
          <w:rFonts w:ascii="Times New Roman" w:eastAsia="宋体" w:hAnsi="Times New Roman" w:cs="Times New Roman"/>
          <w:sz w:val="24"/>
        </w:rPr>
        <w:t xml:space="preserve"> the co-operative movement carried out in 1951 in the old liberated areas of</w:t>
      </w:r>
      <w:r w:rsidRPr="00EB5E04">
        <w:rPr>
          <w:rFonts w:ascii="Times New Roman" w:eastAsia="宋体" w:hAnsi="Times New Roman" w:cs="Times New Roman" w:hint="eastAsia"/>
          <w:sz w:val="24"/>
        </w:rPr>
        <w:t xml:space="preserve"> </w:t>
      </w:r>
      <w:r w:rsidRPr="00EB5E04">
        <w:rPr>
          <w:rFonts w:ascii="Times New Roman" w:eastAsia="宋体" w:hAnsi="Times New Roman" w:cs="Times New Roman"/>
          <w:sz w:val="24"/>
        </w:rPr>
        <w:t>North</w:t>
      </w:r>
      <w:r w:rsidRPr="00EB5E04">
        <w:rPr>
          <w:rFonts w:ascii="Times New Roman" w:eastAsia="宋体" w:hAnsi="Times New Roman" w:cs="Times New Roman" w:hint="eastAsia"/>
          <w:sz w:val="24"/>
        </w:rPr>
        <w:t xml:space="preserve"> China and of </w:t>
      </w:r>
      <w:r w:rsidRPr="00EB5E04">
        <w:rPr>
          <w:rFonts w:ascii="Times New Roman" w:eastAsia="宋体" w:hAnsi="Times New Roman" w:cs="Times New Roman"/>
          <w:sz w:val="24"/>
        </w:rPr>
        <w:t xml:space="preserve">Northwest China changed </w:t>
      </w:r>
      <w:r w:rsidRPr="00EB5E04">
        <w:rPr>
          <w:rFonts w:ascii="Times New Roman" w:eastAsia="宋体" w:hAnsi="Times New Roman" w:cs="Times New Roman"/>
          <w:sz w:val="24"/>
        </w:rPr>
        <w:lastRenderedPageBreak/>
        <w:t xml:space="preserve">the local socio-political and economic conditions, and the peasant landownership system replaced feudal landownership system, and wives had equal rights with their husbands, both in the field of production and distribution, wives had equal rights and status with their husbands, and women generally participated in productive </w:t>
      </w:r>
      <w:proofErr w:type="spellStart"/>
      <w:r w:rsidRPr="00EB5E04">
        <w:rPr>
          <w:rFonts w:ascii="Times New Roman" w:eastAsia="宋体" w:hAnsi="Times New Roman" w:cs="Times New Roman"/>
          <w:sz w:val="24"/>
        </w:rPr>
        <w:t>labour</w:t>
      </w:r>
      <w:proofErr w:type="spellEnd"/>
      <w:r w:rsidRPr="00EB5E04">
        <w:rPr>
          <w:rFonts w:ascii="Times New Roman" w:eastAsia="宋体" w:hAnsi="Times New Roman" w:cs="Times New Roman"/>
          <w:sz w:val="24"/>
        </w:rPr>
        <w:t xml:space="preserve"> and became economically independent, breaking the economic basis of traditional marriage. Meanwhile, the Marriage Law of 1950-1952, which was mainly propagated in some areas of the Land Reform, clearly states in its opening Article 1: "Abolish the feudalistic marriage system of arranged and forced marriages in which men are superior to women and women's interests are disregarded. The new democratic marriage system of freedom of marriage for men and women, monogamy, equal rights for men and women, and protection of the lawful interests of women and children shall be implemented". Against the background of this social system, we believe</w:t>
      </w:r>
      <w:r w:rsidRPr="00EB5E04">
        <w:rPr>
          <w:rFonts w:ascii="Times New Roman" w:eastAsia="宋体" w:hAnsi="Times New Roman" w:cs="Times New Roman" w:hint="eastAsia"/>
          <w:sz w:val="24"/>
        </w:rPr>
        <w:t>d</w:t>
      </w:r>
      <w:r w:rsidRPr="00EB5E04">
        <w:rPr>
          <w:rFonts w:ascii="Times New Roman" w:eastAsia="宋体" w:hAnsi="Times New Roman" w:cs="Times New Roman"/>
          <w:sz w:val="24"/>
        </w:rPr>
        <w:t xml:space="preserve"> that the traditional concept of marriage is relatively weak among the people in the first areas of agrarian reform.</w:t>
      </w:r>
      <w:r w:rsidR="00756784">
        <w:rPr>
          <w:rFonts w:ascii="Times New Roman" w:eastAsia="宋体" w:hAnsi="Times New Roman" w:cs="Times New Roman" w:hint="eastAsia"/>
          <w:sz w:val="24"/>
        </w:rPr>
        <w:t xml:space="preserve"> </w:t>
      </w:r>
      <w:r w:rsidR="00756784">
        <w:rPr>
          <w:rFonts w:ascii="Times New Roman" w:eastAsia="宋体" w:hAnsi="Times New Roman" w:cs="Times New Roman"/>
          <w:sz w:val="24"/>
        </w:rPr>
        <w:t>Therefore, t</w:t>
      </w:r>
      <w:r w:rsidR="00756784" w:rsidRPr="00EB5E04">
        <w:rPr>
          <w:rFonts w:ascii="Times New Roman" w:eastAsia="宋体" w:hAnsi="Times New Roman" w:cs="Times New Roman"/>
          <w:sz w:val="24"/>
        </w:rPr>
        <w:t xml:space="preserve">he instrumental variable "whether the province or region participated in the first batch of land reform in China" is used in this </w:t>
      </w:r>
      <w:r w:rsidR="00756784" w:rsidRPr="00EB5E04">
        <w:rPr>
          <w:rFonts w:ascii="Times New Roman" w:eastAsia="宋体" w:hAnsi="Times New Roman" w:cs="Times New Roman" w:hint="eastAsia"/>
          <w:sz w:val="24"/>
        </w:rPr>
        <w:t>research</w:t>
      </w:r>
      <w:r w:rsidR="00756784" w:rsidRPr="00EB5E04">
        <w:rPr>
          <w:rFonts w:ascii="Times New Roman" w:eastAsia="宋体" w:hAnsi="Times New Roman" w:cs="Times New Roman"/>
          <w:sz w:val="24"/>
        </w:rPr>
        <w:t xml:space="preserve">, which takes the value of 1 for the old liberated areas in Northeast China, North China, Central China, and East China where the land reform was completed or basically completed in 1950, as well as for the old liberated areas in North China and Northwest China where the co-operative movement was carried out in 1951, while the value of 1 is taken as the instrumental variable for the rest of the old liberated areas where the land reform was completed or basically completed in June 1950. The rest of the newly liberated areas where land reform was carried out after the promulgation of the Land Reform Law of the People's </w:t>
      </w:r>
      <w:r w:rsidR="00756784" w:rsidRPr="00EB5E04">
        <w:rPr>
          <w:rFonts w:ascii="Times New Roman" w:eastAsia="宋体" w:hAnsi="Times New Roman" w:cs="Times New Roman"/>
          <w:sz w:val="24"/>
        </w:rPr>
        <w:lastRenderedPageBreak/>
        <w:t>Republic of China in June 1950 are given a value of 0.</w:t>
      </w:r>
    </w:p>
    <w:p w14:paraId="4E9FC6FB" w14:textId="3080FB79" w:rsidR="000F4516" w:rsidRDefault="004C45AE" w:rsidP="005C5F76">
      <w:pPr>
        <w:pStyle w:val="a7"/>
        <w:spacing w:line="480" w:lineRule="auto"/>
        <w:ind w:firstLineChars="0" w:firstLine="0"/>
        <w:rPr>
          <w:rFonts w:ascii="Times New Roman" w:eastAsia="宋体" w:hAnsi="Times New Roman" w:cs="Times New Roman"/>
          <w:b/>
          <w:bCs/>
          <w:sz w:val="24"/>
          <w:szCs w:val="24"/>
        </w:rPr>
      </w:pPr>
      <w:r w:rsidRPr="005C5F76">
        <w:rPr>
          <w:rFonts w:ascii="Times New Roman" w:eastAsia="宋体" w:hAnsi="Times New Roman" w:cs="Times New Roman"/>
          <w:b/>
          <w:bCs/>
          <w:sz w:val="24"/>
          <w:szCs w:val="24"/>
        </w:rPr>
        <w:t xml:space="preserve">Appendix </w:t>
      </w:r>
      <w:r w:rsidR="00C77D34">
        <w:rPr>
          <w:rFonts w:ascii="Times New Roman" w:eastAsia="宋体" w:hAnsi="Times New Roman" w:cs="Times New Roman"/>
          <w:b/>
          <w:bCs/>
          <w:sz w:val="24"/>
          <w:szCs w:val="24"/>
        </w:rPr>
        <w:t>4</w:t>
      </w:r>
      <w:r w:rsidRPr="005C5F76">
        <w:rPr>
          <w:rFonts w:ascii="Times New Roman" w:eastAsia="宋体" w:hAnsi="Times New Roman" w:cs="Times New Roman"/>
          <w:b/>
          <w:bCs/>
          <w:sz w:val="24"/>
          <w:szCs w:val="24"/>
        </w:rPr>
        <w:t>:</w:t>
      </w:r>
    </w:p>
    <w:p w14:paraId="1962DF9A" w14:textId="77777777" w:rsidR="004C45AE" w:rsidRDefault="004C45AE" w:rsidP="004C45AE">
      <w:pPr>
        <w:spacing w:line="480" w:lineRule="auto"/>
        <w:ind w:firstLineChars="200" w:firstLine="480"/>
        <w:rPr>
          <w:rFonts w:ascii="Times New Roman" w:eastAsia="宋体" w:hAnsi="Times New Roman" w:cs="Times New Roman"/>
          <w:sz w:val="24"/>
        </w:rPr>
      </w:pPr>
      <w:r w:rsidRPr="00EB5E04">
        <w:rPr>
          <w:rFonts w:ascii="Times New Roman" w:eastAsia="宋体" w:hAnsi="Times New Roman" w:cs="Times New Roman"/>
          <w:sz w:val="24"/>
        </w:rPr>
        <w:t xml:space="preserve">Generally speaking, </w:t>
      </w:r>
      <w:r>
        <w:rPr>
          <w:rFonts w:ascii="Times New Roman" w:eastAsia="宋体" w:hAnsi="Times New Roman" w:cs="Times New Roman"/>
          <w:sz w:val="24"/>
        </w:rPr>
        <w:t>dowry</w:t>
      </w:r>
      <w:r w:rsidRPr="00EB5E04">
        <w:rPr>
          <w:rFonts w:ascii="Times New Roman" w:eastAsia="宋体" w:hAnsi="Times New Roman" w:cs="Times New Roman"/>
          <w:sz w:val="24"/>
        </w:rPr>
        <w:t xml:space="preserve"> refers to the flow of property between in-law families, i.e., property transferred from the in-laws' family to the mother's family, and it usually </w:t>
      </w:r>
      <w:r w:rsidRPr="00EB5E04">
        <w:rPr>
          <w:rFonts w:ascii="Times New Roman" w:eastAsia="宋体" w:hAnsi="Times New Roman" w:cs="Times New Roman" w:hint="eastAsia"/>
          <w:sz w:val="24"/>
        </w:rPr>
        <w:t>represents</w:t>
      </w:r>
      <w:r w:rsidRPr="00EB5E04">
        <w:rPr>
          <w:rFonts w:ascii="Times New Roman" w:eastAsia="宋体" w:hAnsi="Times New Roman" w:cs="Times New Roman"/>
          <w:sz w:val="24"/>
        </w:rPr>
        <w:t xml:space="preserve"> the establishment of inter-group in-law relations, the cession of rights to the woman, etc., while dowry is used to refer to the transfer of property within the mother's family, i.e., property transferred from the mother's family to the woman's family, and it usually functions as a symbol of the status of the female relatives. Currently, the mainstream dowry theories are mainly the marital repayment theory and the marital funding theory. The marital repayment theory holds that the reason why the groom's family pays a high bride price to the bride's family is mainly for the purpose of compensation, i.e., to compensate the female family for the cost of raising the bride and the bride's move from the female family to the male family as a </w:t>
      </w:r>
      <w:proofErr w:type="spellStart"/>
      <w:r w:rsidRPr="00EB5E04">
        <w:rPr>
          <w:rFonts w:ascii="Times New Roman" w:eastAsia="宋体" w:hAnsi="Times New Roman" w:cs="Times New Roman"/>
          <w:sz w:val="24"/>
        </w:rPr>
        <w:t>labour</w:t>
      </w:r>
      <w:proofErr w:type="spellEnd"/>
      <w:r w:rsidRPr="00EB5E04">
        <w:rPr>
          <w:rFonts w:ascii="Times New Roman" w:eastAsia="宋体" w:hAnsi="Times New Roman" w:cs="Times New Roman"/>
          <w:sz w:val="24"/>
        </w:rPr>
        <w:t xml:space="preserve"> force; the marital financing theory holds that, no matter whether it is the bride price given by the male family or the dowry given by the female family, the dowry will ultimately flow into the hands of the bridegroom and the bride in one form or another, and this can be regarded as intergenerational </w:t>
      </w:r>
      <w:r w:rsidRPr="00EB5E04">
        <w:rPr>
          <w:rFonts w:ascii="Times New Roman" w:eastAsia="宋体" w:hAnsi="Times New Roman" w:cs="Times New Roman" w:hint="eastAsia"/>
          <w:sz w:val="24"/>
        </w:rPr>
        <w:t>funding, which</w:t>
      </w:r>
      <w:r w:rsidRPr="00EB5E04">
        <w:rPr>
          <w:rFonts w:ascii="Times New Roman" w:eastAsia="宋体" w:hAnsi="Times New Roman" w:cs="Times New Roman"/>
          <w:sz w:val="24"/>
        </w:rPr>
        <w:t xml:space="preserve"> can be regarded as funding from parent generation to child generation. Expenditure by both families on wedding celebrations, including wedding houses, bride price, wedding banquets, etc., is seen as a signal of commitment to the marriage, and the amount of money paid for the bride price is used to express the degree of respect and recognition for the in-laws and the family. This shows that the traditional concept of marriage has a certain benefit orientation, both families in order </w:t>
      </w:r>
      <w:r w:rsidRPr="00EB5E04">
        <w:rPr>
          <w:rFonts w:ascii="Times New Roman" w:eastAsia="宋体" w:hAnsi="Times New Roman" w:cs="Times New Roman"/>
          <w:sz w:val="24"/>
        </w:rPr>
        <w:lastRenderedPageBreak/>
        <w:t>to support and finance the establishment of a new family, or parents out of respect and recognition of the other half of the family, in the marriage of both sides of the dowry, there is bound to be a larger investment and expenditure.</w:t>
      </w:r>
    </w:p>
    <w:p w14:paraId="3E5D3EA1" w14:textId="217C4EB5" w:rsidR="005C5F76" w:rsidRDefault="005C5F76" w:rsidP="005C5F76">
      <w:pPr>
        <w:pStyle w:val="a7"/>
        <w:spacing w:line="480" w:lineRule="auto"/>
        <w:ind w:firstLineChars="0" w:firstLine="0"/>
        <w:rPr>
          <w:rFonts w:ascii="Times New Roman" w:eastAsia="宋体" w:hAnsi="Times New Roman" w:cs="Times New Roman"/>
          <w:b/>
          <w:bCs/>
          <w:sz w:val="24"/>
          <w:szCs w:val="24"/>
        </w:rPr>
      </w:pPr>
      <w:r w:rsidRPr="005C5F76">
        <w:rPr>
          <w:rFonts w:ascii="Times New Roman" w:eastAsia="宋体" w:hAnsi="Times New Roman" w:cs="Times New Roman"/>
          <w:b/>
          <w:bCs/>
          <w:sz w:val="24"/>
          <w:szCs w:val="24"/>
        </w:rPr>
        <w:t xml:space="preserve">Appendix </w:t>
      </w:r>
      <w:r w:rsidR="00C77D34">
        <w:rPr>
          <w:rFonts w:ascii="Times New Roman" w:eastAsia="宋体" w:hAnsi="Times New Roman" w:cs="Times New Roman"/>
          <w:b/>
          <w:bCs/>
          <w:sz w:val="24"/>
          <w:szCs w:val="24"/>
        </w:rPr>
        <w:t>5</w:t>
      </w:r>
      <w:r w:rsidRPr="005C5F76">
        <w:rPr>
          <w:rFonts w:ascii="Times New Roman" w:eastAsia="宋体" w:hAnsi="Times New Roman" w:cs="Times New Roman"/>
          <w:b/>
          <w:bCs/>
          <w:sz w:val="24"/>
          <w:szCs w:val="24"/>
        </w:rPr>
        <w:t>:</w:t>
      </w:r>
    </w:p>
    <w:p w14:paraId="30EC4E52" w14:textId="77777777" w:rsidR="00466EE6" w:rsidRDefault="00466EE6" w:rsidP="00466EE6">
      <w:pPr>
        <w:spacing w:line="480" w:lineRule="auto"/>
        <w:ind w:firstLineChars="200" w:firstLine="480"/>
        <w:rPr>
          <w:rFonts w:ascii="Times New Roman" w:eastAsia="宋体" w:hAnsi="Times New Roman" w:cs="Times New Roman"/>
          <w:sz w:val="24"/>
          <w:szCs w:val="24"/>
        </w:rPr>
      </w:pPr>
      <w:r w:rsidRPr="00EB5E04">
        <w:rPr>
          <w:rFonts w:ascii="Times New Roman" w:eastAsia="宋体" w:hAnsi="Times New Roman" w:cs="Times New Roman"/>
          <w:sz w:val="24"/>
          <w:szCs w:val="24"/>
        </w:rPr>
        <w:t xml:space="preserve">CHARLS is a micro-database of individual and family-level information on middle-aged and elderly people in China conducted by the National Development Research Institute of Peking University. The sample covers 10,524 households in 150 counties in 28 provinces (excluding Ningxia province, Tibet, and Hainan province) in China, and the target respondents are residents aged 45 years and above, with the questionnaires covering a variety of aspects such as personal information, children's information, and household economic status. This </w:t>
      </w:r>
      <w:r w:rsidRPr="00EB5E04">
        <w:rPr>
          <w:rFonts w:ascii="Times New Roman" w:eastAsia="宋体" w:hAnsi="Times New Roman" w:cs="Times New Roman" w:hint="eastAsia"/>
          <w:sz w:val="24"/>
          <w:szCs w:val="24"/>
        </w:rPr>
        <w:t>research</w:t>
      </w:r>
      <w:r w:rsidRPr="00EB5E04">
        <w:rPr>
          <w:rFonts w:ascii="Times New Roman" w:eastAsia="宋体" w:hAnsi="Times New Roman" w:cs="Times New Roman"/>
          <w:sz w:val="24"/>
          <w:szCs w:val="24"/>
        </w:rPr>
        <w:t xml:space="preserve"> </w:t>
      </w:r>
      <w:r w:rsidRPr="00EB5E04">
        <w:rPr>
          <w:rFonts w:ascii="Times New Roman" w:eastAsia="宋体" w:hAnsi="Times New Roman" w:cs="Times New Roman" w:hint="eastAsia"/>
          <w:sz w:val="24"/>
          <w:szCs w:val="24"/>
        </w:rPr>
        <w:t>adopted</w:t>
      </w:r>
      <w:r w:rsidRPr="00EB5E04">
        <w:rPr>
          <w:rFonts w:ascii="Times New Roman" w:eastAsia="宋体" w:hAnsi="Times New Roman" w:cs="Times New Roman"/>
          <w:sz w:val="24"/>
          <w:szCs w:val="24"/>
        </w:rPr>
        <w:t xml:space="preserve"> data from 2013, 2015 and 2018 involving the amount of dowry in each province, and in order to avoid too many missing sample sizes, the same method is used with the explanatory variables, expanding the overall data to the years 2009-2020</w:t>
      </w:r>
      <w:r>
        <w:rPr>
          <w:rFonts w:ascii="Times New Roman" w:eastAsia="宋体" w:hAnsi="Times New Roman" w:cs="Times New Roman"/>
          <w:sz w:val="24"/>
          <w:szCs w:val="24"/>
        </w:rPr>
        <w:t>.</w:t>
      </w:r>
    </w:p>
    <w:p w14:paraId="07E99078" w14:textId="2658072A" w:rsidR="0059210A" w:rsidRPr="0059210A" w:rsidRDefault="0059210A" w:rsidP="00466EE6">
      <w:pPr>
        <w:spacing w:line="480" w:lineRule="auto"/>
        <w:ind w:firstLineChars="200" w:firstLine="480"/>
        <w:rPr>
          <w:rFonts w:ascii="Times New Roman" w:eastAsia="宋体" w:hAnsi="Times New Roman" w:cs="Times New Roman"/>
          <w:sz w:val="24"/>
          <w:szCs w:val="24"/>
        </w:rPr>
      </w:pPr>
      <w:r w:rsidRPr="00EB5E04">
        <w:rPr>
          <w:rFonts w:ascii="Times New Roman" w:eastAsia="宋体" w:hAnsi="Times New Roman" w:cs="Times New Roman" w:hint="eastAsia"/>
          <w:sz w:val="24"/>
        </w:rPr>
        <w:t>In such survey data</w:t>
      </w:r>
      <w:r w:rsidRPr="00EB5E04">
        <w:rPr>
          <w:rFonts w:ascii="Times New Roman" w:eastAsia="宋体" w:hAnsi="Times New Roman" w:cs="Times New Roman"/>
          <w:sz w:val="24"/>
        </w:rPr>
        <w:t>, the "dowry" included in the "economic assistance received and provided by the family" under the "family interaction and economic assistance" category is related to the following question "What was the total value of the bride price or dowry at the current price level?".</w:t>
      </w:r>
    </w:p>
    <w:p w14:paraId="53A118E9" w14:textId="265BD398" w:rsidR="00466EE6" w:rsidRDefault="00466EE6" w:rsidP="005C5F76">
      <w:pPr>
        <w:pStyle w:val="a7"/>
        <w:spacing w:line="480" w:lineRule="auto"/>
        <w:ind w:firstLineChars="0" w:firstLine="0"/>
        <w:rPr>
          <w:rFonts w:ascii="Times New Roman" w:eastAsia="宋体" w:hAnsi="Times New Roman" w:cs="Times New Roman"/>
          <w:b/>
          <w:bCs/>
          <w:sz w:val="24"/>
          <w:szCs w:val="24"/>
        </w:rPr>
      </w:pPr>
      <w:r w:rsidRPr="005C5F76">
        <w:rPr>
          <w:rFonts w:ascii="Times New Roman" w:eastAsia="宋体" w:hAnsi="Times New Roman" w:cs="Times New Roman"/>
          <w:b/>
          <w:bCs/>
          <w:sz w:val="24"/>
          <w:szCs w:val="24"/>
        </w:rPr>
        <w:t xml:space="preserve">Appendix </w:t>
      </w:r>
      <w:r w:rsidR="00C77D34">
        <w:rPr>
          <w:rFonts w:ascii="Times New Roman" w:eastAsia="宋体" w:hAnsi="Times New Roman" w:cs="Times New Roman"/>
          <w:b/>
          <w:bCs/>
          <w:sz w:val="24"/>
          <w:szCs w:val="24"/>
        </w:rPr>
        <w:t>6</w:t>
      </w:r>
      <w:r w:rsidRPr="005C5F76">
        <w:rPr>
          <w:rFonts w:ascii="Times New Roman" w:eastAsia="宋体" w:hAnsi="Times New Roman" w:cs="Times New Roman"/>
          <w:b/>
          <w:bCs/>
          <w:sz w:val="24"/>
          <w:szCs w:val="24"/>
        </w:rPr>
        <w:t>:</w:t>
      </w:r>
    </w:p>
    <w:p w14:paraId="35A5FC8D" w14:textId="3BD66D70" w:rsidR="00DA377D" w:rsidRDefault="00DA377D" w:rsidP="00DA377D">
      <w:pPr>
        <w:pStyle w:val="a7"/>
        <w:spacing w:line="480" w:lineRule="auto"/>
        <w:ind w:firstLine="480"/>
        <w:rPr>
          <w:rFonts w:ascii="Times New Roman" w:eastAsia="宋体" w:hAnsi="Times New Roman" w:cs="Times New Roman"/>
          <w:sz w:val="24"/>
        </w:rPr>
      </w:pPr>
      <w:r w:rsidRPr="00EB5E04">
        <w:rPr>
          <w:rFonts w:ascii="Times New Roman" w:eastAsia="宋体" w:hAnsi="Times New Roman" w:cs="Times New Roman"/>
          <w:sz w:val="24"/>
        </w:rPr>
        <w:t xml:space="preserve">The </w:t>
      </w:r>
      <w:r w:rsidRPr="00EB5E04">
        <w:rPr>
          <w:rFonts w:ascii="Times New Roman" w:eastAsia="宋体" w:hAnsi="Times New Roman" w:cs="Times New Roman" w:hint="eastAsia"/>
          <w:sz w:val="24"/>
        </w:rPr>
        <w:t>research</w:t>
      </w:r>
      <w:r w:rsidRPr="00EB5E04">
        <w:rPr>
          <w:rFonts w:ascii="Times New Roman" w:eastAsia="宋体" w:hAnsi="Times New Roman" w:cs="Times New Roman"/>
          <w:sz w:val="24"/>
        </w:rPr>
        <w:t xml:space="preserve"> measures in-law capital by three measures: in-laws' academic qualifications, whether in-laws have overseas backgrounds, and whether in-laws have experience of serving in unaffiliated firms. For one thing, a higher level of educational </w:t>
      </w:r>
      <w:r w:rsidRPr="00EB5E04">
        <w:rPr>
          <w:rFonts w:ascii="Times New Roman" w:eastAsia="宋体" w:hAnsi="Times New Roman" w:cs="Times New Roman"/>
          <w:sz w:val="24"/>
        </w:rPr>
        <w:lastRenderedPageBreak/>
        <w:t xml:space="preserve">attainment represents, to some extent, stronger academic competence, broader professional reserves, and greater processing power, and these knowledge and competence are the very embodiment of in-laws' human capital. Therefore, this </w:t>
      </w:r>
      <w:r w:rsidRPr="00EB5E04">
        <w:rPr>
          <w:rFonts w:ascii="Times New Roman" w:eastAsia="宋体" w:hAnsi="Times New Roman" w:cs="Times New Roman" w:hint="eastAsia"/>
          <w:sz w:val="24"/>
        </w:rPr>
        <w:t>research</w:t>
      </w:r>
      <w:r w:rsidRPr="00EB5E04">
        <w:rPr>
          <w:rFonts w:ascii="Times New Roman" w:eastAsia="宋体" w:hAnsi="Times New Roman" w:cs="Times New Roman"/>
          <w:sz w:val="24"/>
        </w:rPr>
        <w:t xml:space="preserve"> assigns the education level of in-laws serving in the director and supervisor team of family firms in the current year, where secondary school and below = 1, junior college = 2, bachelor's degree = 3, master's degree research or MBA/EMBA = 4, and doctoral degree = 5, and for the sample of firms in which there are several in-laws participating in the management in the current year, the mean value is adopted for the measurement. Secondly, the in-laws' overseas background may to a certain extent represent the in-laws' own family's economic strength, the in-laws' advanced professional knowledge and business management experience as well as the in-laws' possible extensive international interpersonal network, which is a good reflection of the in-laws' financial capital, human capital and social capital. In this </w:t>
      </w:r>
      <w:r w:rsidRPr="00EB5E04">
        <w:rPr>
          <w:rFonts w:ascii="Times New Roman" w:eastAsia="宋体" w:hAnsi="Times New Roman" w:cs="Times New Roman" w:hint="eastAsia"/>
          <w:sz w:val="24"/>
        </w:rPr>
        <w:t>research</w:t>
      </w:r>
      <w:r w:rsidRPr="00EB5E04">
        <w:rPr>
          <w:rFonts w:ascii="Times New Roman" w:eastAsia="宋体" w:hAnsi="Times New Roman" w:cs="Times New Roman"/>
          <w:sz w:val="24"/>
        </w:rPr>
        <w:t xml:space="preserve">, we </w:t>
      </w:r>
      <w:r w:rsidRPr="00EB5E04">
        <w:rPr>
          <w:rFonts w:ascii="Times New Roman" w:eastAsia="宋体" w:hAnsi="Times New Roman" w:cs="Times New Roman" w:hint="eastAsia"/>
          <w:sz w:val="24"/>
        </w:rPr>
        <w:t>referenced</w:t>
      </w:r>
      <w:r w:rsidRPr="00EB5E04">
        <w:rPr>
          <w:rFonts w:ascii="Times New Roman" w:eastAsia="宋体" w:hAnsi="Times New Roman" w:cs="Times New Roman"/>
          <w:sz w:val="24"/>
        </w:rPr>
        <w:t xml:space="preserve"> the presence of overseas study and work experience of in-laws serving in the director and supervisor teams of family firms in the current year as the measure, with the presence taking the value of 1, and the value of 0 otherwise. third, whether the in-laws are serving in non-affiliated firms. Compared with those in-laws who work in affiliated firms, in-laws who work in unaffiliated firms are more likely to obtain their positions by virtue of their own resources, and at the same time, in-laws who work in unaffiliated firms have social capital that is different from that of family firms, which is an important manifestation of in-laws' social capital. In this </w:t>
      </w:r>
      <w:r w:rsidRPr="00EB5E04">
        <w:rPr>
          <w:rFonts w:ascii="Times New Roman" w:eastAsia="宋体" w:hAnsi="Times New Roman" w:cs="Times New Roman" w:hint="eastAsia"/>
          <w:sz w:val="24"/>
        </w:rPr>
        <w:t>research</w:t>
      </w:r>
      <w:r w:rsidRPr="00EB5E04">
        <w:rPr>
          <w:rFonts w:ascii="Times New Roman" w:eastAsia="宋体" w:hAnsi="Times New Roman" w:cs="Times New Roman"/>
          <w:sz w:val="24"/>
        </w:rPr>
        <w:t xml:space="preserve">, we use the existence of non-affiliated company experience of in-laws serving in the directors and supervisors’ team of family </w:t>
      </w:r>
      <w:r w:rsidRPr="00EB5E04">
        <w:rPr>
          <w:rFonts w:ascii="Times New Roman" w:eastAsia="宋体" w:hAnsi="Times New Roman" w:cs="Times New Roman"/>
          <w:sz w:val="24"/>
        </w:rPr>
        <w:lastRenderedPageBreak/>
        <w:t>firms in the current year to measure the existence of non-affiliated company experience, which takes the value of 1, otherwise it is 0.</w:t>
      </w:r>
    </w:p>
    <w:p w14:paraId="14675E46" w14:textId="16955B53" w:rsidR="00DA377D" w:rsidRDefault="00DA377D" w:rsidP="00DA377D">
      <w:pPr>
        <w:pStyle w:val="a7"/>
        <w:spacing w:line="480" w:lineRule="auto"/>
        <w:ind w:firstLineChars="0" w:firstLine="0"/>
        <w:rPr>
          <w:rFonts w:ascii="Times New Roman" w:eastAsia="宋体" w:hAnsi="Times New Roman" w:cs="Times New Roman"/>
          <w:b/>
          <w:bCs/>
          <w:sz w:val="24"/>
          <w:szCs w:val="24"/>
        </w:rPr>
      </w:pPr>
      <w:r w:rsidRPr="005C5F76">
        <w:rPr>
          <w:rFonts w:ascii="Times New Roman" w:eastAsia="宋体" w:hAnsi="Times New Roman" w:cs="Times New Roman"/>
          <w:b/>
          <w:bCs/>
          <w:sz w:val="24"/>
          <w:szCs w:val="24"/>
        </w:rPr>
        <w:t xml:space="preserve">Appendix </w:t>
      </w:r>
      <w:r w:rsidR="00C77D34">
        <w:rPr>
          <w:rFonts w:ascii="Times New Roman" w:eastAsia="宋体" w:hAnsi="Times New Roman" w:cs="Times New Roman"/>
          <w:b/>
          <w:bCs/>
          <w:sz w:val="24"/>
          <w:szCs w:val="24"/>
        </w:rPr>
        <w:t>7</w:t>
      </w:r>
      <w:r w:rsidRPr="005C5F76">
        <w:rPr>
          <w:rFonts w:ascii="Times New Roman" w:eastAsia="宋体" w:hAnsi="Times New Roman" w:cs="Times New Roman"/>
          <w:b/>
          <w:bCs/>
          <w:sz w:val="24"/>
          <w:szCs w:val="24"/>
        </w:rPr>
        <w:t>:</w:t>
      </w:r>
    </w:p>
    <w:p w14:paraId="7EF26814" w14:textId="19CD4D62" w:rsidR="005C5F76" w:rsidRDefault="005C5F76" w:rsidP="005C5F76">
      <w:pPr>
        <w:pStyle w:val="a7"/>
        <w:spacing w:line="480" w:lineRule="auto"/>
        <w:ind w:firstLine="480"/>
        <w:rPr>
          <w:rFonts w:ascii="Times New Roman" w:eastAsia="宋体" w:hAnsi="Times New Roman" w:cs="Times New Roman"/>
          <w:sz w:val="24"/>
        </w:rPr>
      </w:pPr>
      <w:r w:rsidRPr="005C5F76">
        <w:rPr>
          <w:rFonts w:ascii="Times New Roman" w:hAnsi="Times New Roman" w:cs="Times New Roman"/>
          <w:sz w:val="24"/>
          <w:szCs w:val="24"/>
        </w:rPr>
        <w:t>Chinese General Social Survey (CGSS) started in 2003 and is the earliest nationwide, comprehensive, and continuous academic survey project in China, covering different aspects of China's social development</w:t>
      </w:r>
      <w:r>
        <w:rPr>
          <w:rFonts w:ascii="Times New Roman" w:hAnsi="Times New Roman" w:cs="Times New Roman"/>
          <w:sz w:val="24"/>
          <w:szCs w:val="24"/>
        </w:rPr>
        <w:t>.</w:t>
      </w:r>
      <w:r w:rsidR="00466EE6" w:rsidRPr="00466EE6">
        <w:rPr>
          <w:rFonts w:ascii="Times New Roman" w:eastAsia="宋体" w:hAnsi="Times New Roman" w:cs="Times New Roman"/>
          <w:sz w:val="24"/>
        </w:rPr>
        <w:t xml:space="preserve"> </w:t>
      </w:r>
      <w:r w:rsidR="00466EE6" w:rsidRPr="00EB5E04">
        <w:rPr>
          <w:rFonts w:ascii="Times New Roman" w:eastAsia="宋体" w:hAnsi="Times New Roman" w:cs="Times New Roman"/>
          <w:sz w:val="24"/>
        </w:rPr>
        <w:t xml:space="preserve">In general, social interactions/contacts that do not directly involve monetary interests, how many of the following people do you think you can trust? Considering that "traditional marriages" are usually geographically based and the families of both parties to the marriage are usually in the same "intermarriage circle", the options that fit into this circle are: distant neighbors/neighborhoods (in towns) or residents of the same village other than the neighbors (in the countryside), people with the same surname from the same village and people with the same village who do not share the same surname. The answer options to these questions were then assigned in order: "Mostly untrustworthy" was assigned a value of 1; "Mostly untrustworthy" was assigned a value of 2; "Half trustworthy and half untrustworthy" The results of the above questions show a certain percentage of "unable to answer", which is mainly due to the fact that the corresponding questions are not applicable to the particular respondents. This is mainly due to the fact that the corresponding questions are not applicable to specific respondents, and thus it is not appropriate to simply assign a uniform value to them. In view of this, "unable to answer" was regarded as a missing value by referring to the previous practice in the literature. </w:t>
      </w:r>
    </w:p>
    <w:p w14:paraId="3B0741A7" w14:textId="4B9DA135" w:rsidR="00BF5615" w:rsidRDefault="00BF5615" w:rsidP="00BF5615">
      <w:pPr>
        <w:pStyle w:val="a7"/>
        <w:spacing w:line="480" w:lineRule="auto"/>
        <w:ind w:firstLineChars="0" w:firstLine="0"/>
        <w:rPr>
          <w:rFonts w:ascii="Times New Roman" w:eastAsia="宋体" w:hAnsi="Times New Roman" w:cs="Times New Roman"/>
          <w:b/>
          <w:bCs/>
          <w:sz w:val="24"/>
          <w:szCs w:val="24"/>
        </w:rPr>
      </w:pPr>
      <w:r w:rsidRPr="005C5F76">
        <w:rPr>
          <w:rFonts w:ascii="Times New Roman" w:eastAsia="宋体" w:hAnsi="Times New Roman" w:cs="Times New Roman"/>
          <w:b/>
          <w:bCs/>
          <w:sz w:val="24"/>
          <w:szCs w:val="24"/>
        </w:rPr>
        <w:lastRenderedPageBreak/>
        <w:t xml:space="preserve">Appendix </w:t>
      </w:r>
      <w:r>
        <w:rPr>
          <w:rFonts w:ascii="Times New Roman" w:eastAsia="宋体" w:hAnsi="Times New Roman" w:cs="Times New Roman"/>
          <w:b/>
          <w:bCs/>
          <w:sz w:val="24"/>
          <w:szCs w:val="24"/>
        </w:rPr>
        <w:t>8</w:t>
      </w:r>
      <w:r w:rsidRPr="005C5F76">
        <w:rPr>
          <w:rFonts w:ascii="Times New Roman" w:eastAsia="宋体" w:hAnsi="Times New Roman" w:cs="Times New Roman"/>
          <w:b/>
          <w:bCs/>
          <w:sz w:val="24"/>
          <w:szCs w:val="24"/>
        </w:rPr>
        <w:t>:</w:t>
      </w:r>
    </w:p>
    <w:p w14:paraId="7C4EE456" w14:textId="799AAC80" w:rsidR="00BF5615" w:rsidRDefault="00BF5615" w:rsidP="005C5F76">
      <w:pPr>
        <w:pStyle w:val="a7"/>
        <w:spacing w:line="480" w:lineRule="auto"/>
        <w:ind w:firstLine="480"/>
        <w:rPr>
          <w:rFonts w:ascii="Times New Roman" w:hAnsi="Times New Roman" w:cs="Times New Roman"/>
          <w:sz w:val="24"/>
          <w:szCs w:val="24"/>
        </w:rPr>
      </w:pPr>
      <w:r w:rsidRPr="00EB5E04">
        <w:rPr>
          <w:rFonts w:ascii="Times New Roman" w:eastAsia="宋体" w:hAnsi="Times New Roman" w:cs="Times New Roman" w:hint="eastAsia"/>
          <w:sz w:val="24"/>
        </w:rPr>
        <w:t>For the explanatory variable derived from the question "How did you get to know your spouse/partner" in the</w:t>
      </w:r>
      <w:r w:rsidRPr="00EB5E04">
        <w:rPr>
          <w:sz w:val="24"/>
        </w:rPr>
        <w:t xml:space="preserve"> </w:t>
      </w:r>
      <w:r w:rsidRPr="00EB5E04">
        <w:rPr>
          <w:rFonts w:ascii="Times New Roman" w:eastAsia="宋体" w:hAnsi="Times New Roman" w:cs="Times New Roman"/>
          <w:sz w:val="24"/>
        </w:rPr>
        <w:t>China Family Panel Studies</w:t>
      </w:r>
      <w:r w:rsidRPr="00EB5E04">
        <w:rPr>
          <w:rFonts w:ascii="Times New Roman" w:eastAsia="宋体" w:hAnsi="Times New Roman" w:cs="Times New Roman" w:hint="eastAsia"/>
          <w:sz w:val="24"/>
        </w:rPr>
        <w:t xml:space="preserve"> (CFPS), considering that "introduction by friends and relatives" is also a way of getting to know each other through family channels and then entering into marriage, and that the form of "introduction by friends and relatives" is also close to the traditional concept of marriage, the two are similar in terms of their pathways. Considering that "introduction by family and friends" is also a way to get to know each other through family channels, and that the form of "introduction by family and friends" is also close to the traditional concept of marriage, the two approaches are almost the same. Therefore, we re-adopted the proportion of responses to "introduced by parents" and "introduced by friends and relatives" in the total number of respondents to this question in each region as a measure of the level of the traditional concept of marriage in that region,</w:t>
      </w:r>
    </w:p>
    <w:p w14:paraId="28AA2FA6" w14:textId="77777777" w:rsidR="005C5F76" w:rsidRDefault="005C5F76" w:rsidP="005C5F76">
      <w:pPr>
        <w:pStyle w:val="a7"/>
        <w:spacing w:line="480" w:lineRule="auto"/>
        <w:ind w:firstLine="480"/>
        <w:rPr>
          <w:rFonts w:ascii="Times New Roman" w:hAnsi="Times New Roman" w:cs="Times New Roman"/>
          <w:sz w:val="24"/>
          <w:szCs w:val="24"/>
        </w:rPr>
      </w:pPr>
    </w:p>
    <w:sectPr w:rsidR="005C5F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618A7" w14:textId="77777777" w:rsidR="000A5552" w:rsidRDefault="000A5552" w:rsidP="005C5F76">
      <w:pPr>
        <w:rPr>
          <w:rFonts w:hint="eastAsia"/>
        </w:rPr>
      </w:pPr>
      <w:r>
        <w:separator/>
      </w:r>
    </w:p>
  </w:endnote>
  <w:endnote w:type="continuationSeparator" w:id="0">
    <w:p w14:paraId="4679E847" w14:textId="77777777" w:rsidR="000A5552" w:rsidRDefault="000A5552" w:rsidP="005C5F7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36CA6" w14:textId="77777777" w:rsidR="000A5552" w:rsidRDefault="000A5552" w:rsidP="005C5F76">
      <w:pPr>
        <w:rPr>
          <w:rFonts w:hint="eastAsia"/>
        </w:rPr>
      </w:pPr>
      <w:r>
        <w:separator/>
      </w:r>
    </w:p>
  </w:footnote>
  <w:footnote w:type="continuationSeparator" w:id="0">
    <w:p w14:paraId="76846426" w14:textId="77777777" w:rsidR="000A5552" w:rsidRDefault="000A5552" w:rsidP="005C5F7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47E25"/>
    <w:multiLevelType w:val="hybridMultilevel"/>
    <w:tmpl w:val="2A34755E"/>
    <w:lvl w:ilvl="0" w:tplc="242C3174">
      <w:start w:val="1"/>
      <w:numFmt w:val="decimalEnclosedCircle"/>
      <w:lvlText w:val="%1"/>
      <w:lvlJc w:val="left"/>
      <w:pPr>
        <w:ind w:left="440" w:hanging="440"/>
      </w:pPr>
      <w:rPr>
        <w:rFonts w:cstheme="minorBidi"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61047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BB8"/>
    <w:rsid w:val="000A5552"/>
    <w:rsid w:val="000F4516"/>
    <w:rsid w:val="002963DA"/>
    <w:rsid w:val="002D763E"/>
    <w:rsid w:val="00466EE6"/>
    <w:rsid w:val="004C45AE"/>
    <w:rsid w:val="005336D7"/>
    <w:rsid w:val="00585196"/>
    <w:rsid w:val="0059210A"/>
    <w:rsid w:val="005B25A4"/>
    <w:rsid w:val="005C5F76"/>
    <w:rsid w:val="005E34E7"/>
    <w:rsid w:val="006C4CA1"/>
    <w:rsid w:val="00756784"/>
    <w:rsid w:val="00A13220"/>
    <w:rsid w:val="00AB6FA5"/>
    <w:rsid w:val="00AD1B55"/>
    <w:rsid w:val="00AF65B8"/>
    <w:rsid w:val="00B40BB8"/>
    <w:rsid w:val="00B41F28"/>
    <w:rsid w:val="00BB1931"/>
    <w:rsid w:val="00BF5615"/>
    <w:rsid w:val="00C77D34"/>
    <w:rsid w:val="00CE40CD"/>
    <w:rsid w:val="00D64CD2"/>
    <w:rsid w:val="00D90937"/>
    <w:rsid w:val="00DA3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C4FC77"/>
  <w15:chartTrackingRefBased/>
  <w15:docId w15:val="{471A7793-1E80-4537-99CE-125883B88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5F76"/>
    <w:pPr>
      <w:tabs>
        <w:tab w:val="center" w:pos="4153"/>
        <w:tab w:val="right" w:pos="8306"/>
      </w:tabs>
      <w:snapToGrid w:val="0"/>
      <w:jc w:val="center"/>
    </w:pPr>
    <w:rPr>
      <w:sz w:val="18"/>
      <w:szCs w:val="18"/>
    </w:rPr>
  </w:style>
  <w:style w:type="character" w:customStyle="1" w:styleId="a4">
    <w:name w:val="页眉 字符"/>
    <w:basedOn w:val="a0"/>
    <w:link w:val="a3"/>
    <w:uiPriority w:val="99"/>
    <w:rsid w:val="005C5F76"/>
    <w:rPr>
      <w:sz w:val="18"/>
      <w:szCs w:val="18"/>
    </w:rPr>
  </w:style>
  <w:style w:type="paragraph" w:styleId="a5">
    <w:name w:val="footer"/>
    <w:basedOn w:val="a"/>
    <w:link w:val="a6"/>
    <w:uiPriority w:val="99"/>
    <w:unhideWhenUsed/>
    <w:rsid w:val="005C5F76"/>
    <w:pPr>
      <w:tabs>
        <w:tab w:val="center" w:pos="4153"/>
        <w:tab w:val="right" w:pos="8306"/>
      </w:tabs>
      <w:snapToGrid w:val="0"/>
      <w:jc w:val="left"/>
    </w:pPr>
    <w:rPr>
      <w:sz w:val="18"/>
      <w:szCs w:val="18"/>
    </w:rPr>
  </w:style>
  <w:style w:type="character" w:customStyle="1" w:styleId="a6">
    <w:name w:val="页脚 字符"/>
    <w:basedOn w:val="a0"/>
    <w:link w:val="a5"/>
    <w:uiPriority w:val="99"/>
    <w:rsid w:val="005C5F76"/>
    <w:rPr>
      <w:sz w:val="18"/>
      <w:szCs w:val="18"/>
    </w:rPr>
  </w:style>
  <w:style w:type="paragraph" w:styleId="a7">
    <w:name w:val="List Paragraph"/>
    <w:basedOn w:val="a"/>
    <w:uiPriority w:val="34"/>
    <w:qFormat/>
    <w:rsid w:val="005C5F7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9</Pages>
  <Words>2467</Words>
  <Characters>12928</Characters>
  <Application>Microsoft Office Word</Application>
  <DocSecurity>0</DocSecurity>
  <Lines>248</Lines>
  <Paragraphs>90</Paragraphs>
  <ScaleCrop>false</ScaleCrop>
  <Company/>
  <LinksUpToDate>false</LinksUpToDate>
  <CharactersWithSpaces>15305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明禹 戴</dc:creator>
  <cp:keywords/>
  <dc:description/>
  <cp:lastModifiedBy>明禹 戴</cp:lastModifiedBy>
  <cp:revision>9</cp:revision>
  <dcterms:created xsi:type="dcterms:W3CDTF">2024-01-25T13:14:00Z</dcterms:created>
  <dcterms:modified xsi:type="dcterms:W3CDTF">2026-01-24T03:40:00Z</dcterms:modified>
</cp:coreProperties>
</file>