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7F4AC" w14:textId="77777777" w:rsidR="00902E2F" w:rsidRDefault="00902E2F" w:rsidP="00902E2F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Materials and Methods</w:t>
      </w:r>
    </w:p>
    <w:p w14:paraId="06103717" w14:textId="2BE729EB" w:rsidR="005B2493" w:rsidRDefault="005B2493" w:rsidP="005B249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Cell Counting Kit-8 (CCK-8) Assay </w:t>
      </w:r>
    </w:p>
    <w:p w14:paraId="371E0E40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Cell viability was assessed using the Cell Counting Kit-8 (CCK-8; Dojindo, Kumamoto, Japan; Cat. No. CK04) following the manufacturer’s protocol. Briefly, cells were seeded into 96-well plates at a density of 2×10³ cells per well in 100 μL of complete culture medium (RPMI-1640 supplemented with 10% FBS and 1% penicillin-streptomycin) and incubated at 37°C in a 5% CO₂ humidified incubator for 24 h to allow adherence. After treatment, 10 μL of CCK-8 solution was added to each well and the plates were incubated for an additional 1–4 h (depending on cell density and treatment duration) at 37°C. Absorbance at 450 nm was measured using a microplate reader (Bio-Rad Laboratories, Inc., USA) to quantify viable cells. Each experimental condition was performed in quintuplicate, and data represent the mean ± standard deviation (SD) from at least three independent biological replicates.</w:t>
      </w:r>
    </w:p>
    <w:p w14:paraId="17157D20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E6E003B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Colony Formation Assay</w:t>
      </w:r>
    </w:p>
    <w:p w14:paraId="4D0B9579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Cells were seeded at 500–1,000 cells/well in 6-well plates and cultured in complete RPMI-1640 medium (10% FBS, 1% penicillin-streptomycin) at 37°C with 5% CO₂. After 10–14 days, colonies were fixed with 4% paraformaldehyde for 15 min, stained with 0.5% crystal violet for 15–20 min, washed with water, air-dried, and counted under a microscope. Colonies were defined as &gt;50 cells/cluster. Data are presented as mean ± SD from </w:t>
      </w:r>
      <w:r>
        <w:rPr>
          <w:rFonts w:ascii="Times New Roman" w:hAnsi="Times New Roman" w:cs="Times New Roman" w:hint="eastAsia"/>
          <w:sz w:val="24"/>
        </w:rPr>
        <w:t>≥</w:t>
      </w:r>
      <w:r>
        <w:rPr>
          <w:rFonts w:ascii="Times New Roman" w:hAnsi="Times New Roman" w:cs="Times New Roman"/>
          <w:sz w:val="24"/>
        </w:rPr>
        <w:t>3 independent experiments (triplicate wells per condition).</w:t>
      </w:r>
    </w:p>
    <w:p w14:paraId="50722C15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4711F566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Flowcytometry</w:t>
      </w:r>
    </w:p>
    <w:p w14:paraId="170026BE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Apoptosis was detected using the Annexin V-FITC/PI Apoptosis Detection Kit (BestBio, Cat. No. BB-4101) following the manufacturer’s protocol. Briefly, cells were harvested by trypsinization, washed with PBS, and resuspended in 1× binding buffer at 1×10⁶ cells/mL. A total of 100 μL cell suspension (1×10⁵ cells) was incubated with 5 μL Annexin V-FITC and 10 μL PI in the dark at RT for 15 min. After adding 400 μL 1× binding buffer, apoptosis was analyzed by flow cytometry (BD FACSCalibur™) within 1 h. Early apoptotic cells (Annexin V⁺/PI⁻) and late apoptotic/necrotic cells (Annexin V⁺/PI⁺) were quantified.</w:t>
      </w:r>
    </w:p>
    <w:p w14:paraId="7BDB14F2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1EBF8486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Wound Healing Assay</w:t>
      </w:r>
    </w:p>
    <w:p w14:paraId="344BBEDB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Cell migration was evaluated using the wound healing assay. Confluent cells were scratched with a 200 μL pipette tip to create a uniform wound, washed with PBS to remove detached cells, and incubated in serum-free medium. Wound closure was monitored by capturing images at 0 h and 24 h using an inverted microscope. The migration area was quantified as the percentage of wound closure using ImageJ software. Experiments were performed in triplicate, with data presented as mean ± SD.</w:t>
      </w:r>
    </w:p>
    <w:p w14:paraId="58E5978C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7AF3B457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Transwell assay</w:t>
      </w:r>
    </w:p>
    <w:p w14:paraId="725A6FAE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Cell migration was evaluated using 24-well Transwell chambers (8 μm pores, Corning, Cat. No. 3422). A total of 5×10⁴ cells in 200 μL serum-free medium were seeded in the upper chamber, and 600 μL complete medium (with 10% FBS) was added to the lower </w:t>
      </w:r>
      <w:r>
        <w:rPr>
          <w:rFonts w:ascii="Times New Roman" w:hAnsi="Times New Roman" w:cs="Times New Roman"/>
          <w:sz w:val="24"/>
        </w:rPr>
        <w:lastRenderedPageBreak/>
        <w:t xml:space="preserve">chamber as a chemoattractant. After incubation at 37°C for 24 h, non-migrated cells were removed from the upper surface with a cotton swab. Migrated cells on the lower surface were fixed with 4% paraformaldehyde, stained with 0.5% crystal violet, and counted under a microscope in five random fields. Data are presented as the mean number of migrated cells per field ± SD from triplicate wells and </w:t>
      </w:r>
      <w:r>
        <w:rPr>
          <w:rFonts w:ascii="Times New Roman" w:hAnsi="Times New Roman" w:cs="Times New Roman" w:hint="eastAsia"/>
          <w:sz w:val="24"/>
        </w:rPr>
        <w:t>≥</w:t>
      </w:r>
      <w:r>
        <w:rPr>
          <w:rFonts w:ascii="Times New Roman" w:hAnsi="Times New Roman" w:cs="Times New Roman"/>
          <w:sz w:val="24"/>
        </w:rPr>
        <w:t>3 independent experiments.</w:t>
      </w:r>
    </w:p>
    <w:p w14:paraId="127B4CA4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sz w:val="24"/>
        </w:rPr>
      </w:pPr>
    </w:p>
    <w:p w14:paraId="1F37EEBF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Metabolic Assays</w:t>
      </w:r>
    </w:p>
    <w:p w14:paraId="3FCECD95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Glucose Consumption, Lactate Production, and ATP Levels: Glucose uptake was measured using a Glucose Uptake Colorimetric Assay Kit (BioVision, Cat. No. K676-100), lactate production with a Lactate Colorimetric Assay Kit (BioVision, Cat. No. K607-100), and intracellular ATP levels with an ATP Colorimetric/Fluorometric Assay Kit (BioVision, Cat. No. K354-100). All assays were performed per the manufacturers’ protocols, with results normalized to total protein content measured by BCA assay (Beyotime, Cat. No. P0012).</w:t>
      </w:r>
    </w:p>
    <w:p w14:paraId="7BB1AFCE" w14:textId="77777777" w:rsidR="005B2493" w:rsidRDefault="005B2493" w:rsidP="005B249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ECAR and OCR Analysis: Mitochondrial respiration and glycolysis were assessed using a Seahorse XF96 Analyzer (Agilent). Cells seeded in XF96 plates were equilibrated in Seahorse base medium supplemented with 10 mM glucose, 2 mM glutamine, and 1 mM pyruvate, then sequentially treated with oligomycin, FCCP, and rotenone/antimycin A (mitochondrial stress) or glucose, oligomycin, and 2-DG (glycolysis stress). Real-time ECAR and OCR were recorded and normalized to cell number or protein content.</w:t>
      </w:r>
    </w:p>
    <w:p w14:paraId="4BCF97F6" w14:textId="77777777" w:rsidR="00BF5F7D" w:rsidRPr="005B2493" w:rsidRDefault="00BF5F7D"/>
    <w:sectPr w:rsidR="00BF5F7D" w:rsidRPr="005B24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D469B" w14:textId="77777777" w:rsidR="00D70031" w:rsidRDefault="00D70031" w:rsidP="005B2493">
      <w:r>
        <w:separator/>
      </w:r>
    </w:p>
  </w:endnote>
  <w:endnote w:type="continuationSeparator" w:id="0">
    <w:p w14:paraId="19BF6676" w14:textId="77777777" w:rsidR="00D70031" w:rsidRDefault="00D70031" w:rsidP="005B2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5D9567" w14:textId="77777777" w:rsidR="00D70031" w:rsidRDefault="00D70031" w:rsidP="005B2493">
      <w:r>
        <w:separator/>
      </w:r>
    </w:p>
  </w:footnote>
  <w:footnote w:type="continuationSeparator" w:id="0">
    <w:p w14:paraId="40053030" w14:textId="77777777" w:rsidR="00D70031" w:rsidRDefault="00D70031" w:rsidP="005B24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D2B"/>
    <w:rsid w:val="00044D2B"/>
    <w:rsid w:val="005B2493"/>
    <w:rsid w:val="00902E2F"/>
    <w:rsid w:val="009F5FAE"/>
    <w:rsid w:val="00BF5F7D"/>
    <w:rsid w:val="00D7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773F64"/>
  <w15:chartTrackingRefBased/>
  <w15:docId w15:val="{0C4017B9-54DC-426F-9406-B468BB65C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249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24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24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24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24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596</Words>
  <Characters>3718</Characters>
  <Application>Microsoft Office Word</Application>
  <DocSecurity>0</DocSecurity>
  <Lines>65</Lines>
  <Paragraphs>15</Paragraphs>
  <ScaleCrop>false</ScaleCrop>
  <Company/>
  <LinksUpToDate>false</LinksUpToDate>
  <CharactersWithSpaces>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2025-11-25T07:19:00Z</dcterms:created>
  <dcterms:modified xsi:type="dcterms:W3CDTF">2025-11-25T07:29:00Z</dcterms:modified>
</cp:coreProperties>
</file>