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D02939">
      <w:pPr>
        <w:rPr>
          <w:rFonts w:hint="eastAsia" w:ascii="Arial Regular" w:hAnsi="Arial Regular" w:cs="Arial Regular" w:eastAsiaTheme="minorEastAsia"/>
          <w:lang w:eastAsia="zh-CN"/>
        </w:rPr>
      </w:pPr>
      <w:r>
        <w:rPr>
          <w:rFonts w:hint="eastAsia" w:ascii="Arial Regular" w:hAnsi="Arial Regular" w:cs="Arial Regular" w:eastAsiaTheme="minorEastAsia"/>
          <w:lang w:eastAsia="zh-CN"/>
        </w:rPr>
        <w:drawing>
          <wp:inline distT="0" distB="0" distL="114300" distR="114300">
            <wp:extent cx="5273675" cy="5168265"/>
            <wp:effectExtent l="0" t="0" r="9525" b="13335"/>
            <wp:docPr id="1" name="图片 1" descr="Figure.S1.Immune_gene_list_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.S1.Immune_gene_list_feature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86332">
      <w:pPr>
        <w:rPr>
          <w:rFonts w:hint="default" w:ascii="Arial Regular" w:hAnsi="Arial Regular" w:cs="Arial Regular"/>
          <w:lang w:val="en-US"/>
        </w:rPr>
      </w:pP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</w:rPr>
        <w:t>Supplementary Figure S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/>
        </w:rPr>
        <w:t>1</w:t>
      </w:r>
      <w:r>
        <w:rPr>
          <w:rFonts w:hint="default" w:ascii="Arial Regular" w:hAnsi="Arial Regular" w:cs="Arial Regular"/>
          <w:sz w:val="21"/>
          <w:szCs w:val="21"/>
        </w:rPr>
        <w:t xml:space="preserve">. </w:t>
      </w:r>
      <w:r>
        <w:rPr>
          <w:rFonts w:hint="default" w:ascii="Arial Regular" w:hAnsi="Arial Regular" w:cs="Arial Regular"/>
          <w:lang w:val="en-US"/>
        </w:rPr>
        <w:t xml:space="preserve">Characteristics of curated immune-related genes. </w:t>
      </w:r>
      <w:r>
        <w:rPr>
          <w:rFonts w:hint="default" w:ascii="Arial Regular" w:hAnsi="Arial Regular" w:cs="Arial Regular"/>
        </w:rPr>
        <w:t>(A) GO enrichment analysis of the curated immune-related genes, highlighting significantly over</w:t>
      </w:r>
      <w:r>
        <w:rPr>
          <w:rFonts w:hint="eastAsia" w:ascii="Arial Regular" w:hAnsi="Arial Regular" w:cs="Arial Regular"/>
          <w:lang w:val="en-US" w:eastAsia="zh-CN"/>
        </w:rPr>
        <w:t>-</w:t>
      </w:r>
      <w:r>
        <w:rPr>
          <w:rFonts w:hint="default" w:ascii="Arial Regular" w:hAnsi="Arial Regular" w:cs="Arial Regular"/>
        </w:rPr>
        <w:t>represented biological processes and pathways associated with immune regulation.</w:t>
      </w:r>
      <w:r>
        <w:rPr>
          <w:rFonts w:hint="default" w:ascii="Arial Regular" w:hAnsi="Arial Regular" w:cs="Arial Regular"/>
          <w:lang w:val="en-US"/>
        </w:rPr>
        <w:t xml:space="preserve"> X-axis indicates gene ratio, Y-axis indicates enriched biological functions, color of circles indicates P-value, and size of circles indicates number of genes. </w:t>
      </w:r>
      <w:r>
        <w:rPr>
          <w:rFonts w:hint="default" w:ascii="Arial Regular" w:hAnsi="Arial Regular" w:cs="Arial Regular"/>
        </w:rPr>
        <w:t>(B) The protein-protein interaction network of a random subset of 800 immune-related genes, as well as the interaction networks of two representative clusters derived from this subset</w:t>
      </w:r>
      <w:r>
        <w:rPr>
          <w:rFonts w:hint="default" w:ascii="Arial Regular" w:hAnsi="Arial Regular" w:cs="Arial Regular"/>
          <w:lang w:val="en-US"/>
        </w:rPr>
        <w:t>,</w:t>
      </w:r>
      <w:r>
        <w:rPr>
          <w:rFonts w:hint="default" w:ascii="Arial Regular" w:hAnsi="Arial Regular" w:cs="Arial Regular"/>
        </w:rPr>
        <w:t xml:space="preserve"> illustrating the highly interconnected and complex interaction patterns among immune genes.</w:t>
      </w:r>
      <w:r>
        <w:rPr>
          <w:rFonts w:hint="default" w:ascii="Arial Regular" w:hAnsi="Arial Regular" w:cs="Arial Regular"/>
          <w:lang w:val="en-US"/>
        </w:rPr>
        <w:t xml:space="preserve"> Related to 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/>
        </w:rPr>
        <w:t>Figure 1</w:t>
      </w:r>
      <w:r>
        <w:rPr>
          <w:rFonts w:hint="default" w:ascii="Arial Regular" w:hAnsi="Arial Regular" w:cs="Arial Regular"/>
          <w:lang w:val="en-US"/>
        </w:rPr>
        <w:t>.</w:t>
      </w:r>
    </w:p>
    <w:p w14:paraId="16897D3B">
      <w:pPr>
        <w:rPr>
          <w:rFonts w:hint="default" w:ascii="Arial Regular" w:hAnsi="Arial Regular" w:cs="Arial Regular"/>
        </w:rPr>
      </w:pPr>
    </w:p>
    <w:p w14:paraId="4C3A255E">
      <w:pPr>
        <w:rPr>
          <w:rFonts w:hint="eastAsia" w:ascii="Arial Regular" w:hAnsi="Arial Regular" w:cs="Arial Regular" w:eastAsiaTheme="minorEastAsia"/>
          <w:lang w:eastAsia="zh-CN"/>
        </w:rPr>
      </w:pPr>
    </w:p>
    <w:p w14:paraId="5245984A">
      <w:pPr>
        <w:rPr>
          <w:rFonts w:hint="default" w:ascii="Arial Regular" w:hAnsi="Arial Regular" w:cs="Arial Regular"/>
        </w:rPr>
      </w:pPr>
      <w:r>
        <w:rPr>
          <w:rFonts w:hint="default" w:ascii="Arial Regular" w:hAnsi="Arial Regular" w:cs="Arial Regular"/>
        </w:rPr>
        <w:br w:type="page"/>
      </w:r>
    </w:p>
    <w:p w14:paraId="2DB8D5CA">
      <w:pPr>
        <w:rPr>
          <w:rFonts w:hint="eastAsia" w:ascii="Arial Regular" w:hAnsi="Arial Regular" w:cs="Arial Regular" w:eastAsiaTheme="minorEastAsia"/>
          <w:lang w:eastAsia="zh-CN"/>
        </w:rPr>
      </w:pPr>
      <w:r>
        <w:rPr>
          <w:rFonts w:hint="eastAsia" w:ascii="Arial Regular" w:hAnsi="Arial Regular" w:cs="Arial Regular" w:eastAsiaTheme="minorEastAsia"/>
          <w:lang w:eastAsia="zh-CN"/>
        </w:rPr>
        <w:drawing>
          <wp:inline distT="0" distB="0" distL="114300" distR="114300">
            <wp:extent cx="5266690" cy="6936105"/>
            <wp:effectExtent l="0" t="0" r="16510" b="23495"/>
            <wp:docPr id="6" name="图片 6" descr="Figure.S2.Depict_immune_gene_features_Supplementary_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.S2.Depict_immune_gene_features_Supplementary_12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E892">
      <w:pPr>
        <w:rPr>
          <w:rFonts w:hint="default" w:ascii="Arial Regular" w:hAnsi="Arial Regular" w:cs="Arial Regular"/>
          <w:lang w:val="en-US"/>
        </w:rPr>
      </w:pP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</w:rPr>
        <w:t>Supplementary Figure S2</w:t>
      </w:r>
      <w:r>
        <w:rPr>
          <w:rFonts w:hint="default" w:ascii="Arial Regular" w:hAnsi="Arial Regular" w:cs="Arial Regular"/>
        </w:rPr>
        <w:t>. Comparative functional and evolutionary characteristics of four immune-related gene categories. (A) Venn diagram showing the overlap among four immune-related gene categories. (B) GO enrichment analysis illustrating significantly enriched biological processes within each gene category. (C) Comparison of transcript counts among the four gene categories.</w:t>
      </w:r>
      <w:r>
        <w:rPr>
          <w:rFonts w:hint="default" w:ascii="Arial Regular" w:hAnsi="Arial Regular" w:cs="Arial Regular"/>
          <w:lang w:val="en-US"/>
        </w:rPr>
        <w:t xml:space="preserve"> </w:t>
      </w:r>
      <w:r>
        <w:rPr>
          <w:rFonts w:hint="default" w:ascii="Arial Regular" w:hAnsi="Arial Regular" w:cs="Arial Regular"/>
        </w:rPr>
        <w:t>(D)</w:t>
      </w:r>
      <w:r>
        <w:rPr>
          <w:rFonts w:hint="default" w:ascii="Arial Regular" w:hAnsi="Arial Regular" w:cs="Arial Regular"/>
          <w:lang w:val="en-US"/>
        </w:rPr>
        <w:t xml:space="preserve"> </w:t>
      </w:r>
      <w:r>
        <w:rPr>
          <w:rFonts w:hint="default" w:ascii="Arial Regular" w:hAnsi="Arial Regular" w:cs="Arial Regular"/>
        </w:rPr>
        <w:t>Comparison of 5</w:t>
      </w:r>
      <w:r>
        <w:rPr>
          <w:rFonts w:hint="default" w:ascii="Arial Regular" w:hAnsi="Arial Regular" w:cs="Arial Regular"/>
          <w:lang w:val="en-US"/>
        </w:rPr>
        <w:t>’-</w:t>
      </w:r>
      <w:r>
        <w:rPr>
          <w:rFonts w:hint="default" w:ascii="Arial Regular" w:hAnsi="Arial Regular" w:cs="Arial Regular"/>
        </w:rPr>
        <w:t>UTR results across the four gene categories.</w:t>
      </w:r>
      <w:r>
        <w:rPr>
          <w:rFonts w:hint="default" w:ascii="Arial Regular" w:hAnsi="Arial Regular" w:cs="Arial Regular"/>
          <w:lang w:val="en-US"/>
        </w:rPr>
        <w:t xml:space="preserve"> </w:t>
      </w:r>
      <w:r>
        <w:rPr>
          <w:rFonts w:hint="default" w:ascii="Arial Regular" w:hAnsi="Arial Regular" w:cs="Arial Regular"/>
        </w:rPr>
        <w:t>(</w:t>
      </w:r>
      <w:r>
        <w:rPr>
          <w:rFonts w:hint="default" w:ascii="Arial Regular" w:hAnsi="Arial Regular" w:cs="Arial Regular"/>
          <w:lang w:val="en-US"/>
        </w:rPr>
        <w:t>E</w:t>
      </w:r>
      <w:r>
        <w:rPr>
          <w:rFonts w:hint="default" w:ascii="Arial Regular" w:hAnsi="Arial Regular" w:cs="Arial Regular"/>
        </w:rPr>
        <w:t>) Comparison of protein interaction counts among the four gene categories. (</w:t>
      </w:r>
      <w:r>
        <w:rPr>
          <w:rFonts w:hint="default" w:ascii="Arial Regular" w:hAnsi="Arial Regular" w:cs="Arial Regular"/>
          <w:lang w:val="en-US"/>
        </w:rPr>
        <w:t>F</w:t>
      </w:r>
      <w:r>
        <w:rPr>
          <w:rFonts w:hint="default" w:ascii="Arial Regular" w:hAnsi="Arial Regular" w:cs="Arial Regular"/>
        </w:rPr>
        <w:t>) Comparison of protein interaction ratios across the four gene categories.</w:t>
      </w:r>
      <w:r>
        <w:rPr>
          <w:rFonts w:hint="default" w:ascii="Arial Regular" w:hAnsi="Arial Regular" w:cs="Arial Regular"/>
          <w:lang w:val="en-US"/>
        </w:rPr>
        <w:t xml:space="preserve"> </w:t>
      </w:r>
      <w:r>
        <w:rPr>
          <w:rFonts w:hint="default" w:ascii="Arial Regular" w:hAnsi="Arial Regular" w:cs="Arial Regular"/>
        </w:rPr>
        <w:t>(G)</w:t>
      </w:r>
      <w:r>
        <w:rPr>
          <w:rFonts w:hint="default" w:ascii="Arial Regular" w:hAnsi="Arial Regular" w:cs="Arial Regular"/>
          <w:lang w:val="en-US"/>
        </w:rPr>
        <w:t xml:space="preserve"> Comparison of heterozygosity density across four gene categories in the CHB population. (H) Comparison of F</w:t>
      </w:r>
      <w:r>
        <w:rPr>
          <w:rFonts w:hint="default" w:ascii="Arial Regular" w:hAnsi="Arial Regular" w:cs="Arial Regular"/>
          <w:vertAlign w:val="subscript"/>
          <w:lang w:val="en-US"/>
        </w:rPr>
        <w:t>ST</w:t>
      </w:r>
      <w:r>
        <w:rPr>
          <w:rFonts w:hint="default" w:ascii="Arial Regular" w:hAnsi="Arial Regular" w:cs="Arial Regular"/>
          <w:lang w:val="en-US"/>
        </w:rPr>
        <w:t xml:space="preserve"> results represented as Z scores across the four gene categories. (I) Comparison of Tajima’s </w:t>
      </w:r>
      <w:r>
        <w:rPr>
          <w:rFonts w:hint="default" w:ascii="Arial Italic" w:hAnsi="Arial Italic" w:cs="Arial Italic"/>
          <w:i/>
          <w:iCs/>
          <w:lang w:val="en-US"/>
        </w:rPr>
        <w:t>D</w:t>
      </w:r>
      <w:r>
        <w:rPr>
          <w:rFonts w:hint="default" w:ascii="Arial Regular" w:hAnsi="Arial Regular" w:cs="Arial Regular"/>
          <w:lang w:val="en-US"/>
        </w:rPr>
        <w:t xml:space="preserve"> results across four gene categories. (</w:t>
      </w:r>
      <w:r>
        <w:rPr>
          <w:rFonts w:hint="eastAsia" w:ascii="Arial Regular" w:hAnsi="Arial Regular" w:cs="Arial Regular"/>
          <w:lang w:val="en-US" w:eastAsia="zh-CN"/>
        </w:rPr>
        <w:t>J</w:t>
      </w:r>
      <w:r>
        <w:rPr>
          <w:rFonts w:hint="default" w:ascii="Arial Regular" w:hAnsi="Arial Regular" w:cs="Arial Regular"/>
          <w:lang w:val="en-US"/>
        </w:rPr>
        <w:t>) Comparison of iHS results among the three non-random gene categories. The random gene category was excluded due to having only two valid iHS values.</w:t>
      </w:r>
      <w:r>
        <w:rPr>
          <w:rFonts w:hint="eastAsia" w:ascii="Arial Regular" w:hAnsi="Arial Regular" w:cs="Arial Regular"/>
          <w:lang w:val="en-US" w:eastAsia="zh-CN"/>
        </w:rPr>
        <w:t xml:space="preserve"> </w:t>
      </w:r>
      <w:r>
        <w:rPr>
          <w:rFonts w:hint="default" w:ascii="Arial Regular" w:hAnsi="Arial Regular" w:cs="Arial Regular"/>
          <w:lang w:val="en-US"/>
        </w:rPr>
        <w:t>(K</w:t>
      </w:r>
      <w:r>
        <w:rPr>
          <w:rFonts w:hint="default" w:ascii="Arial Regular" w:hAnsi="Arial Regular" w:cs="Arial Regular"/>
        </w:rPr>
        <w:t>) Comparison of iHS</w:t>
      </w:r>
      <w:r>
        <w:rPr>
          <w:rFonts w:hint="default" w:ascii="Arial Regular" w:hAnsi="Arial Regular" w:cs="Arial Regular"/>
          <w:lang w:val="en-US"/>
        </w:rPr>
        <w:t xml:space="preserve"> </w:t>
      </w:r>
      <w:r>
        <w:rPr>
          <w:rFonts w:hint="default" w:ascii="Arial Regular" w:hAnsi="Arial Regular" w:cs="Arial Regular"/>
        </w:rPr>
        <w:t>results among the four gene categories.</w:t>
      </w:r>
      <w:r>
        <w:rPr>
          <w:rFonts w:hint="default" w:ascii="Arial Regular" w:hAnsi="Arial Regular" w:cs="Arial Regular"/>
          <w:lang w:val="en-US"/>
        </w:rPr>
        <w:t xml:space="preserve"> "****" stands for P &lt; 0.0001, "***" stands for P &lt; 0.001, "**" stands for P &lt; 0.01, "*" represents P &lt; 0.05, "ns" means not significant, and all P values were calculated using the Mann–Whitney U test. Related to 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/>
        </w:rPr>
        <w:t>Figure 1</w:t>
      </w:r>
      <w:r>
        <w:rPr>
          <w:rFonts w:hint="default" w:ascii="Arial Regular" w:hAnsi="Arial Regular" w:cs="Arial Regular"/>
          <w:lang w:val="en-US"/>
        </w:rPr>
        <w:t>.</w:t>
      </w:r>
    </w:p>
    <w:p w14:paraId="0B72AA9A">
      <w:pPr>
        <w:rPr>
          <w:rFonts w:hint="default" w:ascii="Arial Regular" w:hAnsi="Arial Regular" w:cs="Arial Regular" w:eastAsiaTheme="minorEastAsia"/>
          <w:lang w:val="en-US" w:eastAsia="zh-CN"/>
        </w:rPr>
      </w:pPr>
    </w:p>
    <w:p w14:paraId="39568416">
      <w:pPr>
        <w:rPr>
          <w:rFonts w:hint="default" w:ascii="Arial Regular" w:hAnsi="Arial Regular" w:cs="Arial Regular"/>
        </w:rPr>
      </w:pPr>
      <w:r>
        <w:rPr>
          <w:rFonts w:hint="default" w:ascii="Arial Regular" w:hAnsi="Arial Regular" w:cs="Arial Regular"/>
        </w:rPr>
        <w:br w:type="page"/>
      </w:r>
    </w:p>
    <w:p w14:paraId="0B402AE2">
      <w:pPr>
        <w:rPr>
          <w:rFonts w:hint="eastAsia" w:ascii="Arial Regular" w:hAnsi="Arial Regular" w:cs="Arial Regular" w:eastAsiaTheme="minorEastAsia"/>
          <w:lang w:eastAsia="zh-CN"/>
        </w:rPr>
      </w:pPr>
      <w:r>
        <w:rPr>
          <w:rFonts w:hint="eastAsia" w:ascii="Arial Regular" w:hAnsi="Arial Regular" w:cs="Arial Regular" w:eastAsiaTheme="minorEastAsia"/>
          <w:lang w:eastAsia="zh-CN"/>
        </w:rPr>
        <w:drawing>
          <wp:inline distT="0" distB="0" distL="114300" distR="114300">
            <wp:extent cx="5271135" cy="7524115"/>
            <wp:effectExtent l="0" t="0" r="12065" b="19685"/>
            <wp:docPr id="2" name="图片 2" descr="Figure.S3.Immune_gene_OA_SGM_HAN_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.S3.Immune_gene_OA_SGM_HAN_12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2336">
      <w:pPr>
        <w:rPr>
          <w:rFonts w:hint="default" w:ascii="Arial Regular" w:hAnsi="Arial Regular" w:cs="Arial Regular"/>
          <w:lang w:val="en-US"/>
        </w:rPr>
      </w:pP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</w:rPr>
        <w:t>Supplementary Figure S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/>
        </w:rPr>
        <w:t>3</w:t>
      </w:r>
      <w:r>
        <w:rPr>
          <w:rFonts w:hint="default" w:ascii="Arial Regular" w:hAnsi="Arial Regular" w:cs="Arial Regular"/>
        </w:rPr>
        <w:t>.</w:t>
      </w:r>
      <w:r>
        <w:rPr>
          <w:rFonts w:hint="default" w:ascii="Arial Regular" w:hAnsi="Arial Regular" w:cs="Arial Regular"/>
          <w:lang w:val="en-US"/>
        </w:rPr>
        <w:t xml:space="preserve"> Population differentiation of immune-related genetic variation among OA, SGM, and HAN populations. (A) Distribution of iHS values for immune and non-immune loci in the OA populations, with statistical comparison by Welch’s t-test. (B) Genome-wide PCA based on 9.57 million SNPs, with the first two principal components explaining 2.99% (PC1) and 1.94% (PC2) of the variance. (C) PCA restricted to 9,856 </w:t>
      </w:r>
      <w:r>
        <w:rPr>
          <w:rFonts w:hint="eastAsia" w:ascii="Arial Regular" w:hAnsi="Arial Regular" w:cs="Arial Regular"/>
          <w:lang w:val="en-US" w:eastAsia="zh-CN"/>
        </w:rPr>
        <w:t>curated</w:t>
      </w:r>
      <w:r>
        <w:rPr>
          <w:rFonts w:hint="default" w:ascii="Arial Regular" w:hAnsi="Arial Regular" w:cs="Arial Regular"/>
          <w:lang w:val="en-US"/>
        </w:rPr>
        <w:t xml:space="preserve"> immune genes. PC1 (3.10%) and PC2 (1.90%) reveal enhanced differentiation between OA and reference populations (SGM/HAN). (</w:t>
      </w:r>
      <w:r>
        <w:rPr>
          <w:rFonts w:hint="default" w:ascii="Arial Regular" w:hAnsi="Arial Regular" w:cs="Arial Regular"/>
          <w:lang w:val="en-US" w:eastAsia="zh-CN"/>
        </w:rPr>
        <w:t>D</w:t>
      </w:r>
      <w:r>
        <w:rPr>
          <w:rFonts w:hint="default" w:ascii="Arial Regular" w:hAnsi="Arial Regular" w:cs="Arial Regular"/>
          <w:lang w:val="en-US"/>
        </w:rPr>
        <w:t xml:space="preserve">) The distribution of heterozygous and homozygous </w:t>
      </w:r>
      <w:r>
        <w:rPr>
          <w:rFonts w:hint="eastAsia" w:ascii="Arial Regular" w:hAnsi="Arial Regular" w:cs="Arial Regular"/>
          <w:lang w:val="en-US" w:eastAsia="zh-CN"/>
        </w:rPr>
        <w:t>non-reference</w:t>
      </w:r>
      <w:r>
        <w:rPr>
          <w:rFonts w:hint="default" w:ascii="Arial Regular" w:hAnsi="Arial Regular" w:cs="Arial Regular"/>
          <w:lang w:val="en-US"/>
        </w:rPr>
        <w:t xml:space="preserve"> genotypes for immune-related SNPs across populations. A total of 3,134,976 immune-related SNPs were included in the analysis. (E) Differences in allele frequency distributions of immune-related SNPs between OA and SGM populations. (F) Differences in allele frequency distributions of immune-related SNPs between OA and HAN populations. (G) Differences in allele frequency distributions of immune-related SNPs between SGM and HAN populations. Colors indicate OA (green), SGM (red), and HAN (blue). Related to 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/>
        </w:rPr>
        <w:t>Figure 1</w:t>
      </w:r>
      <w:r>
        <w:rPr>
          <w:rFonts w:hint="default" w:ascii="Arial Regular" w:hAnsi="Arial Regular" w:cs="Arial Regular"/>
          <w:lang w:val="en-US"/>
        </w:rPr>
        <w:t>.</w:t>
      </w:r>
    </w:p>
    <w:p w14:paraId="03A60BBA">
      <w:pPr>
        <w:rPr>
          <w:rFonts w:hint="eastAsia" w:ascii="Arial Regular" w:hAnsi="Arial Regular" w:cs="Arial Regular" w:eastAsiaTheme="minorEastAsia"/>
          <w:lang w:eastAsia="zh-CN"/>
        </w:rPr>
      </w:pPr>
      <w:r>
        <w:rPr>
          <w:rFonts w:hint="eastAsia" w:ascii="Arial Regular" w:hAnsi="Arial Regular" w:cs="Arial Regular" w:eastAsiaTheme="minorEastAsia"/>
          <w:lang w:eastAsia="zh-CN"/>
        </w:rPr>
        <w:br w:type="page"/>
      </w:r>
    </w:p>
    <w:p w14:paraId="4A61CEAA">
      <w:pPr>
        <w:rPr>
          <w:rFonts w:hint="eastAsia" w:ascii="Arial Regular" w:hAnsi="Arial Regular" w:cs="Arial Regular" w:eastAsiaTheme="minorEastAsia"/>
          <w:lang w:eastAsia="zh-CN"/>
        </w:rPr>
      </w:pPr>
      <w:r>
        <w:rPr>
          <w:rFonts w:hint="eastAsia" w:ascii="Arial Regular" w:hAnsi="Arial Regular" w:cs="Arial Regular" w:eastAsiaTheme="minorEastAsia"/>
          <w:lang w:eastAsia="zh-CN"/>
        </w:rPr>
        <w:drawing>
          <wp:inline distT="0" distB="0" distL="114300" distR="114300">
            <wp:extent cx="5267960" cy="3322320"/>
            <wp:effectExtent l="0" t="0" r="15240" b="5080"/>
            <wp:docPr id="4" name="图片 4" descr="Figure.S4.KEGG enrichment analysis of immune genes under 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.S4.KEGG enrichment analysis of immune genes under selectio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D035">
      <w:pPr>
        <w:rPr>
          <w:rFonts w:hint="default" w:ascii="Arial Regular" w:hAnsi="Arial Regular" w:cs="Arial Regular"/>
          <w:lang w:val="en-US"/>
        </w:rPr>
      </w:pP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</w:rPr>
        <w:t>Supplementary Figure S</w:t>
      </w:r>
      <w:r>
        <w:rPr>
          <w:rFonts w:hint="eastAsia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 w:eastAsia="zh-CN"/>
        </w:rPr>
        <w:t>4</w:t>
      </w:r>
      <w:r>
        <w:rPr>
          <w:rFonts w:hint="default" w:ascii="Arial Regular" w:hAnsi="Arial Regular" w:cs="Arial Regular"/>
          <w:lang w:val="en-US"/>
        </w:rPr>
        <w:t>. KEGG enrichment analysis of immune genes under selection in OA populations. (A) The KEGG enrichment results characterize three major functional categories: Human Diseases, Organismal Systems, and Biological Processes.</w:t>
      </w:r>
      <w:r>
        <w:rPr>
          <w:rFonts w:hint="eastAsia" w:ascii="Arial Regular" w:hAnsi="Arial Regular" w:cs="Arial Regular"/>
          <w:lang w:val="en-US" w:eastAsia="zh-CN"/>
        </w:rPr>
        <w:t xml:space="preserve"> </w:t>
      </w:r>
      <w:r>
        <w:rPr>
          <w:rFonts w:hint="default" w:ascii="Arial Regular" w:hAnsi="Arial Regular" w:cs="Arial Regular"/>
          <w:lang w:val="en-US"/>
        </w:rPr>
        <w:t xml:space="preserve">The color gradient of the heatmap represents the FDR for pathway enrichment, while the circle size indicates the gene count in each significantly enriched pathway. Related to 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/>
        </w:rPr>
        <w:t>Figure 2</w:t>
      </w:r>
      <w:r>
        <w:rPr>
          <w:rFonts w:hint="default" w:ascii="Arial Regular" w:hAnsi="Arial Regular" w:cs="Arial Regular"/>
          <w:lang w:val="en-US"/>
        </w:rPr>
        <w:t>.</w:t>
      </w:r>
    </w:p>
    <w:p w14:paraId="643B3374">
      <w:pPr>
        <w:rPr>
          <w:rFonts w:hint="default" w:ascii="Arial Regular" w:hAnsi="Arial Regular" w:cs="Arial Regular"/>
          <w:lang w:val="en-US"/>
        </w:rPr>
      </w:pPr>
    </w:p>
    <w:p w14:paraId="0D97E1D5">
      <w:pPr>
        <w:rPr>
          <w:rFonts w:hint="default" w:ascii="Arial Regular" w:hAnsi="Arial Regular" w:cs="Arial Regular"/>
          <w:lang w:val="en-US"/>
        </w:rPr>
      </w:pPr>
    </w:p>
    <w:p w14:paraId="52825B45">
      <w:pPr>
        <w:rPr>
          <w:rFonts w:hint="eastAsia" w:ascii="Arial Regular" w:hAnsi="Arial Regular" w:cs="Arial Regular" w:eastAsiaTheme="minorEastAsia"/>
          <w:lang w:val="en-US" w:eastAsia="zh-CN"/>
        </w:rPr>
      </w:pPr>
      <w:r>
        <w:rPr>
          <w:rFonts w:hint="eastAsia" w:ascii="Arial Regular" w:hAnsi="Arial Regular" w:cs="Arial Regular" w:eastAsiaTheme="minorEastAsia"/>
          <w:lang w:val="en-US" w:eastAsia="zh-CN"/>
        </w:rPr>
        <w:br w:type="page"/>
      </w:r>
    </w:p>
    <w:p w14:paraId="50E6A734">
      <w:pPr>
        <w:rPr>
          <w:rFonts w:hint="eastAsia" w:ascii="Arial Regular" w:hAnsi="Arial Regular" w:cs="Arial Regular" w:eastAsiaTheme="minorEastAsia"/>
          <w:lang w:val="en-US" w:eastAsia="zh-CN"/>
        </w:rPr>
      </w:pPr>
      <w:r>
        <w:rPr>
          <w:rFonts w:hint="eastAsia" w:ascii="Arial Regular" w:hAnsi="Arial Regular" w:cs="Arial Regular" w:eastAsiaTheme="minorEastAsia"/>
          <w:lang w:val="en-US" w:eastAsia="zh-CN"/>
        </w:rPr>
        <w:drawing>
          <wp:inline distT="0" distB="0" distL="114300" distR="114300">
            <wp:extent cx="5269865" cy="3502025"/>
            <wp:effectExtent l="0" t="0" r="13335" b="3175"/>
            <wp:docPr id="7" name="图片 7" descr="新补充.Figure.S5.HLA_WW2_related_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补充.Figure.S5.HLA_WW2_related_01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42C53">
      <w:pPr>
        <w:rPr>
          <w:rFonts w:hint="default" w:ascii="Arial Regular" w:hAnsi="Arial Regular" w:cs="Arial Regular"/>
          <w:lang w:val="en-US"/>
        </w:rPr>
      </w:pPr>
      <w:r>
        <w:rPr>
          <w:rFonts w:hint="eastAsia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 w:eastAsia="zh-CN"/>
        </w:rPr>
        <w:t>Supplementary Figure S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 w:eastAsia="zh-CN"/>
        </w:rPr>
        <w:t>5</w:t>
      </w:r>
      <w:r>
        <w:rPr>
          <w:rFonts w:hint="eastAsia" w:ascii="Arial Regular" w:hAnsi="Arial Regular" w:cs="Arial Regular" w:eastAsiaTheme="minorEastAsia"/>
          <w:lang w:val="en-US" w:eastAsia="zh-CN"/>
        </w:rPr>
        <w:t>.</w:t>
      </w:r>
      <w:r>
        <w:rPr>
          <w:rFonts w:hint="default" w:ascii="Arial Regular" w:hAnsi="Arial Regular" w:cs="Arial Regular"/>
          <w:lang w:val="en-US" w:eastAsia="zh-CN"/>
        </w:rPr>
        <w:t xml:space="preserve"> Selection signals of the immune-related genes </w:t>
      </w:r>
      <w:r>
        <w:rPr>
          <w:rFonts w:hint="default" w:ascii="Arial Italic" w:hAnsi="Arial Italic" w:cs="Arial Italic"/>
          <w:i/>
          <w:iCs/>
          <w:lang w:val="en-US" w:eastAsia="zh-CN"/>
        </w:rPr>
        <w:t>HLA-DPA1</w:t>
      </w:r>
      <w:r>
        <w:rPr>
          <w:rFonts w:hint="default" w:ascii="Arial" w:hAnsi="Arial" w:cs="Arial"/>
          <w:i w:val="0"/>
          <w:iCs w:val="0"/>
          <w:lang w:val="en-US" w:eastAsia="zh-CN"/>
        </w:rPr>
        <w:t xml:space="preserve">, </w:t>
      </w:r>
      <w:bookmarkStart w:id="0" w:name="_GoBack"/>
      <w:bookmarkEnd w:id="0"/>
      <w:r>
        <w:rPr>
          <w:rFonts w:hint="default" w:ascii="Arial Italic" w:hAnsi="Arial Italic" w:cs="Arial Italic"/>
          <w:i/>
          <w:iCs/>
          <w:lang w:val="en-US" w:eastAsia="zh-CN"/>
        </w:rPr>
        <w:t>HLA-DQB1</w:t>
      </w:r>
      <w:r>
        <w:rPr>
          <w:rFonts w:hint="default" w:ascii="Arial Regular" w:hAnsi="Arial Regular" w:cs="Arial Regular"/>
          <w:lang w:val="en-US" w:eastAsia="zh-CN"/>
        </w:rPr>
        <w:t xml:space="preserve"> and </w:t>
      </w:r>
      <w:r>
        <w:rPr>
          <w:rFonts w:hint="default" w:ascii="Arial Italic" w:hAnsi="Arial Italic" w:cs="Arial Italic"/>
          <w:i/>
          <w:iCs/>
          <w:lang w:val="en-US" w:eastAsia="zh-CN"/>
        </w:rPr>
        <w:t>WWP2</w:t>
      </w:r>
      <w:r>
        <w:rPr>
          <w:rFonts w:hint="default" w:ascii="Arial Regular" w:hAnsi="Arial Regular" w:cs="Arial Regular"/>
          <w:lang w:val="en-US" w:eastAsia="zh-CN"/>
        </w:rPr>
        <w:t xml:space="preserve"> in OA populations. (A) The heatmap shows the frequency with which specific </w:t>
      </w:r>
      <w:r>
        <w:rPr>
          <w:rFonts w:hint="default" w:ascii="Arial Italic" w:hAnsi="Arial Italic" w:cs="Arial Italic"/>
          <w:i/>
          <w:iCs/>
          <w:lang w:val="en-US" w:eastAsia="zh-CN"/>
        </w:rPr>
        <w:t>HLA-DPA1</w:t>
      </w:r>
      <w:r>
        <w:rPr>
          <w:rFonts w:hint="default" w:ascii="Arial Regular" w:hAnsi="Arial Regular" w:cs="Arial Regular"/>
          <w:lang w:val="en-US" w:eastAsia="zh-CN"/>
        </w:rPr>
        <w:t xml:space="preserve"> and </w:t>
      </w:r>
      <w:r>
        <w:rPr>
          <w:rFonts w:hint="default" w:ascii="Arial Italic" w:hAnsi="Arial Italic" w:cs="Arial Italic"/>
          <w:i/>
          <w:iCs/>
          <w:lang w:val="en-US" w:eastAsia="zh-CN"/>
        </w:rPr>
        <w:t>HLA-DPB1</w:t>
      </w:r>
      <w:r>
        <w:rPr>
          <w:rFonts w:hint="default" w:ascii="Arial Regular" w:hAnsi="Arial Regular" w:cs="Arial Regular"/>
          <w:lang w:val="en-US" w:eastAsia="zh-CN"/>
        </w:rPr>
        <w:t xml:space="preserve"> alleles co-occur within individuals in the OA populations, representing their potential haplotype combinations. (B) The heatmap shows the frequency with which specific </w:t>
      </w:r>
      <w:r>
        <w:rPr>
          <w:rFonts w:hint="default" w:ascii="Arial Italic" w:hAnsi="Arial Italic" w:cs="Arial Italic"/>
          <w:i/>
          <w:iCs/>
          <w:lang w:val="en-US" w:eastAsia="zh-CN"/>
        </w:rPr>
        <w:t>HLA-DQA1</w:t>
      </w:r>
      <w:r>
        <w:rPr>
          <w:rFonts w:hint="default" w:ascii="Arial Regular" w:hAnsi="Arial Regular" w:cs="Arial Regular"/>
          <w:lang w:val="en-US" w:eastAsia="zh-CN"/>
        </w:rPr>
        <w:t xml:space="preserve"> and </w:t>
      </w:r>
      <w:r>
        <w:rPr>
          <w:rFonts w:hint="default" w:ascii="Arial Italic" w:hAnsi="Arial Italic" w:cs="Arial Italic"/>
          <w:i/>
          <w:iCs/>
          <w:lang w:val="en-US" w:eastAsia="zh-CN"/>
        </w:rPr>
        <w:t>HLA-DQB1</w:t>
      </w:r>
      <w:r>
        <w:rPr>
          <w:rFonts w:hint="default" w:ascii="Arial Regular" w:hAnsi="Arial Regular" w:cs="Arial Regular"/>
          <w:lang w:val="en-US" w:eastAsia="zh-CN"/>
        </w:rPr>
        <w:t xml:space="preserve"> alleles co-occur within individuals in OA populations, representing their potential haplotype combinations. Color intensity indicates the co-occurrence count, with higher values corresponding to more frequent joint occurrence of the allele pair. (C) Association analysis between the rs1130432 allele and the </w:t>
      </w:r>
      <w:r>
        <w:rPr>
          <w:rFonts w:hint="default" w:ascii="Arial Italic" w:hAnsi="Arial Italic" w:cs="Arial Italic"/>
          <w:i/>
          <w:iCs/>
          <w:lang w:val="en-US" w:eastAsia="zh-CN"/>
        </w:rPr>
        <w:t>HLA-DQB1*05</w:t>
      </w:r>
      <w:r>
        <w:rPr>
          <w:rFonts w:hint="default" w:ascii="Arial Regular" w:hAnsi="Arial Regular" w:cs="Arial Regular"/>
          <w:lang w:val="en-US" w:eastAsia="zh-CN"/>
        </w:rPr>
        <w:t xml:space="preserve"> allele, restricted to individuals homozygous for rs1130432. (D) Indigenous populations showing convergent allele frequencies of the </w:t>
      </w:r>
      <w:r>
        <w:rPr>
          <w:rFonts w:hint="default" w:ascii="Arial Italic" w:hAnsi="Arial Italic" w:cs="Arial Italic"/>
          <w:i/>
          <w:iCs/>
          <w:lang w:val="en-US" w:eastAsia="zh-CN"/>
        </w:rPr>
        <w:t>WWP2</w:t>
      </w:r>
      <w:r>
        <w:rPr>
          <w:rFonts w:hint="default" w:ascii="Arial Regular" w:hAnsi="Arial Regular" w:cs="Arial Regular"/>
          <w:lang w:val="en-US" w:eastAsia="zh-CN"/>
        </w:rPr>
        <w:t xml:space="preserve"> rs12149320 C allele with OA populations. (E) Regulatory trend of the rs12149320 C allele on </w:t>
      </w:r>
      <w:r>
        <w:rPr>
          <w:rFonts w:hint="default" w:ascii="Arial Italic" w:hAnsi="Arial Italic" w:cs="Arial Italic"/>
          <w:i/>
          <w:iCs/>
          <w:lang w:val="en-US" w:eastAsia="zh-CN"/>
        </w:rPr>
        <w:t>CLEC18A</w:t>
      </w:r>
      <w:r>
        <w:rPr>
          <w:rFonts w:hint="default" w:ascii="Arial Regular" w:hAnsi="Arial Regular" w:cs="Arial Regular"/>
          <w:lang w:val="en-US" w:eastAsia="zh-CN"/>
        </w:rPr>
        <w:t xml:space="preserve"> and </w:t>
      </w:r>
      <w:r>
        <w:rPr>
          <w:rFonts w:hint="default" w:ascii="Arial Italic" w:hAnsi="Arial Italic" w:cs="Arial Italic"/>
          <w:i/>
          <w:iCs/>
          <w:lang w:val="en-US" w:eastAsia="zh-CN"/>
        </w:rPr>
        <w:t>CLEC18C</w:t>
      </w:r>
      <w:r>
        <w:rPr>
          <w:rFonts w:hint="default" w:ascii="Arial Regular" w:hAnsi="Arial Regular" w:cs="Arial Regular"/>
          <w:lang w:val="en-US" w:eastAsia="zh-CN"/>
        </w:rPr>
        <w:t xml:space="preserve"> expression levels. </w:t>
      </w:r>
      <w:r>
        <w:rPr>
          <w:rFonts w:hint="default" w:ascii="Arial Regular" w:hAnsi="Arial Regular" w:cs="Arial Regular"/>
          <w:lang w:val="en-US"/>
        </w:rPr>
        <w:t xml:space="preserve">Related to 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/>
        </w:rPr>
        <w:t>Figure 3</w:t>
      </w:r>
      <w:r>
        <w:rPr>
          <w:rFonts w:hint="default" w:ascii="Arial Regular" w:hAnsi="Arial Regular" w:cs="Arial Regular"/>
          <w:lang w:val="en-US"/>
        </w:rPr>
        <w:t>.</w:t>
      </w:r>
    </w:p>
    <w:p w14:paraId="012CC45A">
      <w:pPr>
        <w:rPr>
          <w:rFonts w:hint="default" w:ascii="Arial Regular" w:hAnsi="Arial Regular" w:cs="Arial Regular"/>
          <w:lang w:val="en-US" w:eastAsia="zh-CN"/>
        </w:rPr>
      </w:pPr>
    </w:p>
    <w:p w14:paraId="2C584C88">
      <w:pPr>
        <w:rPr>
          <w:rFonts w:hint="eastAsia" w:ascii="Arial Regular" w:hAnsi="Arial Regular" w:cs="Arial Regular" w:eastAsiaTheme="minorEastAsia"/>
          <w:lang w:val="en-US" w:eastAsia="zh-CN"/>
        </w:rPr>
      </w:pPr>
      <w:r>
        <w:rPr>
          <w:rFonts w:hint="eastAsia" w:ascii="Arial Regular" w:hAnsi="Arial Regular" w:cs="Arial Regular" w:eastAsiaTheme="minorEastAsia"/>
          <w:lang w:val="en-US" w:eastAsia="zh-CN"/>
        </w:rPr>
        <w:br w:type="page"/>
      </w:r>
    </w:p>
    <w:p w14:paraId="28C60261">
      <w:pPr>
        <w:rPr>
          <w:rFonts w:hint="eastAsia" w:ascii="Arial Regular" w:hAnsi="Arial Regular" w:cs="Arial Regular" w:eastAsiaTheme="minorEastAsia"/>
          <w:lang w:val="en-US" w:eastAsia="zh-CN"/>
        </w:rPr>
      </w:pPr>
      <w:r>
        <w:rPr>
          <w:rFonts w:hint="eastAsia" w:ascii="Arial Regular" w:hAnsi="Arial Regular" w:cs="Arial Regular" w:eastAsiaTheme="minorEastAsia"/>
          <w:lang w:val="en-US" w:eastAsia="zh-CN"/>
        </w:rPr>
        <w:drawing>
          <wp:inline distT="0" distB="0" distL="114300" distR="114300">
            <wp:extent cx="5270500" cy="7435215"/>
            <wp:effectExtent l="0" t="0" r="12700" b="6985"/>
            <wp:docPr id="3" name="图片 3" descr="Figure.S5.Virus_supplement_merge_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.S5.Virus_supplement_merge_12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1C4B">
      <w:pPr>
        <w:rPr>
          <w:rFonts w:hint="default" w:ascii="Arial Regular" w:hAnsi="Arial Regular" w:cs="Arial Regular"/>
          <w:lang w:val="en-US"/>
        </w:rPr>
      </w:pP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</w:rPr>
        <w:t>Supplementary Figure S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 w:eastAsia="zh-CN"/>
        </w:rPr>
        <w:t>6</w:t>
      </w:r>
      <w:r>
        <w:rPr>
          <w:rFonts w:hint="default" w:ascii="Arial Regular" w:hAnsi="Arial Regular" w:cs="Arial Regular"/>
          <w:lang w:val="en-US"/>
        </w:rPr>
        <w:t>.</w:t>
      </w:r>
      <w:r>
        <w:rPr>
          <w:rFonts w:hint="eastAsia" w:ascii="Arial Regular" w:hAnsi="Arial Regular" w:cs="Arial Regular"/>
          <w:lang w:val="en-US" w:eastAsia="zh-CN"/>
        </w:rPr>
        <w:t xml:space="preserve"> Composition of the OA blood virome and functional association of the selected immune gene </w:t>
      </w:r>
      <w:r>
        <w:rPr>
          <w:rFonts w:hint="default" w:ascii="Arial Italic" w:hAnsi="Arial Italic" w:cs="Arial Italic"/>
          <w:i/>
          <w:iCs/>
          <w:lang w:val="en-US" w:eastAsia="zh-CN"/>
        </w:rPr>
        <w:t>SPNS1</w:t>
      </w:r>
      <w:r>
        <w:rPr>
          <w:rFonts w:hint="eastAsia" w:ascii="Arial Regular" w:hAnsi="Arial Regular" w:cs="Arial Regular"/>
          <w:lang w:val="en-US" w:eastAsia="zh-CN"/>
        </w:rPr>
        <w:t xml:space="preserve">. (A) Host category distribution of viral reads identified in the blood virome of OA individuals. (B) Host species composition of viral reads detected in OA blood viromes. (C) Distribution of individual-level </w:t>
      </w:r>
      <w:r>
        <w:rPr>
          <w:rFonts w:hint="default" w:ascii="Arial Regular" w:hAnsi="Arial Regular" w:cs="Arial Regular"/>
          <w:lang w:val="en-US" w:eastAsia="zh-CN"/>
        </w:rPr>
        <w:t>h</w:t>
      </w:r>
      <w:r>
        <w:rPr>
          <w:rFonts w:hint="eastAsia" w:ascii="Arial Regular" w:hAnsi="Arial Regular" w:cs="Arial Regular"/>
          <w:lang w:val="en-US" w:eastAsia="zh-CN"/>
        </w:rPr>
        <w:t xml:space="preserve">uman-host viral read counts among five OA sub-populations (Bateq, CheWong, Jakun, Mendriq, and Temiar). Although the number of </w:t>
      </w:r>
      <w:r>
        <w:rPr>
          <w:rFonts w:hint="default" w:ascii="Arial Regular" w:hAnsi="Arial Regular" w:cs="Arial Regular"/>
          <w:lang w:val="en-US" w:eastAsia="zh-CN"/>
        </w:rPr>
        <w:t>h</w:t>
      </w:r>
      <w:r>
        <w:rPr>
          <w:rFonts w:hint="eastAsia" w:ascii="Arial Regular" w:hAnsi="Arial Regular" w:cs="Arial Regular"/>
          <w:lang w:val="en-US" w:eastAsia="zh-CN"/>
        </w:rPr>
        <w:t>uman-host viral reads varied across populations, no significant differences were observed (Kruskal</w:t>
      </w:r>
      <w:r>
        <w:rPr>
          <w:rFonts w:hint="default" w:ascii="Arial Regular" w:hAnsi="Arial Regular" w:cs="Arial Regular"/>
          <w:lang w:val="en-US"/>
        </w:rPr>
        <w:t>–</w:t>
      </w:r>
      <w:r>
        <w:rPr>
          <w:rFonts w:hint="eastAsia" w:ascii="Arial Regular" w:hAnsi="Arial Regular" w:cs="Arial Regular"/>
          <w:lang w:val="en-US" w:eastAsia="zh-CN"/>
        </w:rPr>
        <w:t>Wallis test, P = 0.393). (D) Expression (TPM) of genotype</w:t>
      </w:r>
      <w:r>
        <w:rPr>
          <w:rFonts w:hint="default" w:ascii="Times New Roman Regular" w:hAnsi="Times New Roman Regular" w:cs="Times New Roman Regular"/>
          <w:lang w:val="en-US" w:eastAsia="zh-CN"/>
        </w:rPr>
        <w:t>–</w:t>
      </w:r>
      <w:r>
        <w:rPr>
          <w:rFonts w:hint="eastAsia" w:ascii="Arial Regular" w:hAnsi="Arial Regular" w:cs="Arial Regular"/>
          <w:lang w:val="en-US" w:eastAsia="zh-CN"/>
        </w:rPr>
        <w:t xml:space="preserve">virome association signal genes in GTEx Whole Blood. </w:t>
      </w:r>
      <w:r>
        <w:rPr>
          <w:rFonts w:hint="default" w:ascii="Arial Italic" w:hAnsi="Arial Italic" w:cs="Arial Italic"/>
          <w:i/>
          <w:iCs/>
          <w:lang w:val="en-US" w:eastAsia="zh-CN"/>
        </w:rPr>
        <w:t>FYB2</w:t>
      </w:r>
      <w:r>
        <w:rPr>
          <w:rFonts w:hint="eastAsia" w:ascii="Arial Regular" w:hAnsi="Arial Regular" w:cs="Arial Regular"/>
          <w:lang w:val="en-US" w:eastAsia="zh-CN"/>
        </w:rPr>
        <w:t xml:space="preserve"> was not included in the whole Whole Blood dataset and is therefore not shown.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eastAsia" w:ascii="Arial Regular" w:hAnsi="Arial Regular" w:cs="Arial Regular"/>
          <w:lang w:val="en-US" w:eastAsia="zh-CN"/>
        </w:rPr>
        <w:t>(E) Haplotype structure of select</w:t>
      </w:r>
      <w:r>
        <w:rPr>
          <w:rFonts w:hint="default" w:ascii="Arial Regular" w:hAnsi="Arial Regular" w:cs="Arial Regular"/>
          <w:lang w:val="en-US" w:eastAsia="zh-CN"/>
        </w:rPr>
        <w:t>ed</w:t>
      </w:r>
      <w:r>
        <w:rPr>
          <w:rFonts w:hint="eastAsia" w:ascii="Arial Regular" w:hAnsi="Arial Regular" w:cs="Arial Regular"/>
          <w:lang w:val="en-US" w:eastAsia="zh-CN"/>
        </w:rPr>
        <w:t xml:space="preserve"> SNPs in </w:t>
      </w:r>
      <w:r>
        <w:rPr>
          <w:rFonts w:hint="default" w:ascii="Arial Italic" w:hAnsi="Arial Italic" w:cs="Arial Italic"/>
          <w:i/>
          <w:iCs/>
          <w:lang w:val="en-US" w:eastAsia="zh-CN"/>
        </w:rPr>
        <w:t>SPNS1</w:t>
      </w:r>
      <w:r>
        <w:rPr>
          <w:rFonts w:hint="eastAsia" w:ascii="Arial Regular" w:hAnsi="Arial Regular" w:cs="Arial Regular"/>
          <w:lang w:val="en-US" w:eastAsia="zh-CN"/>
        </w:rPr>
        <w:t>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eastAsia" w:ascii="Arial Regular" w:hAnsi="Arial Regular" w:cs="Arial Regular"/>
          <w:lang w:val="en-US" w:eastAsia="zh-CN"/>
        </w:rPr>
        <w:t>OA individuals exhibit a distinct haplotype configuration enriched for the selected variants.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eastAsia" w:ascii="Arial Regular" w:hAnsi="Arial Regular" w:cs="Arial Regular"/>
          <w:lang w:val="en-US" w:eastAsia="zh-CN"/>
        </w:rPr>
        <w:t xml:space="preserve">(F) Linkage disequilibrium (LD) block structure of the </w:t>
      </w:r>
      <w:r>
        <w:rPr>
          <w:rFonts w:hint="default" w:ascii="Arial Italic" w:hAnsi="Arial Italic" w:cs="Arial Italic"/>
          <w:i/>
          <w:iCs/>
          <w:lang w:val="en-US" w:eastAsia="zh-CN"/>
        </w:rPr>
        <w:t>SPNS1</w:t>
      </w:r>
      <w:r>
        <w:rPr>
          <w:rFonts w:hint="eastAsia" w:ascii="Arial Regular" w:hAnsi="Arial Regular" w:cs="Arial Regular"/>
          <w:lang w:val="en-US" w:eastAsia="zh-CN"/>
        </w:rPr>
        <w:t xml:space="preserve"> locus.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eastAsia" w:ascii="Arial Regular" w:hAnsi="Arial Regular" w:cs="Arial Regular"/>
          <w:lang w:val="en-US" w:eastAsia="zh-CN"/>
        </w:rPr>
        <w:t>A 62.92 kb LD block encompasses the four selecti</w:t>
      </w:r>
      <w:r>
        <w:rPr>
          <w:rFonts w:hint="default" w:ascii="Arial Regular" w:hAnsi="Arial Regular" w:cs="Arial Regular"/>
          <w:lang w:val="en-US" w:eastAsia="zh-CN"/>
        </w:rPr>
        <w:t>ve</w:t>
      </w:r>
      <w:r>
        <w:rPr>
          <w:rFonts w:hint="eastAsia" w:ascii="Arial Regular" w:hAnsi="Arial Regular" w:cs="Arial Regular"/>
          <w:lang w:val="en-US" w:eastAsia="zh-CN"/>
        </w:rPr>
        <w:t xml:space="preserve"> SNPs within </w:t>
      </w:r>
      <w:r>
        <w:rPr>
          <w:rFonts w:hint="default" w:ascii="Arial Italic" w:hAnsi="Arial Italic" w:cs="Arial Italic"/>
          <w:i/>
          <w:iCs/>
          <w:lang w:val="en-US" w:eastAsia="zh-CN"/>
        </w:rPr>
        <w:t>SPNS1</w:t>
      </w:r>
      <w:r>
        <w:rPr>
          <w:rFonts w:hint="eastAsia" w:ascii="Arial Regular" w:hAnsi="Arial Regular" w:cs="Arial Regular"/>
          <w:lang w:val="en-US" w:eastAsia="zh-CN"/>
        </w:rPr>
        <w:t xml:space="preserve"> in OA population</w:t>
      </w:r>
      <w:r>
        <w:rPr>
          <w:rFonts w:hint="default" w:ascii="Arial Regular" w:hAnsi="Arial Regular" w:cs="Arial Regular"/>
          <w:lang w:val="en-US" w:eastAsia="zh-CN"/>
        </w:rPr>
        <w:t>s</w:t>
      </w:r>
      <w:r>
        <w:rPr>
          <w:rFonts w:hint="eastAsia" w:ascii="Arial Regular" w:hAnsi="Arial Regular" w:cs="Arial Regular"/>
          <w:lang w:val="en-US" w:eastAsia="zh-CN"/>
        </w:rPr>
        <w:t>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eastAsia" w:ascii="Arial Regular" w:hAnsi="Arial Regular" w:cs="Arial Regular"/>
          <w:lang w:val="en-US" w:eastAsia="zh-CN"/>
        </w:rPr>
        <w:t xml:space="preserve">(G) Regulatory effect of rs7140 on </w:t>
      </w:r>
      <w:r>
        <w:rPr>
          <w:rFonts w:hint="default" w:ascii="Arial Italic" w:hAnsi="Arial Italic" w:cs="Arial Italic"/>
          <w:i/>
          <w:iCs/>
          <w:lang w:val="en-US" w:eastAsia="zh-CN"/>
        </w:rPr>
        <w:t xml:space="preserve">SPNS1 </w:t>
      </w:r>
      <w:r>
        <w:rPr>
          <w:rFonts w:hint="eastAsia" w:ascii="Arial Regular" w:hAnsi="Arial Regular" w:cs="Arial Regular"/>
          <w:lang w:val="en-US" w:eastAsia="zh-CN"/>
        </w:rPr>
        <w:t>expression based on ImmuNexUT data.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eastAsia" w:ascii="Arial Regular" w:hAnsi="Arial Regular" w:cs="Arial Regular"/>
          <w:lang w:val="en-US" w:eastAsia="zh-CN"/>
        </w:rPr>
        <w:t xml:space="preserve">The A allele of rs7140 significantly downregulates </w:t>
      </w:r>
      <w:r>
        <w:rPr>
          <w:rFonts w:hint="default" w:ascii="Arial Italic" w:hAnsi="Arial Italic" w:cs="Arial Italic"/>
          <w:i/>
          <w:iCs/>
          <w:lang w:val="en-US" w:eastAsia="zh-CN"/>
        </w:rPr>
        <w:t>SPNS1</w:t>
      </w:r>
      <w:r>
        <w:rPr>
          <w:rFonts w:hint="eastAsia" w:ascii="Arial Regular" w:hAnsi="Arial Regular" w:cs="Arial Regular"/>
          <w:lang w:val="en-US" w:eastAsia="zh-CN"/>
        </w:rPr>
        <w:t xml:space="preserve"> expression across </w:t>
      </w:r>
      <w:r>
        <w:rPr>
          <w:rFonts w:hint="default" w:ascii="Arial Regular" w:hAnsi="Arial Regular" w:cs="Arial Regular"/>
          <w:lang w:val="en-US" w:eastAsia="zh-CN"/>
        </w:rPr>
        <w:t>27/28 (96.4%)</w:t>
      </w:r>
      <w:r>
        <w:rPr>
          <w:rFonts w:hint="eastAsia" w:ascii="Arial Regular" w:hAnsi="Arial Regular" w:cs="Arial Regular"/>
          <w:lang w:val="en-US" w:eastAsia="zh-CN"/>
        </w:rPr>
        <w:t xml:space="preserve"> immune cell types.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eastAsia" w:ascii="Arial Regular" w:hAnsi="Arial Regular" w:cs="Arial Regular"/>
          <w:lang w:val="en-US" w:eastAsia="zh-CN"/>
        </w:rPr>
        <w:t>(H) Association of rs7140 genotype with viral read counts in OA populations.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eastAsia" w:ascii="Arial Regular" w:hAnsi="Arial Regular" w:cs="Arial Regular"/>
          <w:lang w:val="en-US" w:eastAsia="zh-CN"/>
        </w:rPr>
        <w:t>Left: individuals carrying the A allele show reduced levels of total viral reads in blood.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eastAsia" w:ascii="Arial Regular" w:hAnsi="Arial Regular" w:cs="Arial Regular"/>
          <w:lang w:val="en-US" w:eastAsia="zh-CN"/>
        </w:rPr>
        <w:t xml:space="preserve">Right: the same allele is associated with lower </w:t>
      </w:r>
      <w:r>
        <w:rPr>
          <w:rFonts w:hint="default" w:ascii="Arial Italic" w:hAnsi="Arial Italic" w:cs="Arial Italic"/>
          <w:i/>
          <w:iCs/>
          <w:lang w:val="en-US" w:eastAsia="zh-CN"/>
        </w:rPr>
        <w:t>Anelloviridae</w:t>
      </w:r>
      <w:r>
        <w:rPr>
          <w:rFonts w:hint="eastAsia" w:ascii="Arial Regular" w:hAnsi="Arial Regular" w:cs="Arial Regular"/>
          <w:lang w:val="en-US" w:eastAsia="zh-CN"/>
        </w:rPr>
        <w:t xml:space="preserve">-specific viral read counts. (I) Individuals carrying the A allele of rs7140 exhibit significantly reduced levels of </w:t>
      </w:r>
      <w:r>
        <w:rPr>
          <w:rFonts w:hint="default" w:ascii="Arial Regular" w:hAnsi="Arial Regular" w:cs="Arial Regular"/>
          <w:lang w:val="en-US" w:eastAsia="zh-CN"/>
        </w:rPr>
        <w:t>h</w:t>
      </w:r>
      <w:r>
        <w:rPr>
          <w:rFonts w:hint="eastAsia" w:ascii="Arial Regular" w:hAnsi="Arial Regular" w:cs="Arial Regular"/>
          <w:lang w:val="en-US" w:eastAsia="zh-CN"/>
        </w:rPr>
        <w:t>uman-host viral reads in blood</w:t>
      </w:r>
      <w:r>
        <w:rPr>
          <w:rFonts w:hint="default" w:ascii="Arial Regular" w:hAnsi="Arial Regular" w:cs="Arial Regular"/>
          <w:lang w:val="en-US" w:eastAsia="zh-CN"/>
        </w:rPr>
        <w:t xml:space="preserve"> of Negrito, </w:t>
      </w:r>
      <w:r>
        <w:rPr>
          <w:rFonts w:hint="eastAsia" w:ascii="Arial Regular" w:hAnsi="Arial Regular" w:cs="Arial Regular"/>
          <w:lang w:val="en-US" w:eastAsia="zh-CN"/>
        </w:rPr>
        <w:t>consistent with the overall OA trend.</w:t>
      </w:r>
      <w:r>
        <w:rPr>
          <w:rFonts w:hint="default" w:ascii="Arial Regular" w:hAnsi="Arial Regular" w:cs="Arial Regular"/>
          <w:lang w:val="en-US" w:eastAsia="zh-CN"/>
        </w:rPr>
        <w:t xml:space="preserve"> </w:t>
      </w:r>
      <w:r>
        <w:rPr>
          <w:rFonts w:hint="default" w:ascii="Arial Regular" w:hAnsi="Arial Regular" w:cs="Arial Regular"/>
          <w:lang w:val="en-US"/>
        </w:rPr>
        <w:t xml:space="preserve">Related to </w:t>
      </w:r>
      <w:r>
        <w:rPr>
          <w:rFonts w:hint="default" w:ascii="Arial Bold" w:hAnsi="Arial Bold" w:eastAsia="宋体" w:cs="Arial Bold"/>
          <w:b/>
          <w:bCs w:val="0"/>
          <w:color w:val="0070C0"/>
          <w:kern w:val="0"/>
          <w:sz w:val="21"/>
          <w:szCs w:val="21"/>
          <w:lang w:val="en-US"/>
        </w:rPr>
        <w:t>Figure 4</w:t>
      </w:r>
      <w:r>
        <w:rPr>
          <w:rFonts w:hint="default" w:ascii="Arial Regular" w:hAnsi="Arial Regular" w:cs="Arial Regular"/>
          <w:lang w:val="en-US"/>
        </w:rPr>
        <w:t>.</w:t>
      </w:r>
    </w:p>
    <w:p w14:paraId="3980D1E2">
      <w:pPr>
        <w:rPr>
          <w:rFonts w:hint="default" w:ascii="Arial Regular" w:hAnsi="Arial Regular" w:cs="Arial Regular" w:eastAsiaTheme="minorEastAsia"/>
          <w:lang w:val="en-US" w:eastAsia="zh-CN"/>
        </w:rPr>
      </w:pPr>
    </w:p>
    <w:p w14:paraId="0C80EDD5">
      <w:pPr>
        <w:rPr>
          <w:rFonts w:hint="default" w:ascii="Arial Regular" w:hAnsi="Arial Regular" w:cs="Arial Regular"/>
          <w:lang w:val="en-US"/>
        </w:rPr>
      </w:pPr>
    </w:p>
    <w:p w14:paraId="186F04B2">
      <w:pPr>
        <w:rPr>
          <w:rFonts w:hint="default" w:ascii="Arial Regular" w:hAnsi="Arial Regular" w:cs="Arial Regular"/>
          <w:lang w:val="en-US"/>
        </w:rPr>
      </w:pPr>
    </w:p>
    <w:p w14:paraId="759295EB">
      <w:pPr>
        <w:rPr>
          <w:rFonts w:hint="default" w:ascii="Arial Regular" w:hAnsi="Arial Regular" w:cs="Arial Regular"/>
          <w:lang w:val="en-US"/>
        </w:rPr>
      </w:pPr>
    </w:p>
    <w:p w14:paraId="52BFC832">
      <w:pPr>
        <w:rPr>
          <w:rFonts w:hint="eastAsia" w:ascii="Arial Regular" w:hAnsi="Arial Regular" w:cs="Arial Regular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Regular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Arial Bold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Arial Italic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imes New Roman Italic">
    <w:panose1 w:val="02020603050405020304"/>
    <w:charset w:val="00"/>
    <w:family w:val="auto"/>
    <w:pitch w:val="default"/>
    <w:sig w:usb0="E0002AEF" w:usb1="C0007841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EFEAE7E"/>
    <w:rsid w:val="1BDF67F9"/>
    <w:rsid w:val="1F9FFC1E"/>
    <w:rsid w:val="3EBD5DC5"/>
    <w:rsid w:val="3FF955BE"/>
    <w:rsid w:val="4BFF81BF"/>
    <w:rsid w:val="4EFF5CFA"/>
    <w:rsid w:val="4FE91D34"/>
    <w:rsid w:val="4FF78F88"/>
    <w:rsid w:val="5F7E97D0"/>
    <w:rsid w:val="698B9407"/>
    <w:rsid w:val="6FDDAEEC"/>
    <w:rsid w:val="6FDF20F6"/>
    <w:rsid w:val="79FADFF8"/>
    <w:rsid w:val="7C7BADE7"/>
    <w:rsid w:val="7E9FB89F"/>
    <w:rsid w:val="7F3B0711"/>
    <w:rsid w:val="B7B90668"/>
    <w:rsid w:val="CFDF7DFA"/>
    <w:rsid w:val="DEFEAE7E"/>
    <w:rsid w:val="EB1DBDAE"/>
    <w:rsid w:val="EF7EA196"/>
    <w:rsid w:val="F1239576"/>
    <w:rsid w:val="F2EE12AE"/>
    <w:rsid w:val="F9BAC639"/>
    <w:rsid w:val="F9FF6DDD"/>
    <w:rsid w:val="FD3F570B"/>
    <w:rsid w:val="FDD76AF3"/>
    <w:rsid w:val="FF7F6747"/>
    <w:rsid w:val="FFBF6966"/>
    <w:rsid w:val="FFCFE815"/>
    <w:rsid w:val="FFFE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2025-11-03T15:46:00Z</dcterms:created>
  <dc:creator>Yaaoo</dc:creator>
  <cp:lastModifiedBy>Yaaoo</cp:lastModifiedBy>
  <dcterms:modified xsi:type="dcterms:W3CDTF">2026-01-07T16:00:31Z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921AD3524BF127D529635B69FFB34B8D_43</vt:lpwstr>
  </property>
</Properties>
</file>