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EB214" w14:textId="77777777" w:rsidR="004E46E0" w:rsidRDefault="004E46E0" w:rsidP="004E46E0">
      <w:pPr>
        <w:jc w:val="center"/>
        <w:rPr>
          <w:rFonts w:ascii="Calibri" w:hAnsi="Calibri" w:cs="Calibri"/>
          <w:sz w:val="22"/>
          <w:szCs w:val="22"/>
        </w:rPr>
      </w:pPr>
      <w:bookmarkStart w:id="0" w:name="_Hlk220016336"/>
      <w:r w:rsidRPr="008A33BD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4FC61ABA" wp14:editId="7DFC2F4D">
            <wp:extent cx="4341676" cy="7064936"/>
            <wp:effectExtent l="0" t="0" r="1905" b="0"/>
            <wp:docPr id="15729118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91188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65528" cy="710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2A2A7" w14:textId="77777777" w:rsidR="004E46E0" w:rsidRDefault="004E46E0" w:rsidP="004E46E0">
      <w:pPr>
        <w:jc w:val="center"/>
        <w:rPr>
          <w:rFonts w:ascii="Calibri" w:hAnsi="Calibri" w:cs="Calibri"/>
          <w:sz w:val="22"/>
          <w:szCs w:val="22"/>
        </w:rPr>
      </w:pPr>
    </w:p>
    <w:p w14:paraId="0EC69E0A" w14:textId="77777777" w:rsidR="004E46E0" w:rsidRPr="00B5033D" w:rsidRDefault="004E46E0" w:rsidP="004E46E0">
      <w:pPr>
        <w:jc w:val="center"/>
        <w:rPr>
          <w:rFonts w:ascii="Calibri" w:hAnsi="Calibri" w:cs="Calibri"/>
          <w:sz w:val="22"/>
          <w:szCs w:val="22"/>
        </w:rPr>
      </w:pPr>
      <w:r w:rsidRPr="008A33BD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4EAFA617" wp14:editId="4383A9C8">
            <wp:extent cx="3945906" cy="6173433"/>
            <wp:effectExtent l="0" t="0" r="3810" b="0"/>
            <wp:docPr id="14080944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0944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6572" cy="619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9900A" w14:textId="77777777" w:rsidR="004E46E0" w:rsidRPr="00B5033D" w:rsidRDefault="004E46E0" w:rsidP="004E46E0">
      <w:pPr>
        <w:rPr>
          <w:rFonts w:ascii="Calibri" w:hAnsi="Calibri" w:cs="Calibri"/>
          <w:sz w:val="22"/>
          <w:szCs w:val="22"/>
        </w:rPr>
      </w:pPr>
    </w:p>
    <w:p w14:paraId="2807C87E" w14:textId="77777777" w:rsidR="004E46E0" w:rsidRPr="00B5033D" w:rsidRDefault="004E46E0" w:rsidP="004E46E0">
      <w:pPr>
        <w:jc w:val="both"/>
        <w:rPr>
          <w:rFonts w:ascii="Calibri" w:hAnsi="Calibri" w:cs="Calibri"/>
          <w:sz w:val="22"/>
          <w:szCs w:val="22"/>
        </w:rPr>
      </w:pPr>
      <w:r w:rsidRPr="00B5033D">
        <w:rPr>
          <w:rFonts w:ascii="Calibri" w:hAnsi="Calibri" w:cs="Calibri"/>
          <w:b/>
          <w:bCs/>
          <w:sz w:val="22"/>
          <w:szCs w:val="22"/>
        </w:rPr>
        <w:t xml:space="preserve">Supplementary Figure 1. Genomic analysis of mutations in </w:t>
      </w:r>
      <w:r w:rsidRPr="00B5033D">
        <w:rPr>
          <w:rFonts w:ascii="Calibri" w:hAnsi="Calibri" w:cs="Calibri"/>
          <w:b/>
          <w:bCs/>
          <w:i/>
          <w:iCs/>
          <w:sz w:val="22"/>
          <w:szCs w:val="22"/>
        </w:rPr>
        <w:t>tyr</w:t>
      </w:r>
      <w:r w:rsidRPr="00B5033D">
        <w:rPr>
          <w:rFonts w:ascii="Calibri" w:hAnsi="Calibri" w:cs="Calibri"/>
          <w:b/>
          <w:bCs/>
          <w:sz w:val="22"/>
          <w:szCs w:val="22"/>
        </w:rPr>
        <w:t xml:space="preserve"> KO tadpoles.</w:t>
      </w:r>
      <w:r w:rsidRPr="00B5033D">
        <w:rPr>
          <w:rFonts w:ascii="Calibri" w:hAnsi="Calibri" w:cs="Calibri"/>
          <w:sz w:val="22"/>
          <w:szCs w:val="22"/>
        </w:rPr>
        <w:t xml:space="preserve"> </w:t>
      </w:r>
      <w:r w:rsidRPr="00B5033D">
        <w:rPr>
          <w:rFonts w:ascii="Calibri" w:hAnsi="Calibri" w:cs="Calibri"/>
          <w:b/>
          <w:bCs/>
          <w:sz w:val="22"/>
          <w:szCs w:val="22"/>
        </w:rPr>
        <w:t>(A,B)</w:t>
      </w:r>
      <w:r w:rsidRPr="00B5033D">
        <w:rPr>
          <w:rFonts w:ascii="Calibri" w:hAnsi="Calibri" w:cs="Calibri"/>
          <w:sz w:val="22"/>
          <w:szCs w:val="22"/>
        </w:rPr>
        <w:t xml:space="preserve"> TIDE (Tracking of Indels by DEcomposition) analysis showing CRISPR-induced mutations in the </w:t>
      </w:r>
      <w:r w:rsidRPr="00B5033D">
        <w:rPr>
          <w:rFonts w:ascii="Calibri" w:hAnsi="Calibri" w:cs="Calibri"/>
          <w:i/>
          <w:iCs/>
          <w:sz w:val="22"/>
          <w:szCs w:val="22"/>
        </w:rPr>
        <w:t>tyr</w:t>
      </w:r>
      <w:r w:rsidRPr="00B5033D">
        <w:rPr>
          <w:rFonts w:ascii="Calibri" w:hAnsi="Calibri" w:cs="Calibri"/>
          <w:sz w:val="22"/>
          <w:szCs w:val="22"/>
        </w:rPr>
        <w:t xml:space="preserve"> 2S (A) and </w:t>
      </w:r>
      <w:r w:rsidRPr="00B5033D">
        <w:rPr>
          <w:rFonts w:ascii="Calibri" w:hAnsi="Calibri" w:cs="Calibri"/>
          <w:i/>
          <w:iCs/>
          <w:sz w:val="22"/>
          <w:szCs w:val="22"/>
        </w:rPr>
        <w:t>tyr</w:t>
      </w:r>
      <w:r w:rsidRPr="00B5033D">
        <w:rPr>
          <w:rFonts w:ascii="Calibri" w:hAnsi="Calibri" w:cs="Calibri"/>
          <w:sz w:val="22"/>
          <w:szCs w:val="22"/>
        </w:rPr>
        <w:t xml:space="preserve"> 2L (B) loci in </w:t>
      </w:r>
      <w:r w:rsidRPr="00B5033D">
        <w:rPr>
          <w:rFonts w:ascii="Calibri" w:hAnsi="Calibri" w:cs="Calibri"/>
          <w:i/>
          <w:iCs/>
          <w:sz w:val="22"/>
          <w:szCs w:val="22"/>
        </w:rPr>
        <w:t>tyr</w:t>
      </w:r>
      <w:r w:rsidRPr="00B5033D">
        <w:rPr>
          <w:rFonts w:ascii="Calibri" w:hAnsi="Calibri" w:cs="Calibri"/>
          <w:sz w:val="22"/>
          <w:szCs w:val="22"/>
        </w:rPr>
        <w:t xml:space="preserve"> KO tadpoles. Wild-type controls display only unmodified sequences (black), whereas representative </w:t>
      </w:r>
      <w:r w:rsidRPr="00B5033D">
        <w:rPr>
          <w:rFonts w:ascii="Calibri" w:hAnsi="Calibri" w:cs="Calibri"/>
          <w:i/>
          <w:iCs/>
          <w:sz w:val="22"/>
          <w:szCs w:val="22"/>
        </w:rPr>
        <w:t>tyr</w:t>
      </w:r>
      <w:r w:rsidRPr="00B5033D">
        <w:rPr>
          <w:rFonts w:ascii="Calibri" w:hAnsi="Calibri" w:cs="Calibri"/>
          <w:sz w:val="22"/>
          <w:szCs w:val="22"/>
        </w:rPr>
        <w:t xml:space="preserve"> KO tadpoles show complete loss of the wild-type allele and the presence of 2 to 7 distinct indel mutations (orange and red).</w:t>
      </w:r>
    </w:p>
    <w:bookmarkEnd w:id="0"/>
    <w:p w14:paraId="4DA3632A" w14:textId="77777777" w:rsidR="004E46E0" w:rsidRDefault="004E46E0" w:rsidP="004E46E0">
      <w:pPr>
        <w:spacing w:after="160" w:line="259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1020107C" w14:textId="77777777" w:rsidR="004E46E0" w:rsidRPr="00B5033D" w:rsidRDefault="004E46E0" w:rsidP="004E46E0">
      <w:pPr>
        <w:jc w:val="center"/>
        <w:rPr>
          <w:rFonts w:ascii="Calibri" w:hAnsi="Calibri" w:cs="Calibri"/>
          <w:sz w:val="22"/>
          <w:szCs w:val="22"/>
        </w:rPr>
      </w:pPr>
      <w:r w:rsidRPr="008A33BD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2D1526F0" wp14:editId="1F839164">
            <wp:extent cx="4307694" cy="7070090"/>
            <wp:effectExtent l="0" t="0" r="0" b="3810"/>
            <wp:docPr id="7341457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145781" name=""/>
                    <pic:cNvPicPr/>
                  </pic:nvPicPr>
                  <pic:blipFill rotWithShape="1">
                    <a:blip r:embed="rId6"/>
                    <a:srcRect l="9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514" cy="7079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2530CD" w14:textId="77777777" w:rsidR="004E46E0" w:rsidRDefault="004E46E0" w:rsidP="004E46E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2CDF473" w14:textId="77777777" w:rsidR="004E46E0" w:rsidRDefault="004E46E0" w:rsidP="004E46E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227C0AA" w14:textId="77777777" w:rsidR="004E46E0" w:rsidRPr="00B5033D" w:rsidRDefault="004E46E0" w:rsidP="004E46E0">
      <w:pPr>
        <w:jc w:val="both"/>
        <w:rPr>
          <w:rFonts w:ascii="Calibri" w:hAnsi="Calibri" w:cs="Calibri"/>
          <w:sz w:val="22"/>
          <w:szCs w:val="22"/>
        </w:rPr>
      </w:pPr>
      <w:r w:rsidRPr="00B5033D">
        <w:rPr>
          <w:rFonts w:ascii="Calibri" w:hAnsi="Calibri" w:cs="Calibri"/>
          <w:b/>
          <w:bCs/>
          <w:sz w:val="22"/>
          <w:szCs w:val="22"/>
        </w:rPr>
        <w:t xml:space="preserve">Supplementary Figure 2. Genomic analysis of </w:t>
      </w:r>
      <w:r w:rsidRPr="00B5033D">
        <w:rPr>
          <w:rFonts w:ascii="Calibri" w:hAnsi="Calibri" w:cs="Calibri"/>
          <w:b/>
          <w:bCs/>
          <w:i/>
          <w:iCs/>
          <w:sz w:val="22"/>
          <w:szCs w:val="22"/>
        </w:rPr>
        <w:t>slc2a7</w:t>
      </w:r>
      <w:r w:rsidRPr="00B5033D">
        <w:rPr>
          <w:rFonts w:ascii="Calibri" w:hAnsi="Calibri" w:cs="Calibri"/>
          <w:b/>
          <w:bCs/>
          <w:sz w:val="22"/>
          <w:szCs w:val="22"/>
        </w:rPr>
        <w:t xml:space="preserve"> mutations in </w:t>
      </w:r>
      <w:r w:rsidRPr="00B5033D">
        <w:rPr>
          <w:rFonts w:ascii="Calibri" w:hAnsi="Calibri" w:cs="Calibri"/>
          <w:b/>
          <w:bCs/>
          <w:i/>
          <w:iCs/>
          <w:sz w:val="22"/>
          <w:szCs w:val="22"/>
        </w:rPr>
        <w:t>tyr;hps6;slc2a7</w:t>
      </w:r>
      <w:r w:rsidRPr="00B5033D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B5033D">
        <w:rPr>
          <w:rFonts w:ascii="Calibri" w:hAnsi="Calibri" w:cs="Calibri"/>
          <w:b/>
          <w:bCs/>
          <w:i/>
          <w:iCs/>
          <w:sz w:val="22"/>
          <w:szCs w:val="22"/>
        </w:rPr>
        <w:t>KO</w:t>
      </w:r>
      <w:r w:rsidRPr="00B5033D">
        <w:rPr>
          <w:rFonts w:ascii="Calibri" w:hAnsi="Calibri" w:cs="Calibri"/>
          <w:b/>
          <w:bCs/>
          <w:sz w:val="22"/>
          <w:szCs w:val="22"/>
        </w:rPr>
        <w:t xml:space="preserve"> tadpoles.</w:t>
      </w:r>
      <w:r w:rsidRPr="00B5033D">
        <w:rPr>
          <w:rFonts w:ascii="Calibri" w:hAnsi="Calibri" w:cs="Calibri"/>
          <w:sz w:val="22"/>
          <w:szCs w:val="22"/>
        </w:rPr>
        <w:t xml:space="preserve"> TIDE analysis showing CRISPR-induced mutations in the </w:t>
      </w:r>
      <w:r w:rsidRPr="00B5033D">
        <w:rPr>
          <w:rFonts w:ascii="Calibri" w:hAnsi="Calibri" w:cs="Calibri"/>
          <w:i/>
          <w:iCs/>
          <w:sz w:val="22"/>
          <w:szCs w:val="22"/>
        </w:rPr>
        <w:t>slc2a7</w:t>
      </w:r>
      <w:r w:rsidRPr="00B5033D">
        <w:rPr>
          <w:rFonts w:ascii="Calibri" w:hAnsi="Calibri" w:cs="Calibri"/>
          <w:sz w:val="22"/>
          <w:szCs w:val="22"/>
        </w:rPr>
        <w:t xml:space="preserve"> locus in </w:t>
      </w:r>
      <w:r w:rsidRPr="00B5033D">
        <w:rPr>
          <w:rFonts w:ascii="Calibri" w:hAnsi="Calibri" w:cs="Calibri"/>
          <w:i/>
          <w:iCs/>
          <w:sz w:val="22"/>
          <w:szCs w:val="22"/>
        </w:rPr>
        <w:t>tyr;hps6;slc2a7</w:t>
      </w:r>
      <w:r w:rsidRPr="00B5033D">
        <w:rPr>
          <w:rFonts w:ascii="Calibri" w:hAnsi="Calibri" w:cs="Calibri"/>
          <w:sz w:val="22"/>
          <w:szCs w:val="22"/>
        </w:rPr>
        <w:t xml:space="preserve"> KO tadpoles. Wild-type controls display only unmodified sequences (black), whereas two representative KO tadpoles show </w:t>
      </w:r>
      <w:r w:rsidRPr="00B5033D">
        <w:rPr>
          <w:rFonts w:ascii="Calibri" w:hAnsi="Calibri" w:cs="Calibri"/>
          <w:sz w:val="22"/>
          <w:szCs w:val="22"/>
        </w:rPr>
        <w:lastRenderedPageBreak/>
        <w:t>complete loss of the wild-type allele and the presence of four and five distinct indel mutations (orange and red), respectively.</w:t>
      </w:r>
    </w:p>
    <w:p w14:paraId="1A16E7EB" w14:textId="77777777" w:rsidR="004E46E0" w:rsidRDefault="004E46E0" w:rsidP="004E46E0">
      <w:pPr>
        <w:rPr>
          <w:rFonts w:ascii="Calibri" w:hAnsi="Calibri" w:cs="Calibri"/>
          <w:sz w:val="22"/>
          <w:szCs w:val="22"/>
        </w:rPr>
      </w:pPr>
    </w:p>
    <w:p w14:paraId="7BCBD1A6" w14:textId="77777777" w:rsidR="004E46E0" w:rsidRDefault="004E46E0" w:rsidP="004E46E0">
      <w:pPr>
        <w:rPr>
          <w:rFonts w:ascii="Calibri" w:hAnsi="Calibri" w:cs="Calibri"/>
          <w:sz w:val="22"/>
          <w:szCs w:val="22"/>
        </w:rPr>
      </w:pPr>
    </w:p>
    <w:p w14:paraId="5536BEBF" w14:textId="77777777" w:rsidR="004E46E0" w:rsidRDefault="004E46E0" w:rsidP="004E46E0">
      <w:pPr>
        <w:rPr>
          <w:rFonts w:ascii="Calibri" w:hAnsi="Calibri" w:cs="Calibri"/>
          <w:sz w:val="22"/>
          <w:szCs w:val="22"/>
        </w:rPr>
      </w:pPr>
    </w:p>
    <w:p w14:paraId="30407F87" w14:textId="77777777" w:rsidR="004E46E0" w:rsidRDefault="004E46E0" w:rsidP="004E46E0">
      <w:pPr>
        <w:rPr>
          <w:rFonts w:ascii="Calibri" w:hAnsi="Calibri" w:cs="Calibri"/>
          <w:sz w:val="22"/>
          <w:szCs w:val="22"/>
        </w:rPr>
      </w:pPr>
    </w:p>
    <w:p w14:paraId="3569253A" w14:textId="77777777" w:rsidR="004E46E0" w:rsidRPr="00B5033D" w:rsidRDefault="004E46E0" w:rsidP="004E46E0">
      <w:pPr>
        <w:rPr>
          <w:rFonts w:ascii="Calibri" w:hAnsi="Calibri" w:cs="Calibri"/>
          <w:sz w:val="22"/>
          <w:szCs w:val="22"/>
        </w:rPr>
      </w:pPr>
    </w:p>
    <w:p w14:paraId="1DC5EAFA" w14:textId="77777777" w:rsidR="004E46E0" w:rsidRPr="00B5033D" w:rsidRDefault="004E46E0" w:rsidP="004E46E0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Supplementary </w:t>
      </w:r>
      <w:r w:rsidRPr="00B5033D">
        <w:rPr>
          <w:rFonts w:ascii="Calibri" w:hAnsi="Calibri" w:cs="Calibri"/>
          <w:b/>
          <w:bCs/>
          <w:sz w:val="22"/>
          <w:szCs w:val="22"/>
        </w:rPr>
        <w:t>Table 1</w:t>
      </w:r>
    </w:p>
    <w:p w14:paraId="4CD4488B" w14:textId="77777777" w:rsidR="004E46E0" w:rsidRPr="00B5033D" w:rsidRDefault="004E46E0" w:rsidP="004E46E0">
      <w:pPr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835"/>
        <w:gridCol w:w="2842"/>
        <w:gridCol w:w="1979"/>
      </w:tblGrid>
      <w:tr w:rsidR="004E46E0" w:rsidRPr="00B5033D" w14:paraId="54914F17" w14:textId="77777777" w:rsidTr="0046354A">
        <w:tc>
          <w:tcPr>
            <w:tcW w:w="1413" w:type="dxa"/>
            <w:tcBorders>
              <w:bottom w:val="single" w:sz="4" w:space="0" w:color="auto"/>
            </w:tcBorders>
          </w:tcPr>
          <w:p w14:paraId="06EFE087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b/>
                <w:bCs/>
              </w:rPr>
              <w:t>Gene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856154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b/>
                <w:bCs/>
              </w:rPr>
              <w:t>Forward Primer (5′→3′)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6F39588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b/>
                <w:bCs/>
              </w:rPr>
              <w:t>Reverse Primer (5′→3′)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49BC36DB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b/>
                <w:bCs/>
              </w:rPr>
              <w:t>Amplicon size (bp)</w:t>
            </w:r>
          </w:p>
        </w:tc>
      </w:tr>
      <w:tr w:rsidR="004E46E0" w:rsidRPr="00B5033D" w14:paraId="2173AD53" w14:textId="77777777" w:rsidTr="0046354A">
        <w:tc>
          <w:tcPr>
            <w:tcW w:w="1413" w:type="dxa"/>
            <w:tcBorders>
              <w:top w:val="single" w:sz="4" w:space="0" w:color="auto"/>
            </w:tcBorders>
          </w:tcPr>
          <w:p w14:paraId="659415E5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i/>
                <w:iCs/>
              </w:rPr>
              <w:t>tyrosinase 2L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D18EBA6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ATGGCTCCTCTTGTGGTCAG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0152A01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GCATTGTGGCTTTCACCTCATA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06F93505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741</w:t>
            </w:r>
          </w:p>
        </w:tc>
      </w:tr>
      <w:tr w:rsidR="004E46E0" w:rsidRPr="00B5033D" w14:paraId="16B78403" w14:textId="77777777" w:rsidTr="0046354A">
        <w:tc>
          <w:tcPr>
            <w:tcW w:w="1413" w:type="dxa"/>
          </w:tcPr>
          <w:p w14:paraId="6DCD1EF1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  <w:i/>
                <w:iCs/>
              </w:rPr>
            </w:pPr>
            <w:r w:rsidRPr="00F07BAB">
              <w:rPr>
                <w:rFonts w:ascii="Calibri" w:hAnsi="Calibri" w:cs="Calibri"/>
                <w:i/>
                <w:iCs/>
              </w:rPr>
              <w:t>tyrosinase 2S</w:t>
            </w:r>
          </w:p>
        </w:tc>
        <w:tc>
          <w:tcPr>
            <w:tcW w:w="2835" w:type="dxa"/>
          </w:tcPr>
          <w:p w14:paraId="712902ED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GCAGTTTGGTGCCTGTTGTC</w:t>
            </w:r>
          </w:p>
        </w:tc>
        <w:tc>
          <w:tcPr>
            <w:tcW w:w="2835" w:type="dxa"/>
          </w:tcPr>
          <w:p w14:paraId="4D623635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GAGTGTCTTACCTGCCACGA</w:t>
            </w:r>
          </w:p>
        </w:tc>
        <w:tc>
          <w:tcPr>
            <w:tcW w:w="1979" w:type="dxa"/>
          </w:tcPr>
          <w:p w14:paraId="4BC66FB0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821</w:t>
            </w:r>
          </w:p>
        </w:tc>
      </w:tr>
      <w:tr w:rsidR="004E46E0" w:rsidRPr="00B5033D" w14:paraId="5030D92E" w14:textId="77777777" w:rsidTr="0046354A">
        <w:tc>
          <w:tcPr>
            <w:tcW w:w="1413" w:type="dxa"/>
            <w:tcBorders>
              <w:bottom w:val="single" w:sz="4" w:space="0" w:color="auto"/>
            </w:tcBorders>
          </w:tcPr>
          <w:p w14:paraId="19502F19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  <w:i/>
                <w:iCs/>
              </w:rPr>
              <w:t>slc2a7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2B9AEA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AATGAGGGTCGTCGTGTGTTT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E2CBC4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TTTGGACTTTTAGGGGGCAGT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22AFDFFE" w14:textId="77777777" w:rsidR="004E46E0" w:rsidRPr="00F07BAB" w:rsidRDefault="004E46E0" w:rsidP="0046354A">
            <w:pPr>
              <w:jc w:val="center"/>
              <w:rPr>
                <w:rFonts w:ascii="Calibri" w:hAnsi="Calibri" w:cs="Calibri"/>
              </w:rPr>
            </w:pPr>
            <w:r w:rsidRPr="00F07BAB">
              <w:rPr>
                <w:rFonts w:ascii="Calibri" w:hAnsi="Calibri" w:cs="Calibri"/>
              </w:rPr>
              <w:t>636</w:t>
            </w:r>
          </w:p>
        </w:tc>
      </w:tr>
    </w:tbl>
    <w:p w14:paraId="7D08A59B" w14:textId="77777777" w:rsidR="004E46E0" w:rsidRPr="00B5033D" w:rsidRDefault="004E46E0" w:rsidP="004E46E0">
      <w:pPr>
        <w:rPr>
          <w:rFonts w:ascii="Calibri" w:hAnsi="Calibri" w:cs="Calibri"/>
          <w:sz w:val="22"/>
          <w:szCs w:val="22"/>
        </w:rPr>
      </w:pPr>
    </w:p>
    <w:p w14:paraId="4FBCC1AC" w14:textId="77777777" w:rsidR="004E780C" w:rsidRPr="004E46E0" w:rsidRDefault="004E780C" w:rsidP="004E46E0"/>
    <w:sectPr w:rsidR="004E780C" w:rsidRPr="004E46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E0"/>
    <w:rsid w:val="002978F5"/>
    <w:rsid w:val="003852CF"/>
    <w:rsid w:val="004E46E0"/>
    <w:rsid w:val="004E780C"/>
    <w:rsid w:val="00F50F1E"/>
    <w:rsid w:val="00FC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5BE26"/>
  <w15:chartTrackingRefBased/>
  <w15:docId w15:val="{0C869FD5-65C0-4FBA-BDBF-165E6DB2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6E0"/>
    <w:pPr>
      <w:spacing w:after="0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6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6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6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6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6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6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6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6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6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6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6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6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6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6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6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6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6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6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6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46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6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46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6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46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6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46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6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6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6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46E0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</Words>
  <Characters>991</Characters>
  <Application>Microsoft Office Word</Application>
  <DocSecurity>0</DocSecurity>
  <Lines>16</Lines>
  <Paragraphs>4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2026-01-22T17:48:00Z</dcterms:created>
  <dcterms:modified xsi:type="dcterms:W3CDTF">2026-01-22T17:49:00Z</dcterms:modified>
</cp:coreProperties>
</file>