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D7D6E" w14:textId="0423421B" w:rsidR="003D3E76" w:rsidRPr="00096D4D" w:rsidRDefault="00DC3057" w:rsidP="003D3E76">
      <w:pPr>
        <w:rPr>
          <w:rFonts w:ascii="Times New Roman" w:hAnsi="Times New Roman" w:cs="Times New Roman"/>
          <w:sz w:val="20"/>
          <w:szCs w:val="20"/>
          <w:lang w:val="en-US"/>
        </w:rPr>
      </w:pPr>
      <w:r>
        <w:rPr>
          <w:rFonts w:ascii="Times New Roman" w:eastAsia="Times New Roman" w:hAnsi="Times New Roman" w:cs="Times New Roman"/>
          <w:b/>
          <w:bCs/>
          <w:color w:val="000000"/>
          <w:sz w:val="20"/>
          <w:szCs w:val="20"/>
          <w:lang w:val="en-US" w:eastAsia="ca-ES"/>
        </w:rPr>
        <w:t xml:space="preserve">Supplementary Material </w:t>
      </w:r>
      <w:r w:rsidR="00057193" w:rsidRPr="00096D4D">
        <w:rPr>
          <w:rFonts w:ascii="Times New Roman" w:eastAsia="Times New Roman" w:hAnsi="Times New Roman" w:cs="Times New Roman"/>
          <w:b/>
          <w:bCs/>
          <w:color w:val="000000"/>
          <w:sz w:val="20"/>
          <w:szCs w:val="20"/>
          <w:lang w:val="en-US" w:eastAsia="ca-ES"/>
        </w:rPr>
        <w:t xml:space="preserve"> 1: </w:t>
      </w:r>
      <w:r w:rsidR="003D3E76" w:rsidRPr="00096D4D">
        <w:rPr>
          <w:rFonts w:ascii="Times New Roman" w:eastAsia="Times New Roman" w:hAnsi="Times New Roman" w:cs="Times New Roman"/>
          <w:b/>
          <w:bCs/>
          <w:color w:val="000000"/>
          <w:sz w:val="20"/>
          <w:szCs w:val="20"/>
          <w:lang w:val="en-US" w:eastAsia="ca-ES"/>
        </w:rPr>
        <w:t>Maturity Measurement Scale for the Assessment of SCOPE, DEPTH and SPHERICITY Criteria</w:t>
      </w:r>
    </w:p>
    <w:tbl>
      <w:tblPr>
        <w:tblW w:w="8931" w:type="dxa"/>
        <w:tblInd w:w="-5" w:type="dxa"/>
        <w:tblCellMar>
          <w:left w:w="70" w:type="dxa"/>
          <w:right w:w="70" w:type="dxa"/>
        </w:tblCellMar>
        <w:tblLook w:val="04A0" w:firstRow="1" w:lastRow="0" w:firstColumn="1" w:lastColumn="0" w:noHBand="0" w:noVBand="1"/>
      </w:tblPr>
      <w:tblGrid>
        <w:gridCol w:w="2520"/>
        <w:gridCol w:w="6411"/>
      </w:tblGrid>
      <w:tr w:rsidR="003D3E76" w:rsidRPr="00096D4D" w14:paraId="6C5CD0C4" w14:textId="77777777" w:rsidTr="003D3E76">
        <w:trPr>
          <w:trHeight w:val="300"/>
        </w:trPr>
        <w:tc>
          <w:tcPr>
            <w:tcW w:w="2520" w:type="dxa"/>
            <w:tcBorders>
              <w:top w:val="single" w:sz="4" w:space="0" w:color="auto"/>
              <w:left w:val="single" w:sz="4" w:space="0" w:color="auto"/>
              <w:bottom w:val="single" w:sz="4" w:space="0" w:color="auto"/>
              <w:right w:val="single" w:sz="4" w:space="0" w:color="auto"/>
            </w:tcBorders>
            <w:vAlign w:val="center"/>
            <w:hideMark/>
          </w:tcPr>
          <w:p w14:paraId="0741BC1B"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Level</w:t>
            </w:r>
          </w:p>
        </w:tc>
        <w:tc>
          <w:tcPr>
            <w:tcW w:w="6411" w:type="dxa"/>
            <w:tcBorders>
              <w:top w:val="single" w:sz="4" w:space="0" w:color="auto"/>
              <w:left w:val="nil"/>
              <w:bottom w:val="single" w:sz="4" w:space="0" w:color="auto"/>
              <w:right w:val="single" w:sz="4" w:space="0" w:color="auto"/>
            </w:tcBorders>
            <w:vAlign w:val="center"/>
            <w:hideMark/>
          </w:tcPr>
          <w:p w14:paraId="7FDA14CC"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Description</w:t>
            </w:r>
          </w:p>
        </w:tc>
      </w:tr>
      <w:tr w:rsidR="003D3E76" w:rsidRPr="00096D4D" w14:paraId="599605EB" w14:textId="77777777" w:rsidTr="003D3E76">
        <w:trPr>
          <w:trHeight w:val="900"/>
        </w:trPr>
        <w:tc>
          <w:tcPr>
            <w:tcW w:w="2520" w:type="dxa"/>
            <w:tcBorders>
              <w:top w:val="nil"/>
              <w:left w:val="single" w:sz="4" w:space="0" w:color="auto"/>
              <w:bottom w:val="single" w:sz="4" w:space="0" w:color="auto"/>
              <w:right w:val="single" w:sz="4" w:space="0" w:color="auto"/>
            </w:tcBorders>
            <w:shd w:val="clear" w:color="000000" w:fill="C00000"/>
            <w:vAlign w:val="center"/>
            <w:hideMark/>
          </w:tcPr>
          <w:p w14:paraId="3FC1D661" w14:textId="77777777" w:rsidR="003D3E76" w:rsidRPr="00096D4D" w:rsidRDefault="003D3E76" w:rsidP="003D3E76">
            <w:pPr>
              <w:spacing w:after="0" w:line="240" w:lineRule="auto"/>
              <w:rPr>
                <w:rFonts w:ascii="Times New Roman" w:eastAsia="Times New Roman" w:hAnsi="Times New Roman" w:cs="Times New Roman"/>
                <w:b/>
                <w:bCs/>
                <w:color w:val="FFFFFF"/>
                <w:sz w:val="20"/>
                <w:szCs w:val="20"/>
                <w:lang w:val="en-US" w:eastAsia="ca-ES"/>
              </w:rPr>
            </w:pPr>
            <w:r w:rsidRPr="00096D4D">
              <w:rPr>
                <w:rFonts w:ascii="Times New Roman" w:eastAsia="Times New Roman" w:hAnsi="Times New Roman" w:cs="Times New Roman"/>
                <w:b/>
                <w:bCs/>
                <w:color w:val="FFFFFF"/>
                <w:sz w:val="20"/>
                <w:szCs w:val="20"/>
                <w:lang w:val="en-US" w:eastAsia="ca-ES"/>
              </w:rPr>
              <w:t>Level 0: Undefined</w:t>
            </w:r>
          </w:p>
        </w:tc>
        <w:tc>
          <w:tcPr>
            <w:tcW w:w="6411" w:type="dxa"/>
            <w:tcBorders>
              <w:top w:val="nil"/>
              <w:left w:val="nil"/>
              <w:bottom w:val="single" w:sz="4" w:space="0" w:color="auto"/>
              <w:right w:val="single" w:sz="4" w:space="0" w:color="auto"/>
            </w:tcBorders>
            <w:vAlign w:val="center"/>
            <w:hideMark/>
          </w:tcPr>
          <w:p w14:paraId="0A4A25B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No discernible elements, practices, or mechanisms related to the assessed criterion are observed. Where present, such elements remain at a conceptual or draft stage and lack formal adoption or practical implementation.</w:t>
            </w:r>
          </w:p>
        </w:tc>
      </w:tr>
      <w:tr w:rsidR="003D3E76" w:rsidRPr="00096D4D" w14:paraId="019C850F" w14:textId="77777777" w:rsidTr="003D3E76">
        <w:trPr>
          <w:trHeight w:val="600"/>
        </w:trPr>
        <w:tc>
          <w:tcPr>
            <w:tcW w:w="2520" w:type="dxa"/>
            <w:tcBorders>
              <w:top w:val="nil"/>
              <w:left w:val="single" w:sz="4" w:space="0" w:color="auto"/>
              <w:bottom w:val="single" w:sz="4" w:space="0" w:color="auto"/>
              <w:right w:val="single" w:sz="4" w:space="0" w:color="auto"/>
            </w:tcBorders>
            <w:shd w:val="clear" w:color="000000" w:fill="FF3300"/>
            <w:vAlign w:val="center"/>
            <w:hideMark/>
          </w:tcPr>
          <w:p w14:paraId="6B6DEECC"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Level 1: Limited</w:t>
            </w:r>
          </w:p>
        </w:tc>
        <w:tc>
          <w:tcPr>
            <w:tcW w:w="6411" w:type="dxa"/>
            <w:tcBorders>
              <w:top w:val="nil"/>
              <w:left w:val="nil"/>
              <w:bottom w:val="single" w:sz="4" w:space="0" w:color="auto"/>
              <w:right w:val="single" w:sz="4" w:space="0" w:color="auto"/>
            </w:tcBorders>
            <w:vAlign w:val="center"/>
            <w:hideMark/>
          </w:tcPr>
          <w:p w14:paraId="736EED8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Isolated elements or practices related to the assessed criterion are identifiable; however, they are fragmented, incomplete, and insufficient to address the full scope of the criterion.</w:t>
            </w:r>
          </w:p>
        </w:tc>
      </w:tr>
      <w:tr w:rsidR="003D3E76" w:rsidRPr="00096D4D" w14:paraId="72E5071C" w14:textId="77777777" w:rsidTr="003D3E76">
        <w:trPr>
          <w:trHeight w:val="600"/>
        </w:trPr>
        <w:tc>
          <w:tcPr>
            <w:tcW w:w="2520" w:type="dxa"/>
            <w:tcBorders>
              <w:top w:val="nil"/>
              <w:left w:val="single" w:sz="4" w:space="0" w:color="auto"/>
              <w:bottom w:val="single" w:sz="4" w:space="0" w:color="auto"/>
              <w:right w:val="single" w:sz="4" w:space="0" w:color="auto"/>
            </w:tcBorders>
            <w:shd w:val="clear" w:color="000000" w:fill="FFC000"/>
            <w:vAlign w:val="center"/>
            <w:hideMark/>
          </w:tcPr>
          <w:p w14:paraId="6CA93889"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Level 2: Emerging</w:t>
            </w:r>
          </w:p>
        </w:tc>
        <w:tc>
          <w:tcPr>
            <w:tcW w:w="6411" w:type="dxa"/>
            <w:tcBorders>
              <w:top w:val="nil"/>
              <w:left w:val="nil"/>
              <w:bottom w:val="single" w:sz="4" w:space="0" w:color="auto"/>
              <w:right w:val="single" w:sz="4" w:space="0" w:color="auto"/>
            </w:tcBorders>
            <w:vAlign w:val="center"/>
            <w:hideMark/>
          </w:tcPr>
          <w:p w14:paraId="32EAC06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A substantial set of relevant elements or practices has been adopted, yet their implementation remains partial, uneven, or weakly institutionalized, with limited integration across organizational or ecosystem levels.</w:t>
            </w:r>
          </w:p>
        </w:tc>
      </w:tr>
      <w:tr w:rsidR="003D3E76" w:rsidRPr="00096D4D" w14:paraId="1B3E289B" w14:textId="77777777" w:rsidTr="003D3E76">
        <w:trPr>
          <w:trHeight w:val="600"/>
        </w:trPr>
        <w:tc>
          <w:tcPr>
            <w:tcW w:w="2520" w:type="dxa"/>
            <w:tcBorders>
              <w:top w:val="nil"/>
              <w:left w:val="single" w:sz="4" w:space="0" w:color="auto"/>
              <w:bottom w:val="single" w:sz="4" w:space="0" w:color="auto"/>
              <w:right w:val="single" w:sz="4" w:space="0" w:color="auto"/>
            </w:tcBorders>
            <w:shd w:val="clear" w:color="000000" w:fill="FFFF00"/>
            <w:vAlign w:val="center"/>
            <w:hideMark/>
          </w:tcPr>
          <w:p w14:paraId="574EC47E"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Level 3: Formalized</w:t>
            </w:r>
          </w:p>
        </w:tc>
        <w:tc>
          <w:tcPr>
            <w:tcW w:w="6411" w:type="dxa"/>
            <w:tcBorders>
              <w:top w:val="nil"/>
              <w:left w:val="nil"/>
              <w:bottom w:val="single" w:sz="4" w:space="0" w:color="auto"/>
              <w:right w:val="single" w:sz="4" w:space="0" w:color="auto"/>
            </w:tcBorders>
            <w:vAlign w:val="center"/>
            <w:hideMark/>
          </w:tcPr>
          <w:p w14:paraId="03D4F16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Relevant elements and practices are formally established and consistently applied. Nevertheless, systematic monitoring, evaluation, or feedback mechanisms are absent or underdeveloped.</w:t>
            </w:r>
          </w:p>
        </w:tc>
      </w:tr>
      <w:tr w:rsidR="003D3E76" w:rsidRPr="00096D4D" w14:paraId="06C849BC" w14:textId="77777777" w:rsidTr="003D3E76">
        <w:trPr>
          <w:trHeight w:val="900"/>
        </w:trPr>
        <w:tc>
          <w:tcPr>
            <w:tcW w:w="2520" w:type="dxa"/>
            <w:tcBorders>
              <w:top w:val="nil"/>
              <w:left w:val="single" w:sz="4" w:space="0" w:color="auto"/>
              <w:bottom w:val="single" w:sz="4" w:space="0" w:color="auto"/>
              <w:right w:val="single" w:sz="4" w:space="0" w:color="auto"/>
            </w:tcBorders>
            <w:shd w:val="clear" w:color="000000" w:fill="92D050"/>
            <w:vAlign w:val="center"/>
            <w:hideMark/>
          </w:tcPr>
          <w:p w14:paraId="3AA88585"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Level 4: Measured</w:t>
            </w:r>
          </w:p>
        </w:tc>
        <w:tc>
          <w:tcPr>
            <w:tcW w:w="6411" w:type="dxa"/>
            <w:tcBorders>
              <w:top w:val="nil"/>
              <w:left w:val="nil"/>
              <w:bottom w:val="single" w:sz="4" w:space="0" w:color="auto"/>
              <w:right w:val="single" w:sz="4" w:space="0" w:color="auto"/>
            </w:tcBorders>
            <w:vAlign w:val="center"/>
            <w:hideMark/>
          </w:tcPr>
          <w:p w14:paraId="6E17168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Relevant elements and practices are comprehensively implemented and supported by structured monitoring and assessment processes. Evaluation outcomes are used to inform adjustments and performance improvements.</w:t>
            </w:r>
          </w:p>
        </w:tc>
      </w:tr>
      <w:tr w:rsidR="003D3E76" w:rsidRPr="00096D4D" w14:paraId="4B97E854" w14:textId="77777777" w:rsidTr="003D3E76">
        <w:trPr>
          <w:trHeight w:val="900"/>
        </w:trPr>
        <w:tc>
          <w:tcPr>
            <w:tcW w:w="2520" w:type="dxa"/>
            <w:tcBorders>
              <w:top w:val="nil"/>
              <w:left w:val="single" w:sz="4" w:space="0" w:color="auto"/>
              <w:bottom w:val="single" w:sz="4" w:space="0" w:color="auto"/>
              <w:right w:val="single" w:sz="4" w:space="0" w:color="auto"/>
            </w:tcBorders>
            <w:shd w:val="clear" w:color="000000" w:fill="00B050"/>
            <w:vAlign w:val="center"/>
            <w:hideMark/>
          </w:tcPr>
          <w:p w14:paraId="4CC15B2E"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Level 5: Optimized</w:t>
            </w:r>
          </w:p>
        </w:tc>
        <w:tc>
          <w:tcPr>
            <w:tcW w:w="6411" w:type="dxa"/>
            <w:tcBorders>
              <w:top w:val="nil"/>
              <w:left w:val="nil"/>
              <w:bottom w:val="single" w:sz="4" w:space="0" w:color="auto"/>
              <w:right w:val="single" w:sz="4" w:space="0" w:color="auto"/>
            </w:tcBorders>
            <w:vAlign w:val="center"/>
            <w:hideMark/>
          </w:tcPr>
          <w:p w14:paraId="30D3E22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Relevant elements and practices are fully embedded, systematically monitored, and continuously refined. Evidence of learning, innovation, and adaptive improvement is observed, contributing to sustained enhancement of performance over time.</w:t>
            </w:r>
          </w:p>
        </w:tc>
      </w:tr>
    </w:tbl>
    <w:p w14:paraId="1DB8C984" w14:textId="77777777" w:rsidR="003D3E76" w:rsidRPr="00096D4D" w:rsidRDefault="003D3E76" w:rsidP="003D3E76">
      <w:pPr>
        <w:rPr>
          <w:rFonts w:ascii="Times New Roman" w:hAnsi="Times New Roman" w:cs="Times New Roman"/>
          <w:sz w:val="24"/>
          <w:szCs w:val="24"/>
          <w:lang w:val="en-US"/>
        </w:rPr>
      </w:pPr>
    </w:p>
    <w:p w14:paraId="2E4FDB01" w14:textId="77777777" w:rsidR="003D3E76" w:rsidRPr="00096D4D" w:rsidRDefault="003D3E76" w:rsidP="003D3E76">
      <w:pPr>
        <w:rPr>
          <w:rFonts w:ascii="Times New Roman" w:hAnsi="Times New Roman" w:cs="Times New Roman"/>
          <w:sz w:val="24"/>
          <w:szCs w:val="24"/>
          <w:lang w:val="en-US"/>
        </w:rPr>
      </w:pPr>
    </w:p>
    <w:p w14:paraId="1312D0DC" w14:textId="77777777" w:rsidR="003D3E76" w:rsidRPr="00096D4D" w:rsidRDefault="003D3E76">
      <w:pPr>
        <w:rPr>
          <w:rFonts w:ascii="Times New Roman" w:hAnsi="Times New Roman" w:cs="Times New Roman"/>
          <w:sz w:val="24"/>
          <w:szCs w:val="24"/>
          <w:lang w:val="en-US"/>
        </w:rPr>
      </w:pPr>
      <w:r w:rsidRPr="00096D4D">
        <w:rPr>
          <w:rFonts w:ascii="Times New Roman" w:hAnsi="Times New Roman" w:cs="Times New Roman"/>
          <w:sz w:val="24"/>
          <w:szCs w:val="24"/>
          <w:lang w:val="en-US"/>
        </w:rPr>
        <w:br w:type="page"/>
      </w:r>
    </w:p>
    <w:p w14:paraId="5DF0CA6B" w14:textId="77777777" w:rsidR="003D3E76" w:rsidRPr="00096D4D" w:rsidRDefault="003D3E76" w:rsidP="003D3E76">
      <w:pPr>
        <w:rPr>
          <w:rFonts w:ascii="Times New Roman" w:hAnsi="Times New Roman" w:cs="Times New Roman"/>
          <w:sz w:val="24"/>
          <w:szCs w:val="24"/>
          <w:lang w:val="en-US"/>
        </w:rPr>
        <w:sectPr w:rsidR="003D3E76" w:rsidRPr="00096D4D" w:rsidSect="003D3E76">
          <w:pgSz w:w="11906" w:h="16838"/>
          <w:pgMar w:top="1417" w:right="1841" w:bottom="1417" w:left="1701" w:header="708" w:footer="708" w:gutter="0"/>
          <w:cols w:space="708"/>
          <w:docGrid w:linePitch="360"/>
        </w:sectPr>
      </w:pPr>
    </w:p>
    <w:p w14:paraId="05315E05" w14:textId="1CBD2C67" w:rsidR="003D3E76" w:rsidRPr="00096D4D" w:rsidRDefault="00DC3057" w:rsidP="003D3E76">
      <w:pPr>
        <w:jc w:val="both"/>
        <w:rPr>
          <w:rFonts w:ascii="Times New Roman" w:hAnsi="Times New Roman" w:cs="Times New Roman"/>
          <w:b/>
          <w:sz w:val="20"/>
          <w:szCs w:val="20"/>
          <w:lang w:val="en-US"/>
        </w:rPr>
      </w:pPr>
      <w:r>
        <w:rPr>
          <w:rFonts w:ascii="Times New Roman" w:eastAsia="Times New Roman" w:hAnsi="Times New Roman" w:cs="Times New Roman"/>
          <w:b/>
          <w:bCs/>
          <w:color w:val="000000"/>
          <w:sz w:val="20"/>
          <w:szCs w:val="20"/>
          <w:lang w:val="en-US" w:eastAsia="ca-ES"/>
        </w:rPr>
        <w:lastRenderedPageBreak/>
        <w:t xml:space="preserve">Supplementary Material </w:t>
      </w:r>
      <w:bookmarkStart w:id="0" w:name="_GoBack"/>
      <w:bookmarkEnd w:id="0"/>
      <w:r w:rsidR="00057193" w:rsidRPr="00096D4D">
        <w:rPr>
          <w:rFonts w:ascii="Times New Roman" w:eastAsia="Times New Roman" w:hAnsi="Times New Roman" w:cs="Times New Roman"/>
          <w:b/>
          <w:bCs/>
          <w:color w:val="000000"/>
          <w:sz w:val="20"/>
          <w:szCs w:val="20"/>
          <w:lang w:val="en-US" w:eastAsia="ca-ES"/>
        </w:rPr>
        <w:t xml:space="preserve"> 2: </w:t>
      </w:r>
      <w:r w:rsidR="003D3E76" w:rsidRPr="00096D4D">
        <w:rPr>
          <w:rFonts w:ascii="Times New Roman" w:hAnsi="Times New Roman" w:cs="Times New Roman"/>
          <w:b/>
          <w:sz w:val="20"/>
          <w:szCs w:val="20"/>
          <w:lang w:val="en-US"/>
        </w:rPr>
        <w:t>Integrated Multi-Level Strategic Alignment Framework for Food Loss and Waste Prevention within the Sustainable Circular Economy</w:t>
      </w:r>
    </w:p>
    <w:tbl>
      <w:tblPr>
        <w:tblW w:w="14954" w:type="dxa"/>
        <w:tblLayout w:type="fixed"/>
        <w:tblCellMar>
          <w:left w:w="70" w:type="dxa"/>
          <w:right w:w="70" w:type="dxa"/>
        </w:tblCellMar>
        <w:tblLook w:val="04A0" w:firstRow="1" w:lastRow="0" w:firstColumn="1" w:lastColumn="0" w:noHBand="0" w:noVBand="1"/>
      </w:tblPr>
      <w:tblGrid>
        <w:gridCol w:w="1413"/>
        <w:gridCol w:w="1429"/>
        <w:gridCol w:w="2048"/>
        <w:gridCol w:w="3685"/>
        <w:gridCol w:w="1134"/>
        <w:gridCol w:w="851"/>
        <w:gridCol w:w="992"/>
        <w:gridCol w:w="1134"/>
        <w:gridCol w:w="1134"/>
        <w:gridCol w:w="1134"/>
      </w:tblGrid>
      <w:tr w:rsidR="003D3E76" w:rsidRPr="00096D4D" w14:paraId="264C47BF" w14:textId="77777777" w:rsidTr="003D3E76">
        <w:trPr>
          <w:trHeight w:val="315"/>
        </w:trPr>
        <w:tc>
          <w:tcPr>
            <w:tcW w:w="1413" w:type="dxa"/>
            <w:vMerge w:val="restart"/>
            <w:tcBorders>
              <w:top w:val="single" w:sz="4" w:space="0" w:color="auto"/>
              <w:left w:val="single" w:sz="4" w:space="0" w:color="auto"/>
              <w:bottom w:val="single" w:sz="8" w:space="0" w:color="000000"/>
              <w:right w:val="single" w:sz="4" w:space="0" w:color="auto"/>
            </w:tcBorders>
            <w:noWrap/>
            <w:vAlign w:val="center"/>
            <w:hideMark/>
          </w:tcPr>
          <w:p w14:paraId="014D295B"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 xml:space="preserve">Levels </w:t>
            </w:r>
          </w:p>
        </w:tc>
        <w:tc>
          <w:tcPr>
            <w:tcW w:w="1429" w:type="dxa"/>
            <w:vMerge w:val="restart"/>
            <w:tcBorders>
              <w:top w:val="single" w:sz="4" w:space="0" w:color="auto"/>
              <w:left w:val="single" w:sz="4" w:space="0" w:color="auto"/>
              <w:bottom w:val="single" w:sz="8" w:space="0" w:color="000000"/>
              <w:right w:val="single" w:sz="4" w:space="0" w:color="auto"/>
            </w:tcBorders>
            <w:noWrap/>
            <w:vAlign w:val="center"/>
            <w:hideMark/>
          </w:tcPr>
          <w:p w14:paraId="08383000"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 xml:space="preserve">Dimensions  </w:t>
            </w:r>
          </w:p>
        </w:tc>
        <w:tc>
          <w:tcPr>
            <w:tcW w:w="2048" w:type="dxa"/>
            <w:vMerge w:val="restart"/>
            <w:tcBorders>
              <w:top w:val="single" w:sz="4" w:space="0" w:color="auto"/>
              <w:left w:val="single" w:sz="4" w:space="0" w:color="auto"/>
              <w:bottom w:val="single" w:sz="8" w:space="0" w:color="000000"/>
              <w:right w:val="single" w:sz="4" w:space="0" w:color="auto"/>
            </w:tcBorders>
            <w:noWrap/>
            <w:vAlign w:val="center"/>
            <w:hideMark/>
          </w:tcPr>
          <w:p w14:paraId="6E961C5B"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 xml:space="preserve">Elements </w:t>
            </w:r>
          </w:p>
        </w:tc>
        <w:tc>
          <w:tcPr>
            <w:tcW w:w="3685" w:type="dxa"/>
            <w:vMerge w:val="restart"/>
            <w:tcBorders>
              <w:top w:val="single" w:sz="4" w:space="0" w:color="auto"/>
              <w:left w:val="single" w:sz="4" w:space="0" w:color="auto"/>
              <w:bottom w:val="single" w:sz="8" w:space="0" w:color="000000"/>
              <w:right w:val="single" w:sz="4" w:space="0" w:color="auto"/>
            </w:tcBorders>
            <w:noWrap/>
            <w:vAlign w:val="center"/>
            <w:hideMark/>
          </w:tcPr>
          <w:p w14:paraId="0FCAC8C8"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 xml:space="preserve">Indicators </w:t>
            </w:r>
          </w:p>
        </w:tc>
        <w:tc>
          <w:tcPr>
            <w:tcW w:w="6379" w:type="dxa"/>
            <w:gridSpan w:val="6"/>
            <w:tcBorders>
              <w:top w:val="single" w:sz="4" w:space="0" w:color="auto"/>
              <w:left w:val="nil"/>
              <w:bottom w:val="single" w:sz="4" w:space="0" w:color="auto"/>
              <w:right w:val="single" w:sz="4" w:space="0" w:color="000000"/>
            </w:tcBorders>
            <w:noWrap/>
            <w:vAlign w:val="bottom"/>
            <w:hideMark/>
          </w:tcPr>
          <w:p w14:paraId="71856A4F"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 xml:space="preserve">Maturity Measurement Scale </w:t>
            </w:r>
          </w:p>
        </w:tc>
      </w:tr>
      <w:tr w:rsidR="003D3E76" w:rsidRPr="00096D4D" w14:paraId="4F6FC305" w14:textId="77777777" w:rsidTr="003D3E76">
        <w:trPr>
          <w:trHeight w:val="91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769255B"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77CAEC05"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3ECD8576"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6D85CD44"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134" w:type="dxa"/>
            <w:tcBorders>
              <w:top w:val="nil"/>
              <w:left w:val="nil"/>
              <w:bottom w:val="single" w:sz="4" w:space="0" w:color="auto"/>
              <w:right w:val="single" w:sz="4" w:space="0" w:color="auto"/>
            </w:tcBorders>
            <w:shd w:val="clear" w:color="000000" w:fill="C00000"/>
            <w:vAlign w:val="center"/>
            <w:hideMark/>
          </w:tcPr>
          <w:p w14:paraId="41209BE5" w14:textId="77777777" w:rsidR="003D3E76" w:rsidRPr="00096D4D" w:rsidRDefault="003D3E76" w:rsidP="003D3E76">
            <w:pPr>
              <w:spacing w:after="0" w:line="240" w:lineRule="auto"/>
              <w:rPr>
                <w:rFonts w:ascii="Times New Roman" w:eastAsia="Times New Roman" w:hAnsi="Times New Roman" w:cs="Times New Roman"/>
                <w:b/>
                <w:bCs/>
                <w:color w:val="FFFFFF"/>
                <w:sz w:val="20"/>
                <w:szCs w:val="20"/>
                <w:lang w:val="en-US" w:eastAsia="ca-ES"/>
              </w:rPr>
            </w:pPr>
            <w:r w:rsidRPr="00096D4D">
              <w:rPr>
                <w:rFonts w:ascii="Times New Roman" w:eastAsia="Times New Roman" w:hAnsi="Times New Roman" w:cs="Times New Roman"/>
                <w:b/>
                <w:bCs/>
                <w:color w:val="FFFFFF"/>
                <w:sz w:val="20"/>
                <w:szCs w:val="20"/>
                <w:lang w:val="en-US" w:eastAsia="ca-ES"/>
              </w:rPr>
              <w:t>Level 0: Undefined</w:t>
            </w:r>
          </w:p>
        </w:tc>
        <w:tc>
          <w:tcPr>
            <w:tcW w:w="851" w:type="dxa"/>
            <w:tcBorders>
              <w:top w:val="nil"/>
              <w:left w:val="nil"/>
              <w:bottom w:val="single" w:sz="4" w:space="0" w:color="auto"/>
              <w:right w:val="single" w:sz="4" w:space="0" w:color="auto"/>
            </w:tcBorders>
            <w:shd w:val="clear" w:color="000000" w:fill="FF3300"/>
            <w:vAlign w:val="center"/>
            <w:hideMark/>
          </w:tcPr>
          <w:p w14:paraId="1B097324"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Level 1: Limited</w:t>
            </w:r>
          </w:p>
        </w:tc>
        <w:tc>
          <w:tcPr>
            <w:tcW w:w="992" w:type="dxa"/>
            <w:tcBorders>
              <w:top w:val="nil"/>
              <w:left w:val="nil"/>
              <w:bottom w:val="single" w:sz="4" w:space="0" w:color="auto"/>
              <w:right w:val="single" w:sz="4" w:space="0" w:color="auto"/>
            </w:tcBorders>
            <w:shd w:val="clear" w:color="000000" w:fill="FFC000"/>
            <w:vAlign w:val="center"/>
            <w:hideMark/>
          </w:tcPr>
          <w:p w14:paraId="5492E27A"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Level 2: Emerging</w:t>
            </w:r>
          </w:p>
        </w:tc>
        <w:tc>
          <w:tcPr>
            <w:tcW w:w="1134" w:type="dxa"/>
            <w:tcBorders>
              <w:top w:val="nil"/>
              <w:left w:val="nil"/>
              <w:bottom w:val="single" w:sz="4" w:space="0" w:color="auto"/>
              <w:right w:val="single" w:sz="4" w:space="0" w:color="auto"/>
            </w:tcBorders>
            <w:shd w:val="clear" w:color="000000" w:fill="FFFF00"/>
            <w:vAlign w:val="center"/>
            <w:hideMark/>
          </w:tcPr>
          <w:p w14:paraId="22073737"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Level 3: Formalized</w:t>
            </w:r>
          </w:p>
        </w:tc>
        <w:tc>
          <w:tcPr>
            <w:tcW w:w="1134" w:type="dxa"/>
            <w:tcBorders>
              <w:top w:val="nil"/>
              <w:left w:val="nil"/>
              <w:bottom w:val="single" w:sz="4" w:space="0" w:color="auto"/>
              <w:right w:val="single" w:sz="4" w:space="0" w:color="auto"/>
            </w:tcBorders>
            <w:shd w:val="clear" w:color="000000" w:fill="92D050"/>
            <w:vAlign w:val="center"/>
            <w:hideMark/>
          </w:tcPr>
          <w:p w14:paraId="09DE0B1B"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Level 4: Measured</w:t>
            </w:r>
          </w:p>
        </w:tc>
        <w:tc>
          <w:tcPr>
            <w:tcW w:w="1134" w:type="dxa"/>
            <w:tcBorders>
              <w:top w:val="nil"/>
              <w:left w:val="nil"/>
              <w:bottom w:val="single" w:sz="4" w:space="0" w:color="auto"/>
              <w:right w:val="single" w:sz="4" w:space="0" w:color="auto"/>
            </w:tcBorders>
            <w:shd w:val="clear" w:color="000000" w:fill="00B050"/>
            <w:vAlign w:val="center"/>
            <w:hideMark/>
          </w:tcPr>
          <w:p w14:paraId="265CC149"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Level 5: Optimized</w:t>
            </w:r>
          </w:p>
        </w:tc>
      </w:tr>
      <w:tr w:rsidR="003D3E76" w:rsidRPr="00096D4D" w14:paraId="609108C5" w14:textId="77777777" w:rsidTr="003D3E76">
        <w:trPr>
          <w:trHeight w:val="300"/>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0D9964D2" w14:textId="77777777" w:rsidR="003D3E76" w:rsidRPr="00096D4D" w:rsidRDefault="003D3E76" w:rsidP="003D3E76">
            <w:pPr>
              <w:spacing w:after="0" w:line="240" w:lineRule="auto"/>
              <w:jc w:val="center"/>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MACRO- SCOPE</w:t>
            </w:r>
            <w:r w:rsidRPr="00096D4D">
              <w:rPr>
                <w:rFonts w:ascii="Times New Roman" w:eastAsia="Times New Roman" w:hAnsi="Times New Roman" w:cs="Times New Roman"/>
                <w:color w:val="000000"/>
                <w:sz w:val="20"/>
                <w:szCs w:val="20"/>
                <w:lang w:val="en-US" w:eastAsia="ca-ES"/>
              </w:rPr>
              <w:t xml:space="preserve"> (STEEPED Analysis)</w:t>
            </w: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14:paraId="50BD8323"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Societal aspects</w:t>
            </w: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115CAE0F"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 xml:space="preserve">Religion </w:t>
            </w:r>
            <w:r w:rsidRPr="00096D4D">
              <w:rPr>
                <w:rFonts w:ascii="Times New Roman" w:eastAsia="Times New Roman" w:hAnsi="Times New Roman" w:cs="Times New Roman"/>
                <w:bCs/>
                <w:sz w:val="20"/>
                <w:szCs w:val="20"/>
                <w:lang w:val="en-US" w:eastAsia="ca-ES"/>
              </w:rPr>
              <w:br/>
              <w:t>Ethnicity</w:t>
            </w:r>
            <w:r w:rsidRPr="00096D4D">
              <w:rPr>
                <w:rFonts w:ascii="Times New Roman" w:eastAsia="Times New Roman" w:hAnsi="Times New Roman" w:cs="Times New Roman"/>
                <w:bCs/>
                <w:sz w:val="20"/>
                <w:szCs w:val="20"/>
                <w:lang w:val="en-US" w:eastAsia="ca-ES"/>
              </w:rPr>
              <w:br/>
              <w:t>Employment situation</w:t>
            </w:r>
            <w:r w:rsidRPr="00096D4D">
              <w:rPr>
                <w:rFonts w:ascii="Times New Roman" w:eastAsia="Times New Roman" w:hAnsi="Times New Roman" w:cs="Times New Roman"/>
                <w:bCs/>
                <w:sz w:val="20"/>
                <w:szCs w:val="20"/>
                <w:lang w:val="en-US" w:eastAsia="ca-ES"/>
              </w:rPr>
              <w:br/>
              <w:t>Financial means</w:t>
            </w:r>
            <w:r w:rsidRPr="00096D4D">
              <w:rPr>
                <w:rFonts w:ascii="Times New Roman" w:eastAsia="Times New Roman" w:hAnsi="Times New Roman" w:cs="Times New Roman"/>
                <w:bCs/>
                <w:sz w:val="20"/>
                <w:szCs w:val="20"/>
                <w:lang w:val="en-US" w:eastAsia="ca-ES"/>
              </w:rPr>
              <w:br/>
              <w:t>Wellbeing</w:t>
            </w:r>
            <w:r w:rsidRPr="00096D4D">
              <w:rPr>
                <w:rFonts w:ascii="Times New Roman" w:eastAsia="Times New Roman" w:hAnsi="Times New Roman" w:cs="Times New Roman"/>
                <w:bCs/>
                <w:sz w:val="20"/>
                <w:szCs w:val="20"/>
                <w:lang w:val="en-US" w:eastAsia="ca-ES"/>
              </w:rPr>
              <w:br/>
              <w:t>Health</w:t>
            </w:r>
            <w:r w:rsidRPr="00096D4D">
              <w:rPr>
                <w:rFonts w:ascii="Times New Roman" w:eastAsia="Times New Roman" w:hAnsi="Times New Roman" w:cs="Times New Roman"/>
                <w:bCs/>
                <w:sz w:val="20"/>
                <w:szCs w:val="20"/>
                <w:lang w:val="en-US" w:eastAsia="ca-ES"/>
              </w:rPr>
              <w:br/>
              <w:t>Presence of disabilities</w:t>
            </w:r>
            <w:r w:rsidRPr="00096D4D">
              <w:rPr>
                <w:rFonts w:ascii="Times New Roman" w:eastAsia="Times New Roman" w:hAnsi="Times New Roman" w:cs="Times New Roman"/>
                <w:bCs/>
                <w:sz w:val="20"/>
                <w:szCs w:val="20"/>
                <w:lang w:val="en-US" w:eastAsia="ca-ES"/>
              </w:rPr>
              <w:br/>
              <w:t>Habits</w:t>
            </w:r>
            <w:r w:rsidRPr="00096D4D">
              <w:rPr>
                <w:rFonts w:ascii="Times New Roman" w:eastAsia="Times New Roman" w:hAnsi="Times New Roman" w:cs="Times New Roman"/>
                <w:bCs/>
                <w:sz w:val="20"/>
                <w:szCs w:val="20"/>
                <w:lang w:val="en-US" w:eastAsia="ca-ES"/>
              </w:rPr>
              <w:br/>
              <w:t>Awareness raising-education</w:t>
            </w:r>
          </w:p>
        </w:tc>
        <w:tc>
          <w:tcPr>
            <w:tcW w:w="3685" w:type="dxa"/>
            <w:tcBorders>
              <w:top w:val="single" w:sz="4" w:space="0" w:color="auto"/>
              <w:left w:val="nil"/>
              <w:bottom w:val="single" w:sz="4" w:space="0" w:color="auto"/>
              <w:right w:val="single" w:sz="4" w:space="0" w:color="auto"/>
            </w:tcBorders>
            <w:vAlign w:val="center"/>
            <w:hideMark/>
          </w:tcPr>
          <w:p w14:paraId="2B8E2ED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Level of sustainable habits of stakeholders regarding FLWPR.</w:t>
            </w:r>
          </w:p>
        </w:tc>
        <w:tc>
          <w:tcPr>
            <w:tcW w:w="1134" w:type="dxa"/>
            <w:tcBorders>
              <w:top w:val="single" w:sz="4" w:space="0" w:color="auto"/>
              <w:left w:val="nil"/>
              <w:bottom w:val="single" w:sz="4" w:space="0" w:color="auto"/>
              <w:right w:val="single" w:sz="4" w:space="0" w:color="auto"/>
            </w:tcBorders>
            <w:noWrap/>
            <w:vAlign w:val="bottom"/>
            <w:hideMark/>
          </w:tcPr>
          <w:p w14:paraId="08A7F38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2E37555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1BD0F04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99D895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BAA8A0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87DE39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4CCF2568"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70A638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249821F5"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7B5B8287"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nil"/>
            </w:tcBorders>
            <w:noWrap/>
            <w:vAlign w:val="center"/>
            <w:hideMark/>
          </w:tcPr>
          <w:p w14:paraId="00AB5CA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Level of awareness and education of stakeholders on FLWPR.</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90EEE0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5CCF521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188C70A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ECB8B8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1B42BA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7FBAAA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5410DD51" w14:textId="77777777" w:rsidTr="003D3E76">
        <w:trPr>
          <w:trHeight w:val="571"/>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1DAE4F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058EBDF0"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50194A5F"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7547027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Impact of the FLWPR on collective well-being </w:t>
            </w:r>
          </w:p>
        </w:tc>
        <w:tc>
          <w:tcPr>
            <w:tcW w:w="1134" w:type="dxa"/>
            <w:tcBorders>
              <w:top w:val="single" w:sz="4" w:space="0" w:color="auto"/>
              <w:left w:val="nil"/>
              <w:bottom w:val="single" w:sz="4" w:space="0" w:color="auto"/>
              <w:right w:val="single" w:sz="4" w:space="0" w:color="auto"/>
            </w:tcBorders>
            <w:noWrap/>
            <w:vAlign w:val="bottom"/>
            <w:hideMark/>
          </w:tcPr>
          <w:p w14:paraId="403674E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042FD4D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3A05909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28942E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6D790E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6DE954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07C52839" w14:textId="77777777" w:rsidTr="003D3E76">
        <w:trPr>
          <w:trHeight w:val="287"/>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6074C4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01056608"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47280384"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651BCB2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Impact of the FLWPR on individuals (health, safety, quality of life).</w:t>
            </w:r>
          </w:p>
        </w:tc>
        <w:tc>
          <w:tcPr>
            <w:tcW w:w="1134" w:type="dxa"/>
            <w:tcBorders>
              <w:top w:val="single" w:sz="4" w:space="0" w:color="auto"/>
              <w:left w:val="nil"/>
              <w:bottom w:val="single" w:sz="4" w:space="0" w:color="auto"/>
              <w:right w:val="single" w:sz="4" w:space="0" w:color="auto"/>
            </w:tcBorders>
            <w:noWrap/>
            <w:vAlign w:val="bottom"/>
            <w:hideMark/>
          </w:tcPr>
          <w:p w14:paraId="764D613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1196A6B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5B857A9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ABCC5B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6FA465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A6A36C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3F53482B" w14:textId="77777777" w:rsidTr="003D3E76">
        <w:trPr>
          <w:trHeight w:val="503"/>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1A4CCB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14:paraId="1A4DDF7F"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Technology aspects</w:t>
            </w: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3883D744"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 xml:space="preserve">Purpose </w:t>
            </w:r>
            <w:r w:rsidRPr="00096D4D">
              <w:rPr>
                <w:rFonts w:ascii="Times New Roman" w:eastAsia="Times New Roman" w:hAnsi="Times New Roman" w:cs="Times New Roman"/>
                <w:bCs/>
                <w:sz w:val="20"/>
                <w:szCs w:val="20"/>
                <w:lang w:val="en-US" w:eastAsia="ca-ES"/>
              </w:rPr>
              <w:br/>
              <w:t>Application</w:t>
            </w:r>
            <w:r w:rsidRPr="00096D4D">
              <w:rPr>
                <w:rFonts w:ascii="Times New Roman" w:eastAsia="Times New Roman" w:hAnsi="Times New Roman" w:cs="Times New Roman"/>
                <w:bCs/>
                <w:sz w:val="20"/>
                <w:szCs w:val="20"/>
                <w:lang w:val="en-US" w:eastAsia="ca-ES"/>
              </w:rPr>
              <w:br/>
              <w:t>Accessibility</w:t>
            </w:r>
            <w:r w:rsidRPr="00096D4D">
              <w:rPr>
                <w:rFonts w:ascii="Times New Roman" w:eastAsia="Times New Roman" w:hAnsi="Times New Roman" w:cs="Times New Roman"/>
                <w:bCs/>
                <w:sz w:val="20"/>
                <w:szCs w:val="20"/>
                <w:lang w:val="en-US" w:eastAsia="ca-ES"/>
              </w:rPr>
              <w:br/>
              <w:t>Efficacy</w:t>
            </w:r>
            <w:r w:rsidRPr="00096D4D">
              <w:rPr>
                <w:rFonts w:ascii="Times New Roman" w:eastAsia="Times New Roman" w:hAnsi="Times New Roman" w:cs="Times New Roman"/>
                <w:bCs/>
                <w:sz w:val="20"/>
                <w:szCs w:val="20"/>
                <w:lang w:val="en-US" w:eastAsia="ca-ES"/>
              </w:rPr>
              <w:br/>
              <w:t>Added value</w:t>
            </w:r>
            <w:r w:rsidRPr="00096D4D">
              <w:rPr>
                <w:rFonts w:ascii="Times New Roman" w:eastAsia="Times New Roman" w:hAnsi="Times New Roman" w:cs="Times New Roman"/>
                <w:bCs/>
                <w:sz w:val="20"/>
                <w:szCs w:val="20"/>
                <w:lang w:val="en-US" w:eastAsia="ca-ES"/>
              </w:rPr>
              <w:br/>
              <w:t>Dual use</w:t>
            </w:r>
            <w:r w:rsidRPr="00096D4D">
              <w:rPr>
                <w:rFonts w:ascii="Times New Roman" w:eastAsia="Times New Roman" w:hAnsi="Times New Roman" w:cs="Times New Roman"/>
                <w:bCs/>
                <w:sz w:val="20"/>
                <w:szCs w:val="20"/>
                <w:lang w:val="en-US" w:eastAsia="ca-ES"/>
              </w:rPr>
              <w:br/>
              <w:t>Research and Innovation</w:t>
            </w:r>
            <w:r w:rsidRPr="00096D4D">
              <w:rPr>
                <w:rFonts w:ascii="Times New Roman" w:eastAsia="Times New Roman" w:hAnsi="Times New Roman" w:cs="Times New Roman"/>
                <w:bCs/>
                <w:sz w:val="20"/>
                <w:szCs w:val="20"/>
                <w:lang w:val="en-US" w:eastAsia="ca-ES"/>
              </w:rPr>
              <w:br/>
              <w:t>Existing alternative</w:t>
            </w:r>
            <w:r w:rsidRPr="00096D4D">
              <w:rPr>
                <w:rFonts w:ascii="Times New Roman" w:eastAsia="Times New Roman" w:hAnsi="Times New Roman" w:cs="Times New Roman"/>
                <w:bCs/>
                <w:sz w:val="20"/>
                <w:szCs w:val="20"/>
                <w:lang w:val="en-US" w:eastAsia="ca-ES"/>
              </w:rPr>
              <w:br/>
              <w:t>Challenges</w:t>
            </w:r>
          </w:p>
        </w:tc>
        <w:tc>
          <w:tcPr>
            <w:tcW w:w="3685" w:type="dxa"/>
            <w:tcBorders>
              <w:top w:val="single" w:sz="4" w:space="0" w:color="auto"/>
              <w:left w:val="nil"/>
              <w:bottom w:val="single" w:sz="4" w:space="0" w:color="auto"/>
              <w:right w:val="single" w:sz="4" w:space="0" w:color="auto"/>
            </w:tcBorders>
            <w:vAlign w:val="center"/>
            <w:hideMark/>
          </w:tcPr>
          <w:p w14:paraId="34E6142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Accessibility of stakeholders to new technologies related to FLWPR.</w:t>
            </w:r>
          </w:p>
        </w:tc>
        <w:tc>
          <w:tcPr>
            <w:tcW w:w="1134" w:type="dxa"/>
            <w:tcBorders>
              <w:top w:val="single" w:sz="4" w:space="0" w:color="auto"/>
              <w:left w:val="nil"/>
              <w:bottom w:val="single" w:sz="4" w:space="0" w:color="auto"/>
              <w:right w:val="single" w:sz="4" w:space="0" w:color="auto"/>
            </w:tcBorders>
            <w:noWrap/>
            <w:vAlign w:val="bottom"/>
            <w:hideMark/>
          </w:tcPr>
          <w:p w14:paraId="79A0352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1224AF6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2468E05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673947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B12924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282CF3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32377C4A" w14:textId="77777777" w:rsidTr="003D3E76">
        <w:trPr>
          <w:trHeight w:val="823"/>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9046A6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39727730"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775345D3"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50AAA43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Intensity of research and innovation activities regarding FLWPR.</w:t>
            </w:r>
          </w:p>
        </w:tc>
        <w:tc>
          <w:tcPr>
            <w:tcW w:w="1134" w:type="dxa"/>
            <w:tcBorders>
              <w:top w:val="single" w:sz="4" w:space="0" w:color="auto"/>
              <w:left w:val="nil"/>
              <w:bottom w:val="single" w:sz="4" w:space="0" w:color="auto"/>
              <w:right w:val="single" w:sz="4" w:space="0" w:color="auto"/>
            </w:tcBorders>
            <w:noWrap/>
            <w:vAlign w:val="bottom"/>
            <w:hideMark/>
          </w:tcPr>
          <w:p w14:paraId="3D6BAA4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667031C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7932337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5EC974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075144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696CCB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4AB75330" w14:textId="77777777" w:rsidTr="003D3E76">
        <w:trPr>
          <w:trHeight w:val="76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5A8027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69746CEB"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328368B6"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7654D2D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Effectiveness of available technologies in implementing FLWPR solutions.</w:t>
            </w:r>
          </w:p>
        </w:tc>
        <w:tc>
          <w:tcPr>
            <w:tcW w:w="1134" w:type="dxa"/>
            <w:tcBorders>
              <w:top w:val="single" w:sz="4" w:space="0" w:color="auto"/>
              <w:left w:val="nil"/>
              <w:bottom w:val="single" w:sz="4" w:space="0" w:color="auto"/>
              <w:right w:val="single" w:sz="4" w:space="0" w:color="auto"/>
            </w:tcBorders>
            <w:noWrap/>
            <w:vAlign w:val="bottom"/>
            <w:hideMark/>
          </w:tcPr>
          <w:p w14:paraId="2F28D82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4CF8E81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03EBD23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8EC02A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12EEB3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002139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72408DA2" w14:textId="77777777" w:rsidTr="003D3E76">
        <w:trPr>
          <w:trHeight w:val="6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5FF3A8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14:paraId="5B74D13D"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Economic aspect</w:t>
            </w: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2B8BF198"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 xml:space="preserve">Economic value &amp; </w:t>
            </w:r>
            <w:proofErr w:type="spellStart"/>
            <w:r w:rsidRPr="00096D4D">
              <w:rPr>
                <w:rFonts w:ascii="Times New Roman" w:eastAsia="Times New Roman" w:hAnsi="Times New Roman" w:cs="Times New Roman"/>
                <w:bCs/>
                <w:sz w:val="20"/>
                <w:szCs w:val="20"/>
                <w:lang w:val="en-US" w:eastAsia="ca-ES"/>
              </w:rPr>
              <w:t>commercialisation</w:t>
            </w:r>
            <w:proofErr w:type="spellEnd"/>
            <w:r w:rsidRPr="00096D4D">
              <w:rPr>
                <w:rFonts w:ascii="Times New Roman" w:eastAsia="Times New Roman" w:hAnsi="Times New Roman" w:cs="Times New Roman"/>
                <w:bCs/>
                <w:sz w:val="20"/>
                <w:szCs w:val="20"/>
                <w:lang w:val="en-US" w:eastAsia="ca-ES"/>
              </w:rPr>
              <w:br/>
              <w:t>Job creation and loss</w:t>
            </w:r>
            <w:r w:rsidRPr="00096D4D">
              <w:rPr>
                <w:rFonts w:ascii="Times New Roman" w:eastAsia="Times New Roman" w:hAnsi="Times New Roman" w:cs="Times New Roman"/>
                <w:bCs/>
                <w:sz w:val="20"/>
                <w:szCs w:val="20"/>
                <w:lang w:val="en-US" w:eastAsia="ca-ES"/>
              </w:rPr>
              <w:br/>
              <w:t>Infrastructure &amp; resources needs</w:t>
            </w:r>
            <w:r w:rsidRPr="00096D4D">
              <w:rPr>
                <w:rFonts w:ascii="Times New Roman" w:eastAsia="Times New Roman" w:hAnsi="Times New Roman" w:cs="Times New Roman"/>
                <w:bCs/>
                <w:sz w:val="20"/>
                <w:szCs w:val="20"/>
                <w:lang w:val="en-US" w:eastAsia="ca-ES"/>
              </w:rPr>
              <w:br/>
              <w:t>Equality of access</w:t>
            </w:r>
            <w:r w:rsidRPr="00096D4D">
              <w:rPr>
                <w:rFonts w:ascii="Times New Roman" w:eastAsia="Times New Roman" w:hAnsi="Times New Roman" w:cs="Times New Roman"/>
                <w:bCs/>
                <w:sz w:val="20"/>
                <w:szCs w:val="20"/>
                <w:lang w:val="en-US" w:eastAsia="ca-ES"/>
              </w:rPr>
              <w:br/>
              <w:t>Skills dependency</w:t>
            </w:r>
            <w:r w:rsidRPr="00096D4D">
              <w:rPr>
                <w:rFonts w:ascii="Times New Roman" w:eastAsia="Times New Roman" w:hAnsi="Times New Roman" w:cs="Times New Roman"/>
                <w:bCs/>
                <w:sz w:val="20"/>
                <w:szCs w:val="20"/>
                <w:lang w:val="en-US" w:eastAsia="ca-ES"/>
              </w:rPr>
              <w:br/>
            </w:r>
            <w:r w:rsidRPr="00096D4D">
              <w:rPr>
                <w:rFonts w:ascii="Times New Roman" w:eastAsia="Times New Roman" w:hAnsi="Times New Roman" w:cs="Times New Roman"/>
                <w:bCs/>
                <w:sz w:val="20"/>
                <w:szCs w:val="20"/>
                <w:lang w:val="en-US" w:eastAsia="ca-ES"/>
              </w:rPr>
              <w:lastRenderedPageBreak/>
              <w:t>Resource dependency</w:t>
            </w:r>
            <w:r w:rsidRPr="00096D4D">
              <w:rPr>
                <w:rFonts w:ascii="Times New Roman" w:eastAsia="Times New Roman" w:hAnsi="Times New Roman" w:cs="Times New Roman"/>
                <w:bCs/>
                <w:sz w:val="20"/>
                <w:szCs w:val="20"/>
                <w:lang w:val="en-US" w:eastAsia="ca-ES"/>
              </w:rPr>
              <w:br/>
              <w:t>Infrastructure dependency</w:t>
            </w:r>
            <w:r w:rsidRPr="00096D4D">
              <w:rPr>
                <w:rFonts w:ascii="Times New Roman" w:eastAsia="Times New Roman" w:hAnsi="Times New Roman" w:cs="Times New Roman"/>
                <w:bCs/>
                <w:sz w:val="20"/>
                <w:szCs w:val="20"/>
                <w:lang w:val="en-US" w:eastAsia="ca-ES"/>
              </w:rPr>
              <w:br/>
              <w:t>Affordability</w:t>
            </w:r>
          </w:p>
        </w:tc>
        <w:tc>
          <w:tcPr>
            <w:tcW w:w="3685" w:type="dxa"/>
            <w:tcBorders>
              <w:top w:val="single" w:sz="4" w:space="0" w:color="auto"/>
              <w:left w:val="nil"/>
              <w:bottom w:val="single" w:sz="4" w:space="0" w:color="auto"/>
              <w:right w:val="single" w:sz="4" w:space="0" w:color="auto"/>
            </w:tcBorders>
            <w:vAlign w:val="center"/>
            <w:hideMark/>
          </w:tcPr>
          <w:p w14:paraId="32C0254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lastRenderedPageBreak/>
              <w:t>Economic value of fresh food expected to be saved from waste.</w:t>
            </w:r>
          </w:p>
        </w:tc>
        <w:tc>
          <w:tcPr>
            <w:tcW w:w="1134" w:type="dxa"/>
            <w:tcBorders>
              <w:top w:val="single" w:sz="4" w:space="0" w:color="auto"/>
              <w:left w:val="nil"/>
              <w:bottom w:val="single" w:sz="4" w:space="0" w:color="auto"/>
              <w:right w:val="single" w:sz="4" w:space="0" w:color="auto"/>
            </w:tcBorders>
            <w:noWrap/>
            <w:vAlign w:val="bottom"/>
            <w:hideMark/>
          </w:tcPr>
          <w:p w14:paraId="1063764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52BC647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2066322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B9F83C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18F08D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752E5A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42CF1943" w14:textId="77777777" w:rsidTr="003D3E76">
        <w:trPr>
          <w:trHeight w:val="49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18668F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0C7612AB"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28B6E76A"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0BD8975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xml:space="preserve">Availability of incentives for preventing and reducing FLW. </w:t>
            </w:r>
          </w:p>
        </w:tc>
        <w:tc>
          <w:tcPr>
            <w:tcW w:w="1134" w:type="dxa"/>
            <w:tcBorders>
              <w:top w:val="single" w:sz="4" w:space="0" w:color="auto"/>
              <w:left w:val="nil"/>
              <w:bottom w:val="single" w:sz="4" w:space="0" w:color="auto"/>
              <w:right w:val="single" w:sz="4" w:space="0" w:color="auto"/>
            </w:tcBorders>
            <w:noWrap/>
            <w:vAlign w:val="bottom"/>
            <w:hideMark/>
          </w:tcPr>
          <w:p w14:paraId="0F31AEA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0007222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2CB5FCF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CB5B46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1D65E0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7E3375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37112CCA" w14:textId="77777777" w:rsidTr="003D3E76">
        <w:trPr>
          <w:trHeight w:val="863"/>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E09079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5B74128D"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0EF89300"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712C306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xml:space="preserve">Availability of infrastructure and resources required to prevent and reduce FLW. </w:t>
            </w:r>
          </w:p>
        </w:tc>
        <w:tc>
          <w:tcPr>
            <w:tcW w:w="1134" w:type="dxa"/>
            <w:tcBorders>
              <w:top w:val="single" w:sz="4" w:space="0" w:color="auto"/>
              <w:left w:val="nil"/>
              <w:bottom w:val="single" w:sz="4" w:space="0" w:color="auto"/>
              <w:right w:val="single" w:sz="4" w:space="0" w:color="auto"/>
            </w:tcBorders>
            <w:noWrap/>
            <w:vAlign w:val="bottom"/>
            <w:hideMark/>
          </w:tcPr>
          <w:p w14:paraId="474AC61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1A9E9AB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51A1BB4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499EB4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FE4F3B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D6782C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19D3789D" w14:textId="77777777" w:rsidTr="003D3E76">
        <w:trPr>
          <w:trHeight w:val="69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8F01E3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1EC42635"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65FA8D41"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5809D3D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xml:space="preserve">Income level and saving capacity of stakeholders to prevent and reduce FLW. </w:t>
            </w:r>
          </w:p>
        </w:tc>
        <w:tc>
          <w:tcPr>
            <w:tcW w:w="1134" w:type="dxa"/>
            <w:tcBorders>
              <w:top w:val="single" w:sz="4" w:space="0" w:color="auto"/>
              <w:left w:val="nil"/>
              <w:bottom w:val="single" w:sz="4" w:space="0" w:color="auto"/>
              <w:right w:val="single" w:sz="4" w:space="0" w:color="auto"/>
            </w:tcBorders>
            <w:noWrap/>
            <w:vAlign w:val="bottom"/>
            <w:hideMark/>
          </w:tcPr>
          <w:p w14:paraId="0C101DF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615B790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0D3F06F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5FC050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058E32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D106A8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0B955DBC" w14:textId="77777777" w:rsidTr="003D3E76">
        <w:trPr>
          <w:trHeight w:val="63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0C6E20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14:paraId="48D9C27E"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Environmental aspect</w:t>
            </w: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65072C18"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Environmental impact</w:t>
            </w:r>
            <w:r w:rsidRPr="00096D4D">
              <w:rPr>
                <w:rFonts w:ascii="Times New Roman" w:eastAsia="Times New Roman" w:hAnsi="Times New Roman" w:cs="Times New Roman"/>
                <w:bCs/>
                <w:sz w:val="20"/>
                <w:szCs w:val="20"/>
                <w:lang w:val="en-US" w:eastAsia="ca-ES"/>
              </w:rPr>
              <w:br/>
              <w:t>Natural resource usage</w:t>
            </w:r>
            <w:r w:rsidRPr="00096D4D">
              <w:rPr>
                <w:rFonts w:ascii="Times New Roman" w:eastAsia="Times New Roman" w:hAnsi="Times New Roman" w:cs="Times New Roman"/>
                <w:bCs/>
                <w:sz w:val="20"/>
                <w:szCs w:val="20"/>
                <w:lang w:val="en-US" w:eastAsia="ca-ES"/>
              </w:rPr>
              <w:br/>
              <w:t>Resource efficiency</w:t>
            </w:r>
            <w:r w:rsidRPr="00096D4D">
              <w:rPr>
                <w:rFonts w:ascii="Times New Roman" w:eastAsia="Times New Roman" w:hAnsi="Times New Roman" w:cs="Times New Roman"/>
                <w:bCs/>
                <w:sz w:val="20"/>
                <w:szCs w:val="20"/>
                <w:lang w:val="en-US" w:eastAsia="ca-ES"/>
              </w:rPr>
              <w:br/>
              <w:t>Energy efficiency</w:t>
            </w:r>
            <w:r w:rsidRPr="00096D4D">
              <w:rPr>
                <w:rFonts w:ascii="Times New Roman" w:eastAsia="Times New Roman" w:hAnsi="Times New Roman" w:cs="Times New Roman"/>
                <w:bCs/>
                <w:sz w:val="20"/>
                <w:szCs w:val="20"/>
                <w:lang w:val="en-US" w:eastAsia="ca-ES"/>
              </w:rPr>
              <w:br/>
              <w:t>Water efficiency</w:t>
            </w:r>
            <w:r w:rsidRPr="00096D4D">
              <w:rPr>
                <w:rFonts w:ascii="Times New Roman" w:eastAsia="Times New Roman" w:hAnsi="Times New Roman" w:cs="Times New Roman"/>
                <w:bCs/>
                <w:sz w:val="20"/>
                <w:szCs w:val="20"/>
                <w:lang w:val="en-US" w:eastAsia="ca-ES"/>
              </w:rPr>
              <w:br/>
              <w:t>Recyclability</w:t>
            </w:r>
            <w:r w:rsidRPr="00096D4D">
              <w:rPr>
                <w:rFonts w:ascii="Times New Roman" w:eastAsia="Times New Roman" w:hAnsi="Times New Roman" w:cs="Times New Roman"/>
                <w:bCs/>
                <w:sz w:val="20"/>
                <w:szCs w:val="20"/>
                <w:lang w:val="en-US" w:eastAsia="ca-ES"/>
              </w:rPr>
              <w:br/>
              <w:t>Production/Process safety</w:t>
            </w:r>
            <w:r w:rsidRPr="00096D4D">
              <w:rPr>
                <w:rFonts w:ascii="Times New Roman" w:eastAsia="Times New Roman" w:hAnsi="Times New Roman" w:cs="Times New Roman"/>
                <w:bCs/>
                <w:sz w:val="20"/>
                <w:szCs w:val="20"/>
                <w:lang w:val="en-US" w:eastAsia="ca-ES"/>
              </w:rPr>
              <w:br/>
              <w:t>Product safety</w:t>
            </w:r>
          </w:p>
        </w:tc>
        <w:tc>
          <w:tcPr>
            <w:tcW w:w="3685" w:type="dxa"/>
            <w:tcBorders>
              <w:top w:val="single" w:sz="4" w:space="0" w:color="auto"/>
              <w:left w:val="nil"/>
              <w:bottom w:val="single" w:sz="4" w:space="0" w:color="auto"/>
              <w:right w:val="single" w:sz="4" w:space="0" w:color="auto"/>
            </w:tcBorders>
            <w:vAlign w:val="center"/>
            <w:hideMark/>
          </w:tcPr>
          <w:p w14:paraId="5F338A2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Environmental impact of the FLW</w:t>
            </w:r>
          </w:p>
        </w:tc>
        <w:tc>
          <w:tcPr>
            <w:tcW w:w="1134" w:type="dxa"/>
            <w:tcBorders>
              <w:top w:val="single" w:sz="4" w:space="0" w:color="auto"/>
              <w:left w:val="nil"/>
              <w:bottom w:val="single" w:sz="4" w:space="0" w:color="auto"/>
              <w:right w:val="single" w:sz="4" w:space="0" w:color="auto"/>
            </w:tcBorders>
            <w:noWrap/>
            <w:vAlign w:val="bottom"/>
            <w:hideMark/>
          </w:tcPr>
          <w:p w14:paraId="5747060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5ABF25E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721E670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362B23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C5C810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3CF1CE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074D8FA7" w14:textId="77777777" w:rsidTr="003D3E76">
        <w:trPr>
          <w:trHeight w:val="45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C399A2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48DBFED2"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3ACB95BB"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2F3BFFC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Contribution of the FLWPR to resource efficiency.</w:t>
            </w:r>
          </w:p>
        </w:tc>
        <w:tc>
          <w:tcPr>
            <w:tcW w:w="1134" w:type="dxa"/>
            <w:tcBorders>
              <w:top w:val="single" w:sz="4" w:space="0" w:color="auto"/>
              <w:left w:val="nil"/>
              <w:bottom w:val="single" w:sz="4" w:space="0" w:color="auto"/>
              <w:right w:val="single" w:sz="4" w:space="0" w:color="auto"/>
            </w:tcBorders>
            <w:noWrap/>
            <w:vAlign w:val="bottom"/>
            <w:hideMark/>
          </w:tcPr>
          <w:p w14:paraId="2BD11F4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10A9F5C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6345DCD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A35AA8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7DCAE8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820399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5C99A966" w14:textId="77777777" w:rsidTr="003D3E76">
        <w:trPr>
          <w:trHeight w:val="563"/>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58CA5A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3FBBC30C"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213672DC"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40E1310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Impact of the FLWPR on natural resources.</w:t>
            </w:r>
          </w:p>
        </w:tc>
        <w:tc>
          <w:tcPr>
            <w:tcW w:w="1134" w:type="dxa"/>
            <w:tcBorders>
              <w:top w:val="single" w:sz="4" w:space="0" w:color="auto"/>
              <w:left w:val="nil"/>
              <w:bottom w:val="single" w:sz="4" w:space="0" w:color="auto"/>
              <w:right w:val="single" w:sz="4" w:space="0" w:color="auto"/>
            </w:tcBorders>
            <w:noWrap/>
            <w:vAlign w:val="bottom"/>
            <w:hideMark/>
          </w:tcPr>
          <w:p w14:paraId="1A236C0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5BF3499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1F5BF16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549402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62E1CE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217F83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53A2D786" w14:textId="77777777" w:rsidTr="003D3E76">
        <w:trPr>
          <w:trHeight w:val="44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E0484F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5E6E12E8"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3FD82EF0"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638D932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Degree to which the FLWPR respects or improves the environment.</w:t>
            </w:r>
          </w:p>
        </w:tc>
        <w:tc>
          <w:tcPr>
            <w:tcW w:w="1134" w:type="dxa"/>
            <w:tcBorders>
              <w:top w:val="single" w:sz="4" w:space="0" w:color="auto"/>
              <w:left w:val="nil"/>
              <w:bottom w:val="single" w:sz="4" w:space="0" w:color="auto"/>
              <w:right w:val="single" w:sz="4" w:space="0" w:color="auto"/>
            </w:tcBorders>
            <w:noWrap/>
            <w:vAlign w:val="bottom"/>
            <w:hideMark/>
          </w:tcPr>
          <w:p w14:paraId="4953944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266BBEA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0E7E179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65BA63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503715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01F80F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282CE624" w14:textId="77777777" w:rsidTr="003D3E76">
        <w:trPr>
          <w:trHeight w:val="87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933031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14:paraId="2509DE80"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Political and legal aspects</w:t>
            </w: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06A98BE0" w14:textId="178BB488"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Geopolitical aspects</w:t>
            </w:r>
            <w:r w:rsidRPr="00096D4D">
              <w:rPr>
                <w:rFonts w:ascii="Times New Roman" w:eastAsia="Times New Roman" w:hAnsi="Times New Roman" w:cs="Times New Roman"/>
                <w:bCs/>
                <w:sz w:val="20"/>
                <w:szCs w:val="20"/>
                <w:lang w:val="en-US" w:eastAsia="ca-ES"/>
              </w:rPr>
              <w:br/>
              <w:t>Individual rights</w:t>
            </w:r>
            <w:r w:rsidRPr="00096D4D">
              <w:rPr>
                <w:rFonts w:ascii="Times New Roman" w:eastAsia="Times New Roman" w:hAnsi="Times New Roman" w:cs="Times New Roman"/>
                <w:bCs/>
                <w:sz w:val="20"/>
                <w:szCs w:val="20"/>
                <w:lang w:val="en-US" w:eastAsia="ca-ES"/>
              </w:rPr>
              <w:br/>
              <w:t>Democratic aspects</w:t>
            </w:r>
            <w:r w:rsidRPr="00096D4D">
              <w:rPr>
                <w:rFonts w:ascii="Times New Roman" w:eastAsia="Times New Roman" w:hAnsi="Times New Roman" w:cs="Times New Roman"/>
                <w:bCs/>
                <w:sz w:val="20"/>
                <w:szCs w:val="20"/>
                <w:lang w:val="en-US" w:eastAsia="ca-ES"/>
              </w:rPr>
              <w:br/>
              <w:t>Liability</w:t>
            </w:r>
            <w:r w:rsidRPr="00096D4D">
              <w:rPr>
                <w:rFonts w:ascii="Times New Roman" w:eastAsia="Times New Roman" w:hAnsi="Times New Roman" w:cs="Times New Roman"/>
                <w:bCs/>
                <w:sz w:val="20"/>
                <w:szCs w:val="20"/>
                <w:lang w:val="en-US" w:eastAsia="ca-ES"/>
              </w:rPr>
              <w:br/>
              <w:t>Laws and regulations</w:t>
            </w:r>
            <w:r w:rsidRPr="00096D4D">
              <w:rPr>
                <w:rFonts w:ascii="Times New Roman" w:eastAsia="Times New Roman" w:hAnsi="Times New Roman" w:cs="Times New Roman"/>
                <w:bCs/>
                <w:sz w:val="20"/>
                <w:szCs w:val="20"/>
                <w:lang w:val="en-US" w:eastAsia="ca-ES"/>
              </w:rPr>
              <w:br/>
              <w:t>Market structure</w:t>
            </w:r>
            <w:r w:rsidRPr="00096D4D">
              <w:rPr>
                <w:rFonts w:ascii="Times New Roman" w:eastAsia="Times New Roman" w:hAnsi="Times New Roman" w:cs="Times New Roman"/>
                <w:bCs/>
                <w:sz w:val="20"/>
                <w:szCs w:val="20"/>
                <w:lang w:val="en-US" w:eastAsia="ca-ES"/>
              </w:rPr>
              <w:br/>
              <w:t>Privacy issues</w:t>
            </w:r>
            <w:r w:rsidRPr="00096D4D">
              <w:rPr>
                <w:rFonts w:ascii="Times New Roman" w:eastAsia="Times New Roman" w:hAnsi="Times New Roman" w:cs="Times New Roman"/>
                <w:bCs/>
                <w:sz w:val="20"/>
                <w:szCs w:val="20"/>
                <w:lang w:val="en-US" w:eastAsia="ca-ES"/>
              </w:rPr>
              <w:br/>
              <w:t>Guidelines for foresight-based policy analysis</w:t>
            </w:r>
          </w:p>
        </w:tc>
        <w:tc>
          <w:tcPr>
            <w:tcW w:w="3685" w:type="dxa"/>
            <w:tcBorders>
              <w:top w:val="single" w:sz="4" w:space="0" w:color="auto"/>
              <w:left w:val="nil"/>
              <w:bottom w:val="single" w:sz="4" w:space="0" w:color="auto"/>
              <w:right w:val="single" w:sz="4" w:space="0" w:color="auto"/>
            </w:tcBorders>
            <w:vAlign w:val="center"/>
            <w:hideMark/>
          </w:tcPr>
          <w:p w14:paraId="3167CCC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Suitability of current laws and regulations to facilitate the implementation of FLWPR solutions.</w:t>
            </w:r>
          </w:p>
        </w:tc>
        <w:tc>
          <w:tcPr>
            <w:tcW w:w="1134" w:type="dxa"/>
            <w:tcBorders>
              <w:top w:val="single" w:sz="4" w:space="0" w:color="auto"/>
              <w:left w:val="nil"/>
              <w:bottom w:val="single" w:sz="4" w:space="0" w:color="auto"/>
              <w:right w:val="single" w:sz="4" w:space="0" w:color="auto"/>
            </w:tcBorders>
            <w:noWrap/>
            <w:vAlign w:val="bottom"/>
            <w:hideMark/>
          </w:tcPr>
          <w:p w14:paraId="7627647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60467E0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0B5DA6F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2DC069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DF577B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CFD9AE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4704B2FC" w14:textId="77777777" w:rsidTr="003D3E76">
        <w:trPr>
          <w:trHeight w:val="73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D85B28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6D1F5290"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65AF56DF"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12A48CE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Level of support from the legal context regarding liability associated with FLWPR development.</w:t>
            </w:r>
          </w:p>
        </w:tc>
        <w:tc>
          <w:tcPr>
            <w:tcW w:w="1134" w:type="dxa"/>
            <w:tcBorders>
              <w:top w:val="single" w:sz="4" w:space="0" w:color="auto"/>
              <w:left w:val="nil"/>
              <w:bottom w:val="single" w:sz="4" w:space="0" w:color="auto"/>
              <w:right w:val="single" w:sz="4" w:space="0" w:color="auto"/>
            </w:tcBorders>
            <w:noWrap/>
            <w:vAlign w:val="bottom"/>
            <w:hideMark/>
          </w:tcPr>
          <w:p w14:paraId="4DBDE58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091BA96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053E150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9B9941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F74364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853843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409665F6" w14:textId="77777777" w:rsidTr="003D3E76">
        <w:trPr>
          <w:trHeight w:val="84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A53487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080EB0D4"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36A27B13"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12585B6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Market structure and its effect on the implementation of FLWPR solutions (competition, entry barriers, etc.).</w:t>
            </w:r>
          </w:p>
        </w:tc>
        <w:tc>
          <w:tcPr>
            <w:tcW w:w="1134" w:type="dxa"/>
            <w:tcBorders>
              <w:top w:val="single" w:sz="4" w:space="0" w:color="auto"/>
              <w:left w:val="nil"/>
              <w:bottom w:val="single" w:sz="4" w:space="0" w:color="auto"/>
              <w:right w:val="single" w:sz="4" w:space="0" w:color="auto"/>
            </w:tcBorders>
            <w:noWrap/>
            <w:vAlign w:val="bottom"/>
            <w:hideMark/>
          </w:tcPr>
          <w:p w14:paraId="62B632B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02C3685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1D86F31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D280A7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425D9D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B239EF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06E94729"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4D26E5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14:paraId="77E04051"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Ethical aspects</w:t>
            </w: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71106A85"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Respect for persons</w:t>
            </w:r>
            <w:r w:rsidRPr="00096D4D">
              <w:rPr>
                <w:rFonts w:ascii="Times New Roman" w:eastAsia="Times New Roman" w:hAnsi="Times New Roman" w:cs="Times New Roman"/>
                <w:bCs/>
                <w:sz w:val="20"/>
                <w:szCs w:val="20"/>
                <w:lang w:val="en-US" w:eastAsia="ca-ES"/>
              </w:rPr>
              <w:br/>
              <w:t>Respect for environment</w:t>
            </w:r>
            <w:r w:rsidRPr="00096D4D">
              <w:rPr>
                <w:rFonts w:ascii="Times New Roman" w:eastAsia="Times New Roman" w:hAnsi="Times New Roman" w:cs="Times New Roman"/>
                <w:bCs/>
                <w:sz w:val="20"/>
                <w:szCs w:val="20"/>
                <w:lang w:val="en-US" w:eastAsia="ca-ES"/>
              </w:rPr>
              <w:br/>
              <w:t>Availability of justice (fair availability)</w:t>
            </w:r>
            <w:r w:rsidRPr="00096D4D">
              <w:rPr>
                <w:rFonts w:ascii="Times New Roman" w:eastAsia="Times New Roman" w:hAnsi="Times New Roman" w:cs="Times New Roman"/>
                <w:bCs/>
                <w:sz w:val="20"/>
                <w:szCs w:val="20"/>
                <w:lang w:val="en-US" w:eastAsia="ca-ES"/>
              </w:rPr>
              <w:br/>
              <w:t>Collective wellbeing</w:t>
            </w:r>
            <w:r w:rsidRPr="00096D4D">
              <w:rPr>
                <w:rFonts w:ascii="Times New Roman" w:eastAsia="Times New Roman" w:hAnsi="Times New Roman" w:cs="Times New Roman"/>
                <w:bCs/>
                <w:sz w:val="20"/>
                <w:szCs w:val="20"/>
                <w:lang w:val="en-US" w:eastAsia="ca-ES"/>
              </w:rPr>
              <w:br/>
              <w:t>Individual freedom (autonomy)</w:t>
            </w:r>
            <w:r w:rsidRPr="00096D4D">
              <w:rPr>
                <w:rFonts w:ascii="Times New Roman" w:eastAsia="Times New Roman" w:hAnsi="Times New Roman" w:cs="Times New Roman"/>
                <w:bCs/>
                <w:sz w:val="20"/>
                <w:szCs w:val="20"/>
                <w:lang w:val="en-US" w:eastAsia="ca-ES"/>
              </w:rPr>
              <w:br/>
              <w:t>Taboos/Social norms concerning FW</w:t>
            </w:r>
          </w:p>
        </w:tc>
        <w:tc>
          <w:tcPr>
            <w:tcW w:w="3685" w:type="dxa"/>
            <w:tcBorders>
              <w:top w:val="single" w:sz="4" w:space="0" w:color="auto"/>
              <w:left w:val="nil"/>
              <w:bottom w:val="single" w:sz="4" w:space="0" w:color="auto"/>
              <w:right w:val="single" w:sz="4" w:space="0" w:color="auto"/>
            </w:tcBorders>
            <w:vAlign w:val="center"/>
            <w:hideMark/>
          </w:tcPr>
          <w:p w14:paraId="1DD35D5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Degree to which the FLWPR respects, protects, or enhances the natural environment.</w:t>
            </w:r>
          </w:p>
        </w:tc>
        <w:tc>
          <w:tcPr>
            <w:tcW w:w="1134" w:type="dxa"/>
            <w:tcBorders>
              <w:top w:val="single" w:sz="4" w:space="0" w:color="auto"/>
              <w:left w:val="nil"/>
              <w:bottom w:val="single" w:sz="4" w:space="0" w:color="auto"/>
              <w:right w:val="single" w:sz="4" w:space="0" w:color="auto"/>
            </w:tcBorders>
            <w:noWrap/>
            <w:vAlign w:val="bottom"/>
            <w:hideMark/>
          </w:tcPr>
          <w:p w14:paraId="50B0912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20BE122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36CB8C2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9CDA00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080BB7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5A4309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6E337CFC"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E5BA0C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5C32A9B5"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1EA57B4B"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4D77AD5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Degree to which the FLWPR positively affects people’s health, safety, quality of life, and overall well-being.</w:t>
            </w:r>
          </w:p>
        </w:tc>
        <w:tc>
          <w:tcPr>
            <w:tcW w:w="1134" w:type="dxa"/>
            <w:tcBorders>
              <w:top w:val="single" w:sz="4" w:space="0" w:color="auto"/>
              <w:left w:val="nil"/>
              <w:bottom w:val="single" w:sz="4" w:space="0" w:color="auto"/>
              <w:right w:val="single" w:sz="4" w:space="0" w:color="auto"/>
            </w:tcBorders>
            <w:noWrap/>
            <w:vAlign w:val="bottom"/>
            <w:hideMark/>
          </w:tcPr>
          <w:p w14:paraId="0342765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27C2D23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7807E71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23A57E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34AB88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49689D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11E711B8" w14:textId="77777777" w:rsidTr="003D3E76">
        <w:trPr>
          <w:trHeight w:val="9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84EB50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0E8298BF"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432A7F66"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506645B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Degree to which the FLWPR contributes to the well-being of communities and society at large, including fairness, equity, and social inclusion.</w:t>
            </w:r>
          </w:p>
        </w:tc>
        <w:tc>
          <w:tcPr>
            <w:tcW w:w="1134" w:type="dxa"/>
            <w:tcBorders>
              <w:top w:val="single" w:sz="4" w:space="0" w:color="auto"/>
              <w:left w:val="nil"/>
              <w:bottom w:val="single" w:sz="4" w:space="0" w:color="auto"/>
              <w:right w:val="single" w:sz="4" w:space="0" w:color="auto"/>
            </w:tcBorders>
            <w:noWrap/>
            <w:vAlign w:val="bottom"/>
            <w:hideMark/>
          </w:tcPr>
          <w:p w14:paraId="7E8E741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3A09AAE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1FEDE0B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3D3B2C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B7EBA1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7B5BB8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4A6810E3" w14:textId="77777777" w:rsidTr="003D3E76">
        <w:trPr>
          <w:trHeight w:val="1686"/>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89F68D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tcBorders>
              <w:top w:val="single" w:sz="4" w:space="0" w:color="auto"/>
              <w:left w:val="nil"/>
              <w:bottom w:val="single" w:sz="4" w:space="0" w:color="auto"/>
              <w:right w:val="single" w:sz="4" w:space="0" w:color="auto"/>
            </w:tcBorders>
            <w:noWrap/>
            <w:vAlign w:val="center"/>
            <w:hideMark/>
          </w:tcPr>
          <w:p w14:paraId="46857491"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Demographic aspects</w:t>
            </w:r>
          </w:p>
        </w:tc>
        <w:tc>
          <w:tcPr>
            <w:tcW w:w="2048" w:type="dxa"/>
            <w:tcBorders>
              <w:top w:val="single" w:sz="4" w:space="0" w:color="auto"/>
              <w:left w:val="nil"/>
              <w:bottom w:val="single" w:sz="4" w:space="0" w:color="auto"/>
              <w:right w:val="single" w:sz="4" w:space="0" w:color="auto"/>
            </w:tcBorders>
            <w:vAlign w:val="center"/>
            <w:hideMark/>
          </w:tcPr>
          <w:p w14:paraId="08D5B991"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Age</w:t>
            </w:r>
            <w:r w:rsidRPr="00096D4D">
              <w:rPr>
                <w:rFonts w:ascii="Times New Roman" w:eastAsia="Times New Roman" w:hAnsi="Times New Roman" w:cs="Times New Roman"/>
                <w:bCs/>
                <w:sz w:val="20"/>
                <w:szCs w:val="20"/>
                <w:lang w:val="en-US" w:eastAsia="ca-ES"/>
              </w:rPr>
              <w:br/>
              <w:t>Gender</w:t>
            </w:r>
            <w:r w:rsidRPr="00096D4D">
              <w:rPr>
                <w:rFonts w:ascii="Times New Roman" w:eastAsia="Times New Roman" w:hAnsi="Times New Roman" w:cs="Times New Roman"/>
                <w:bCs/>
                <w:sz w:val="20"/>
                <w:szCs w:val="20"/>
                <w:lang w:val="en-US" w:eastAsia="ca-ES"/>
              </w:rPr>
              <w:br/>
              <w:t>Household composition</w:t>
            </w:r>
            <w:r w:rsidRPr="00096D4D">
              <w:rPr>
                <w:rFonts w:ascii="Times New Roman" w:eastAsia="Times New Roman" w:hAnsi="Times New Roman" w:cs="Times New Roman"/>
                <w:bCs/>
                <w:sz w:val="20"/>
                <w:szCs w:val="20"/>
                <w:lang w:val="en-US" w:eastAsia="ca-ES"/>
              </w:rPr>
              <w:br/>
              <w:t>Education level</w:t>
            </w:r>
            <w:r w:rsidRPr="00096D4D">
              <w:rPr>
                <w:rFonts w:ascii="Times New Roman" w:eastAsia="Times New Roman" w:hAnsi="Times New Roman" w:cs="Times New Roman"/>
                <w:bCs/>
                <w:sz w:val="20"/>
                <w:szCs w:val="20"/>
                <w:lang w:val="en-US" w:eastAsia="ca-ES"/>
              </w:rPr>
              <w:br/>
              <w:t>Occupation</w:t>
            </w:r>
            <w:r w:rsidRPr="00096D4D">
              <w:rPr>
                <w:rFonts w:ascii="Times New Roman" w:eastAsia="Times New Roman" w:hAnsi="Times New Roman" w:cs="Times New Roman"/>
                <w:bCs/>
                <w:sz w:val="20"/>
                <w:szCs w:val="20"/>
                <w:lang w:val="en-US" w:eastAsia="ca-ES"/>
              </w:rPr>
              <w:br/>
              <w:t>Geographical residence</w:t>
            </w:r>
          </w:p>
        </w:tc>
        <w:tc>
          <w:tcPr>
            <w:tcW w:w="3685" w:type="dxa"/>
            <w:tcBorders>
              <w:top w:val="single" w:sz="4" w:space="0" w:color="auto"/>
              <w:left w:val="nil"/>
              <w:bottom w:val="single" w:sz="4" w:space="0" w:color="auto"/>
              <w:right w:val="single" w:sz="4" w:space="0" w:color="auto"/>
            </w:tcBorders>
            <w:vAlign w:val="center"/>
            <w:hideMark/>
          </w:tcPr>
          <w:p w14:paraId="0A3CAFD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Degree to which the target group of the FLWPR action is characterized and segmented according to key demographic variables such as age range, education level, household composition (number of adults and children), and geographical location (rural vs. urban)</w:t>
            </w:r>
          </w:p>
        </w:tc>
        <w:tc>
          <w:tcPr>
            <w:tcW w:w="1134" w:type="dxa"/>
            <w:tcBorders>
              <w:top w:val="single" w:sz="4" w:space="0" w:color="auto"/>
              <w:left w:val="nil"/>
              <w:bottom w:val="single" w:sz="4" w:space="0" w:color="auto"/>
              <w:right w:val="single" w:sz="4" w:space="0" w:color="auto"/>
            </w:tcBorders>
            <w:noWrap/>
            <w:vAlign w:val="bottom"/>
            <w:hideMark/>
          </w:tcPr>
          <w:p w14:paraId="5531AAF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6D79590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6358D5A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2085FF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656AF2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68AEB0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26411339" w14:textId="77777777" w:rsidTr="003D3E76">
        <w:trPr>
          <w:trHeight w:val="600"/>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155CB31A" w14:textId="77777777" w:rsidR="003D3E76" w:rsidRPr="00096D4D" w:rsidRDefault="003D3E76" w:rsidP="003D3E76">
            <w:pPr>
              <w:spacing w:after="0" w:line="240" w:lineRule="auto"/>
              <w:jc w:val="center"/>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MICRO- DEPTH</w:t>
            </w:r>
            <w:r w:rsidRPr="00096D4D">
              <w:rPr>
                <w:rFonts w:ascii="Times New Roman" w:eastAsia="Times New Roman" w:hAnsi="Times New Roman" w:cs="Times New Roman"/>
                <w:color w:val="000000"/>
                <w:sz w:val="20"/>
                <w:szCs w:val="20"/>
                <w:lang w:val="en-US" w:eastAsia="ca-ES"/>
              </w:rPr>
              <w:t xml:space="preserve"> (Strategic Consistency)</w:t>
            </w: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14:paraId="204FAFBC"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 xml:space="preserve">1. Normative Dimension </w:t>
            </w:r>
          </w:p>
        </w:tc>
        <w:tc>
          <w:tcPr>
            <w:tcW w:w="2048" w:type="dxa"/>
            <w:tcBorders>
              <w:top w:val="single" w:sz="4" w:space="0" w:color="auto"/>
              <w:left w:val="nil"/>
              <w:bottom w:val="single" w:sz="4" w:space="0" w:color="auto"/>
              <w:right w:val="single" w:sz="4" w:space="0" w:color="auto"/>
            </w:tcBorders>
            <w:noWrap/>
            <w:vAlign w:val="center"/>
            <w:hideMark/>
          </w:tcPr>
          <w:p w14:paraId="2C15771F"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Mission and Vision</w:t>
            </w:r>
          </w:p>
        </w:tc>
        <w:tc>
          <w:tcPr>
            <w:tcW w:w="3685" w:type="dxa"/>
            <w:tcBorders>
              <w:top w:val="single" w:sz="4" w:space="0" w:color="auto"/>
              <w:left w:val="nil"/>
              <w:bottom w:val="single" w:sz="4" w:space="0" w:color="auto"/>
              <w:right w:val="single" w:sz="4" w:space="0" w:color="auto"/>
            </w:tcBorders>
            <w:vAlign w:val="center"/>
            <w:hideMark/>
          </w:tcPr>
          <w:p w14:paraId="4E87A01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Degree to which the organization has explicitly defined, formally documented, and publicly communicated its mission and vision.</w:t>
            </w:r>
          </w:p>
        </w:tc>
        <w:tc>
          <w:tcPr>
            <w:tcW w:w="1134" w:type="dxa"/>
            <w:tcBorders>
              <w:top w:val="single" w:sz="4" w:space="0" w:color="auto"/>
              <w:left w:val="nil"/>
              <w:bottom w:val="single" w:sz="4" w:space="0" w:color="auto"/>
              <w:right w:val="single" w:sz="4" w:space="0" w:color="auto"/>
            </w:tcBorders>
            <w:noWrap/>
            <w:vAlign w:val="bottom"/>
            <w:hideMark/>
          </w:tcPr>
          <w:p w14:paraId="4415D5F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14BF553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0B3577C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vAlign w:val="center"/>
            <w:hideMark/>
          </w:tcPr>
          <w:p w14:paraId="1D3FC6E3" w14:textId="77777777" w:rsidR="003D3E76" w:rsidRPr="00096D4D" w:rsidRDefault="003D3E76" w:rsidP="003D3E76">
            <w:pPr>
              <w:spacing w:after="0" w:line="240" w:lineRule="auto"/>
              <w:rPr>
                <w:rFonts w:ascii="Times New Roman" w:eastAsia="Times New Roman" w:hAnsi="Times New Roman" w:cs="Times New Roman"/>
                <w:color w:val="4472C4"/>
                <w:sz w:val="20"/>
                <w:szCs w:val="20"/>
                <w:lang w:val="en-US" w:eastAsia="ca-ES"/>
              </w:rPr>
            </w:pPr>
            <w:r w:rsidRPr="00096D4D">
              <w:rPr>
                <w:rFonts w:ascii="Times New Roman" w:eastAsia="Times New Roman" w:hAnsi="Times New Roman" w:cs="Times New Roman"/>
                <w:color w:val="4472C4"/>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2BDA68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0AADF3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6ABDC103" w14:textId="77777777" w:rsidTr="003D3E76">
        <w:trPr>
          <w:trHeight w:val="9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98B42E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5E937A67"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noWrap/>
            <w:vAlign w:val="center"/>
            <w:hideMark/>
          </w:tcPr>
          <w:p w14:paraId="5ACBA85E"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 xml:space="preserve">Values/commitments </w:t>
            </w:r>
          </w:p>
        </w:tc>
        <w:tc>
          <w:tcPr>
            <w:tcW w:w="3685" w:type="dxa"/>
            <w:tcBorders>
              <w:top w:val="single" w:sz="4" w:space="0" w:color="auto"/>
              <w:left w:val="nil"/>
              <w:bottom w:val="single" w:sz="4" w:space="0" w:color="auto"/>
              <w:right w:val="single" w:sz="4" w:space="0" w:color="auto"/>
            </w:tcBorders>
            <w:vAlign w:val="center"/>
            <w:hideMark/>
          </w:tcPr>
          <w:p w14:paraId="52070E0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Degree to which the organization’s core values and strategic commitments are explicitly defined, formally documented, and publicly communicated.</w:t>
            </w:r>
          </w:p>
        </w:tc>
        <w:tc>
          <w:tcPr>
            <w:tcW w:w="1134" w:type="dxa"/>
            <w:tcBorders>
              <w:top w:val="single" w:sz="4" w:space="0" w:color="auto"/>
              <w:left w:val="nil"/>
              <w:bottom w:val="single" w:sz="4" w:space="0" w:color="auto"/>
              <w:right w:val="single" w:sz="4" w:space="0" w:color="auto"/>
            </w:tcBorders>
            <w:noWrap/>
            <w:vAlign w:val="bottom"/>
            <w:hideMark/>
          </w:tcPr>
          <w:p w14:paraId="73B1908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7E03A75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6D38D73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8A5C5A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A9D768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5DA175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2C675C9D" w14:textId="77777777" w:rsidTr="003D3E76">
        <w:trPr>
          <w:trHeight w:val="157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CA2859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51EB5169"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noWrap/>
            <w:vAlign w:val="center"/>
            <w:hideMark/>
          </w:tcPr>
          <w:p w14:paraId="4B9F1065"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 xml:space="preserve">Motivation </w:t>
            </w:r>
          </w:p>
        </w:tc>
        <w:tc>
          <w:tcPr>
            <w:tcW w:w="3685" w:type="dxa"/>
            <w:tcBorders>
              <w:top w:val="single" w:sz="4" w:space="0" w:color="auto"/>
              <w:left w:val="nil"/>
              <w:bottom w:val="single" w:sz="4" w:space="0" w:color="auto"/>
              <w:right w:val="single" w:sz="4" w:space="0" w:color="auto"/>
            </w:tcBorders>
            <w:vAlign w:val="center"/>
            <w:hideMark/>
          </w:tcPr>
          <w:p w14:paraId="3044D81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Degree to which the organization has explicitly identified, formally documented, and systematically integrated its motivations—such as ethical convictions, market demand, operational efficiency, or regulatory requirements—into its value proposition for reducing and preventing food waste.</w:t>
            </w:r>
          </w:p>
        </w:tc>
        <w:tc>
          <w:tcPr>
            <w:tcW w:w="1134" w:type="dxa"/>
            <w:tcBorders>
              <w:top w:val="single" w:sz="4" w:space="0" w:color="auto"/>
              <w:left w:val="nil"/>
              <w:bottom w:val="single" w:sz="4" w:space="0" w:color="auto"/>
              <w:right w:val="single" w:sz="4" w:space="0" w:color="auto"/>
            </w:tcBorders>
            <w:noWrap/>
            <w:vAlign w:val="bottom"/>
            <w:hideMark/>
          </w:tcPr>
          <w:p w14:paraId="5C21FB2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1EAD3ED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774FB97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center"/>
            <w:hideMark/>
          </w:tcPr>
          <w:p w14:paraId="488B908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D356E9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5DFF92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1788589A"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458B31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29DBAB89"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noWrap/>
            <w:vAlign w:val="center"/>
            <w:hideMark/>
          </w:tcPr>
          <w:p w14:paraId="6B507E5C" w14:textId="77777777" w:rsidR="003D3E76" w:rsidRPr="00096D4D" w:rsidRDefault="003D3E76" w:rsidP="003D3E76">
            <w:pPr>
              <w:spacing w:after="0" w:line="240" w:lineRule="auto"/>
              <w:rPr>
                <w:rFonts w:ascii="Times New Roman" w:eastAsia="Times New Roman" w:hAnsi="Times New Roman" w:cs="Times New Roman"/>
                <w:i/>
                <w:iCs/>
                <w:sz w:val="20"/>
                <w:szCs w:val="20"/>
                <w:lang w:val="en-US" w:eastAsia="ca-ES"/>
              </w:rPr>
            </w:pPr>
            <w:r w:rsidRPr="00096D4D">
              <w:rPr>
                <w:rFonts w:ascii="Times New Roman" w:eastAsia="Times New Roman" w:hAnsi="Times New Roman" w:cs="Times New Roman"/>
                <w:i/>
                <w:iCs/>
                <w:sz w:val="20"/>
                <w:szCs w:val="20"/>
                <w:lang w:val="en-US" w:eastAsia="ca-ES"/>
              </w:rPr>
              <w:t>Alignment with Food Waste Prevention</w:t>
            </w:r>
          </w:p>
        </w:tc>
        <w:tc>
          <w:tcPr>
            <w:tcW w:w="3685" w:type="dxa"/>
            <w:tcBorders>
              <w:top w:val="single" w:sz="4" w:space="0" w:color="auto"/>
              <w:left w:val="nil"/>
              <w:bottom w:val="single" w:sz="4" w:space="0" w:color="auto"/>
              <w:right w:val="single" w:sz="4" w:space="0" w:color="auto"/>
            </w:tcBorders>
            <w:vAlign w:val="center"/>
            <w:hideMark/>
          </w:tcPr>
          <w:p w14:paraId="0A0C763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Do the mission/vision/values refer to the prevention and reduction of food waste?</w:t>
            </w:r>
          </w:p>
        </w:tc>
        <w:tc>
          <w:tcPr>
            <w:tcW w:w="1134" w:type="dxa"/>
            <w:tcBorders>
              <w:top w:val="single" w:sz="4" w:space="0" w:color="auto"/>
              <w:left w:val="nil"/>
              <w:bottom w:val="single" w:sz="4" w:space="0" w:color="auto"/>
              <w:right w:val="single" w:sz="4" w:space="0" w:color="auto"/>
            </w:tcBorders>
            <w:noWrap/>
            <w:vAlign w:val="bottom"/>
            <w:hideMark/>
          </w:tcPr>
          <w:p w14:paraId="1B204AA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40DC389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5B72D4F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center"/>
            <w:hideMark/>
          </w:tcPr>
          <w:p w14:paraId="5F61BE3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3CBD2D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D649A8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3BDAC942" w14:textId="77777777" w:rsidTr="003D3E76">
        <w:trPr>
          <w:trHeight w:val="9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4BBCAA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135A9083"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vAlign w:val="center"/>
            <w:hideMark/>
          </w:tcPr>
          <w:p w14:paraId="1466A046" w14:textId="5EC44768" w:rsidR="003D3E76" w:rsidRPr="00096D4D" w:rsidRDefault="003D3E76" w:rsidP="003D3E76">
            <w:pPr>
              <w:spacing w:after="0" w:line="240" w:lineRule="auto"/>
              <w:rPr>
                <w:rFonts w:ascii="Times New Roman" w:eastAsia="Times New Roman" w:hAnsi="Times New Roman" w:cs="Times New Roman"/>
                <w:i/>
                <w:iCs/>
                <w:sz w:val="20"/>
                <w:szCs w:val="20"/>
                <w:lang w:val="en-US" w:eastAsia="ca-ES"/>
              </w:rPr>
            </w:pPr>
            <w:r w:rsidRPr="00096D4D">
              <w:rPr>
                <w:rFonts w:ascii="Times New Roman" w:eastAsia="Times New Roman" w:hAnsi="Times New Roman" w:cs="Times New Roman"/>
                <w:i/>
                <w:iCs/>
                <w:sz w:val="20"/>
                <w:szCs w:val="20"/>
                <w:lang w:val="en-US" w:eastAsia="ca-ES"/>
              </w:rPr>
              <w:t>Sustainability Principles (balance between the economic, social, and environmental dimensions; intergenerational perspective; stakeholder approach; life cycle thinking)</w:t>
            </w:r>
          </w:p>
        </w:tc>
        <w:tc>
          <w:tcPr>
            <w:tcW w:w="3685" w:type="dxa"/>
            <w:tcBorders>
              <w:top w:val="single" w:sz="4" w:space="0" w:color="auto"/>
              <w:left w:val="nil"/>
              <w:bottom w:val="single" w:sz="4" w:space="0" w:color="auto"/>
              <w:right w:val="single" w:sz="4" w:space="0" w:color="auto"/>
            </w:tcBorders>
            <w:vAlign w:val="center"/>
            <w:hideMark/>
          </w:tcPr>
          <w:p w14:paraId="401F572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Are sustainability principles explicitly mentioned or aligned with the mission/vision/values?</w:t>
            </w:r>
          </w:p>
        </w:tc>
        <w:tc>
          <w:tcPr>
            <w:tcW w:w="1134" w:type="dxa"/>
            <w:tcBorders>
              <w:top w:val="single" w:sz="4" w:space="0" w:color="auto"/>
              <w:left w:val="nil"/>
              <w:bottom w:val="single" w:sz="4" w:space="0" w:color="auto"/>
              <w:right w:val="single" w:sz="4" w:space="0" w:color="auto"/>
            </w:tcBorders>
            <w:noWrap/>
            <w:vAlign w:val="bottom"/>
            <w:hideMark/>
          </w:tcPr>
          <w:p w14:paraId="0D5E3B3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7312AFF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2EF510F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center"/>
            <w:hideMark/>
          </w:tcPr>
          <w:p w14:paraId="0A9887C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89ECCE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F27259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3A0A2FFA"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367BEE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4E142452"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noWrap/>
            <w:vAlign w:val="center"/>
            <w:hideMark/>
          </w:tcPr>
          <w:p w14:paraId="75C24DA7" w14:textId="77777777" w:rsidR="003D3E76" w:rsidRPr="00096D4D" w:rsidRDefault="003D3E76" w:rsidP="003D3E76">
            <w:pPr>
              <w:spacing w:after="0" w:line="240" w:lineRule="auto"/>
              <w:rPr>
                <w:rFonts w:ascii="Times New Roman" w:eastAsia="Times New Roman" w:hAnsi="Times New Roman" w:cs="Times New Roman"/>
                <w:i/>
                <w:iCs/>
                <w:sz w:val="20"/>
                <w:szCs w:val="20"/>
                <w:lang w:val="en-US" w:eastAsia="ca-ES"/>
              </w:rPr>
            </w:pPr>
            <w:r w:rsidRPr="00096D4D">
              <w:rPr>
                <w:rFonts w:ascii="Times New Roman" w:eastAsia="Times New Roman" w:hAnsi="Times New Roman" w:cs="Times New Roman"/>
                <w:i/>
                <w:iCs/>
                <w:sz w:val="20"/>
                <w:szCs w:val="20"/>
                <w:lang w:val="en-US" w:eastAsia="ca-ES"/>
              </w:rPr>
              <w:t>Circularity Alignment</w:t>
            </w:r>
          </w:p>
        </w:tc>
        <w:tc>
          <w:tcPr>
            <w:tcW w:w="3685" w:type="dxa"/>
            <w:tcBorders>
              <w:top w:val="single" w:sz="4" w:space="0" w:color="auto"/>
              <w:left w:val="nil"/>
              <w:bottom w:val="single" w:sz="4" w:space="0" w:color="auto"/>
              <w:right w:val="single" w:sz="4" w:space="0" w:color="auto"/>
            </w:tcBorders>
            <w:vAlign w:val="center"/>
            <w:hideMark/>
          </w:tcPr>
          <w:p w14:paraId="3A2A072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Are principles related to circularity explicitly mentioned or aligned with the mission/vision/values?</w:t>
            </w:r>
          </w:p>
        </w:tc>
        <w:tc>
          <w:tcPr>
            <w:tcW w:w="1134" w:type="dxa"/>
            <w:tcBorders>
              <w:top w:val="single" w:sz="4" w:space="0" w:color="auto"/>
              <w:left w:val="nil"/>
              <w:bottom w:val="single" w:sz="4" w:space="0" w:color="auto"/>
              <w:right w:val="single" w:sz="4" w:space="0" w:color="auto"/>
            </w:tcBorders>
            <w:noWrap/>
            <w:vAlign w:val="bottom"/>
            <w:hideMark/>
          </w:tcPr>
          <w:p w14:paraId="7960B32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0DC5355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619CD6C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center"/>
            <w:hideMark/>
          </w:tcPr>
          <w:p w14:paraId="58E8474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203C82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622A46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1FE64228" w14:textId="77777777" w:rsidTr="003D3E76">
        <w:trPr>
          <w:trHeight w:val="58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3DF6FE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14:paraId="1DD3A6FD"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2. Strategic Dimension</w:t>
            </w:r>
          </w:p>
        </w:tc>
        <w:tc>
          <w:tcPr>
            <w:tcW w:w="2048" w:type="dxa"/>
            <w:tcBorders>
              <w:top w:val="single" w:sz="4" w:space="0" w:color="auto"/>
              <w:left w:val="nil"/>
              <w:bottom w:val="single" w:sz="4" w:space="0" w:color="auto"/>
              <w:right w:val="single" w:sz="4" w:space="0" w:color="auto"/>
            </w:tcBorders>
            <w:vAlign w:val="center"/>
            <w:hideMark/>
          </w:tcPr>
          <w:p w14:paraId="5BB9FDBE"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1. Redistribution of food for human consumption (JRC strategy class 1)</w:t>
            </w:r>
          </w:p>
        </w:tc>
        <w:tc>
          <w:tcPr>
            <w:tcW w:w="3685" w:type="dxa"/>
            <w:tcBorders>
              <w:top w:val="single" w:sz="4" w:space="0" w:color="auto"/>
              <w:left w:val="nil"/>
              <w:bottom w:val="single" w:sz="4" w:space="0" w:color="auto"/>
              <w:right w:val="single" w:sz="4" w:space="0" w:color="auto"/>
            </w:tcBorders>
            <w:vAlign w:val="center"/>
            <w:hideMark/>
          </w:tcPr>
          <w:p w14:paraId="094846F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implements actions to prevent the waste of edible food through redistribution.</w:t>
            </w:r>
          </w:p>
        </w:tc>
        <w:tc>
          <w:tcPr>
            <w:tcW w:w="1134" w:type="dxa"/>
            <w:tcBorders>
              <w:top w:val="single" w:sz="4" w:space="0" w:color="auto"/>
              <w:left w:val="nil"/>
              <w:bottom w:val="single" w:sz="4" w:space="0" w:color="auto"/>
              <w:right w:val="single" w:sz="4" w:space="0" w:color="auto"/>
            </w:tcBorders>
            <w:noWrap/>
            <w:vAlign w:val="bottom"/>
            <w:hideMark/>
          </w:tcPr>
          <w:p w14:paraId="34D6CBD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2F55EE3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0EA06CE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center"/>
            <w:hideMark/>
          </w:tcPr>
          <w:p w14:paraId="3B7F9BBC" w14:textId="77777777" w:rsidR="003D3E76" w:rsidRPr="00096D4D" w:rsidRDefault="003D3E76" w:rsidP="003D3E76">
            <w:pPr>
              <w:spacing w:after="0" w:line="240" w:lineRule="auto"/>
              <w:rPr>
                <w:rFonts w:ascii="Times New Roman" w:eastAsia="Times New Roman" w:hAnsi="Times New Roman" w:cs="Times New Roman"/>
                <w:color w:val="4472C4"/>
                <w:sz w:val="20"/>
                <w:szCs w:val="20"/>
                <w:lang w:val="en-US" w:eastAsia="ca-ES"/>
              </w:rPr>
            </w:pPr>
            <w:r w:rsidRPr="00096D4D">
              <w:rPr>
                <w:rFonts w:ascii="Times New Roman" w:eastAsia="Times New Roman" w:hAnsi="Times New Roman" w:cs="Times New Roman"/>
                <w:color w:val="4472C4"/>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9865AC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25487B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4D9E4A73"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F84BC7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023FFDF3"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vAlign w:val="center"/>
            <w:hideMark/>
          </w:tcPr>
          <w:p w14:paraId="6BFE1463"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2. Food valorization (JRC strategy class 2)</w:t>
            </w:r>
          </w:p>
        </w:tc>
        <w:tc>
          <w:tcPr>
            <w:tcW w:w="3685" w:type="dxa"/>
            <w:tcBorders>
              <w:top w:val="single" w:sz="4" w:space="0" w:color="auto"/>
              <w:left w:val="nil"/>
              <w:bottom w:val="single" w:sz="4" w:space="0" w:color="auto"/>
              <w:right w:val="single" w:sz="4" w:space="0" w:color="auto"/>
            </w:tcBorders>
            <w:vAlign w:val="center"/>
            <w:hideMark/>
          </w:tcPr>
          <w:p w14:paraId="0D61144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implements actions to transform food surpluses or by-products into new products.</w:t>
            </w:r>
          </w:p>
        </w:tc>
        <w:tc>
          <w:tcPr>
            <w:tcW w:w="1134" w:type="dxa"/>
            <w:tcBorders>
              <w:top w:val="single" w:sz="4" w:space="0" w:color="auto"/>
              <w:left w:val="nil"/>
              <w:bottom w:val="single" w:sz="4" w:space="0" w:color="auto"/>
              <w:right w:val="single" w:sz="4" w:space="0" w:color="auto"/>
            </w:tcBorders>
            <w:noWrap/>
            <w:vAlign w:val="bottom"/>
            <w:hideMark/>
          </w:tcPr>
          <w:p w14:paraId="6052B69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6033827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331FFCB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vAlign w:val="center"/>
            <w:hideMark/>
          </w:tcPr>
          <w:p w14:paraId="6D30011A" w14:textId="77777777" w:rsidR="003D3E76" w:rsidRPr="00096D4D" w:rsidRDefault="003D3E76" w:rsidP="003D3E76">
            <w:pPr>
              <w:spacing w:after="0" w:line="240" w:lineRule="auto"/>
              <w:rPr>
                <w:rFonts w:ascii="Times New Roman" w:eastAsia="Times New Roman" w:hAnsi="Times New Roman" w:cs="Times New Roman"/>
                <w:color w:val="4472C4"/>
                <w:sz w:val="20"/>
                <w:szCs w:val="20"/>
                <w:lang w:val="en-US" w:eastAsia="ca-ES"/>
              </w:rPr>
            </w:pPr>
            <w:r w:rsidRPr="00096D4D">
              <w:rPr>
                <w:rFonts w:ascii="Times New Roman" w:eastAsia="Times New Roman" w:hAnsi="Times New Roman" w:cs="Times New Roman"/>
                <w:color w:val="4472C4"/>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5A73AD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B89B98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175C2343"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C9B0DA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7367540C"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vAlign w:val="center"/>
            <w:hideMark/>
          </w:tcPr>
          <w:p w14:paraId="5E1039C8"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3. Consumer behavior change (JRC strategy class 3)</w:t>
            </w:r>
          </w:p>
        </w:tc>
        <w:tc>
          <w:tcPr>
            <w:tcW w:w="3685" w:type="dxa"/>
            <w:tcBorders>
              <w:top w:val="single" w:sz="4" w:space="0" w:color="auto"/>
              <w:left w:val="nil"/>
              <w:bottom w:val="single" w:sz="4" w:space="0" w:color="auto"/>
              <w:right w:val="single" w:sz="4" w:space="0" w:color="auto"/>
            </w:tcBorders>
            <w:vAlign w:val="center"/>
            <w:hideMark/>
          </w:tcPr>
          <w:p w14:paraId="2F859D6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implements initiatives aimed at changing consumer behavior.</w:t>
            </w:r>
          </w:p>
        </w:tc>
        <w:tc>
          <w:tcPr>
            <w:tcW w:w="1134" w:type="dxa"/>
            <w:tcBorders>
              <w:top w:val="single" w:sz="4" w:space="0" w:color="auto"/>
              <w:left w:val="nil"/>
              <w:bottom w:val="single" w:sz="4" w:space="0" w:color="auto"/>
              <w:right w:val="single" w:sz="4" w:space="0" w:color="auto"/>
            </w:tcBorders>
            <w:noWrap/>
            <w:vAlign w:val="bottom"/>
            <w:hideMark/>
          </w:tcPr>
          <w:p w14:paraId="33F33F0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15C67AA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7A5C944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vAlign w:val="center"/>
            <w:hideMark/>
          </w:tcPr>
          <w:p w14:paraId="4CB1AE21" w14:textId="77777777" w:rsidR="003D3E76" w:rsidRPr="00096D4D" w:rsidRDefault="003D3E76" w:rsidP="003D3E76">
            <w:pPr>
              <w:spacing w:after="0" w:line="240" w:lineRule="auto"/>
              <w:rPr>
                <w:rFonts w:ascii="Times New Roman" w:eastAsia="Times New Roman" w:hAnsi="Times New Roman" w:cs="Times New Roman"/>
                <w:color w:val="4472C4"/>
                <w:sz w:val="20"/>
                <w:szCs w:val="20"/>
                <w:lang w:val="en-US" w:eastAsia="ca-ES"/>
              </w:rPr>
            </w:pPr>
            <w:r w:rsidRPr="00096D4D">
              <w:rPr>
                <w:rFonts w:ascii="Times New Roman" w:eastAsia="Times New Roman" w:hAnsi="Times New Roman" w:cs="Times New Roman"/>
                <w:color w:val="4472C4"/>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771FA5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A9D809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75F9E2E6"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4C1907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50CFF7E0"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vAlign w:val="center"/>
            <w:hideMark/>
          </w:tcPr>
          <w:p w14:paraId="556533A0" w14:textId="2AF44689"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4. Improving supply chain efficiency (Strategy class JRC 4)</w:t>
            </w:r>
          </w:p>
        </w:tc>
        <w:tc>
          <w:tcPr>
            <w:tcW w:w="3685" w:type="dxa"/>
            <w:tcBorders>
              <w:top w:val="single" w:sz="4" w:space="0" w:color="auto"/>
              <w:left w:val="nil"/>
              <w:bottom w:val="single" w:sz="4" w:space="0" w:color="auto"/>
              <w:right w:val="single" w:sz="4" w:space="0" w:color="auto"/>
            </w:tcBorders>
            <w:vAlign w:val="center"/>
            <w:hideMark/>
          </w:tcPr>
          <w:p w14:paraId="267A668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implements actions to improve supply chain efficiency to reduce and prevent food waste.</w:t>
            </w:r>
          </w:p>
        </w:tc>
        <w:tc>
          <w:tcPr>
            <w:tcW w:w="1134" w:type="dxa"/>
            <w:tcBorders>
              <w:top w:val="single" w:sz="4" w:space="0" w:color="auto"/>
              <w:left w:val="nil"/>
              <w:bottom w:val="single" w:sz="4" w:space="0" w:color="auto"/>
              <w:right w:val="single" w:sz="4" w:space="0" w:color="auto"/>
            </w:tcBorders>
            <w:noWrap/>
            <w:vAlign w:val="bottom"/>
            <w:hideMark/>
          </w:tcPr>
          <w:p w14:paraId="40BB337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68B306F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371F39A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3F3822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FD5CF4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87D322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6A3F044F"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E827E9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3F3EB255"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vAlign w:val="center"/>
            <w:hideMark/>
          </w:tcPr>
          <w:p w14:paraId="634C340E"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5. Food waste prevention and governance (JRC Strategy Class 5)</w:t>
            </w:r>
          </w:p>
        </w:tc>
        <w:tc>
          <w:tcPr>
            <w:tcW w:w="3685" w:type="dxa"/>
            <w:tcBorders>
              <w:top w:val="single" w:sz="4" w:space="0" w:color="auto"/>
              <w:left w:val="nil"/>
              <w:bottom w:val="single" w:sz="4" w:space="0" w:color="auto"/>
              <w:right w:val="single" w:sz="4" w:space="0" w:color="auto"/>
            </w:tcBorders>
            <w:vAlign w:val="center"/>
            <w:hideMark/>
          </w:tcPr>
          <w:p w14:paraId="7D75DA5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implements actions to prevent food waste.</w:t>
            </w:r>
          </w:p>
        </w:tc>
        <w:tc>
          <w:tcPr>
            <w:tcW w:w="1134" w:type="dxa"/>
            <w:tcBorders>
              <w:top w:val="single" w:sz="4" w:space="0" w:color="auto"/>
              <w:left w:val="nil"/>
              <w:bottom w:val="single" w:sz="4" w:space="0" w:color="auto"/>
              <w:right w:val="single" w:sz="4" w:space="0" w:color="auto"/>
            </w:tcBorders>
            <w:noWrap/>
            <w:vAlign w:val="bottom"/>
            <w:hideMark/>
          </w:tcPr>
          <w:p w14:paraId="2D474DD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23814CE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3270FF8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408D42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1C0001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DD11C7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1FEF8C8F"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E95322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0CB2BC45"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vAlign w:val="center"/>
            <w:hideMark/>
          </w:tcPr>
          <w:p w14:paraId="3FED6754" w14:textId="77777777" w:rsidR="003D3E76" w:rsidRPr="00096D4D" w:rsidRDefault="003D3E76" w:rsidP="003D3E76">
            <w:pPr>
              <w:spacing w:after="0" w:line="240" w:lineRule="auto"/>
              <w:rPr>
                <w:rFonts w:ascii="Times New Roman" w:eastAsia="Times New Roman" w:hAnsi="Times New Roman" w:cs="Times New Roman"/>
                <w:i/>
                <w:iCs/>
                <w:sz w:val="20"/>
                <w:szCs w:val="20"/>
                <w:lang w:val="en-US" w:eastAsia="ca-ES"/>
              </w:rPr>
            </w:pPr>
            <w:r w:rsidRPr="00096D4D">
              <w:rPr>
                <w:rFonts w:ascii="Times New Roman" w:eastAsia="Times New Roman" w:hAnsi="Times New Roman" w:cs="Times New Roman"/>
                <w:i/>
                <w:iCs/>
                <w:sz w:val="20"/>
                <w:szCs w:val="20"/>
                <w:lang w:val="en-US" w:eastAsia="ca-ES"/>
              </w:rPr>
              <w:t>Priority in the Waste Hierarchy (EU Waste Hierarchy)</w:t>
            </w:r>
          </w:p>
        </w:tc>
        <w:tc>
          <w:tcPr>
            <w:tcW w:w="3685" w:type="dxa"/>
            <w:tcBorders>
              <w:top w:val="single" w:sz="4" w:space="0" w:color="auto"/>
              <w:left w:val="nil"/>
              <w:bottom w:val="single" w:sz="4" w:space="0" w:color="auto"/>
              <w:right w:val="single" w:sz="4" w:space="0" w:color="auto"/>
            </w:tcBorders>
            <w:vAlign w:val="center"/>
            <w:hideMark/>
          </w:tcPr>
          <w:p w14:paraId="11A1C73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prioritizes food waste prevention over reuse or recycling</w:t>
            </w:r>
          </w:p>
        </w:tc>
        <w:tc>
          <w:tcPr>
            <w:tcW w:w="1134" w:type="dxa"/>
            <w:tcBorders>
              <w:top w:val="single" w:sz="4" w:space="0" w:color="auto"/>
              <w:left w:val="nil"/>
              <w:bottom w:val="single" w:sz="4" w:space="0" w:color="auto"/>
              <w:right w:val="single" w:sz="4" w:space="0" w:color="auto"/>
            </w:tcBorders>
            <w:noWrap/>
            <w:vAlign w:val="bottom"/>
            <w:hideMark/>
          </w:tcPr>
          <w:p w14:paraId="0663C68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3CC3B1B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3A8655D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E97B2B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CB08E6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C547A9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276F977F" w14:textId="77777777" w:rsidTr="003D3E76">
        <w:trPr>
          <w:trHeight w:val="15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3F0090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6A979C39"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vAlign w:val="center"/>
            <w:hideMark/>
          </w:tcPr>
          <w:p w14:paraId="55511D82" w14:textId="77777777" w:rsidR="003D3E76" w:rsidRPr="00096D4D" w:rsidRDefault="003D3E76" w:rsidP="003D3E76">
            <w:pPr>
              <w:spacing w:after="0" w:line="240" w:lineRule="auto"/>
              <w:rPr>
                <w:rFonts w:ascii="Times New Roman" w:eastAsia="Times New Roman" w:hAnsi="Times New Roman" w:cs="Times New Roman"/>
                <w:i/>
                <w:iCs/>
                <w:sz w:val="20"/>
                <w:szCs w:val="20"/>
                <w:lang w:val="en-US" w:eastAsia="ca-ES"/>
              </w:rPr>
            </w:pPr>
            <w:r w:rsidRPr="00096D4D">
              <w:rPr>
                <w:rFonts w:ascii="Times New Roman" w:eastAsia="Times New Roman" w:hAnsi="Times New Roman" w:cs="Times New Roman"/>
                <w:i/>
                <w:iCs/>
                <w:sz w:val="20"/>
                <w:szCs w:val="20"/>
                <w:lang w:val="en-US" w:eastAsia="ca-ES"/>
              </w:rPr>
              <w:t>Scope of Application of Circular Economy (</w:t>
            </w:r>
            <w:proofErr w:type="spellStart"/>
            <w:r w:rsidRPr="00096D4D">
              <w:rPr>
                <w:rFonts w:ascii="Times New Roman" w:eastAsia="Times New Roman" w:hAnsi="Times New Roman" w:cs="Times New Roman"/>
                <w:i/>
                <w:iCs/>
                <w:sz w:val="20"/>
                <w:szCs w:val="20"/>
                <w:lang w:val="en-US" w:eastAsia="ca-ES"/>
              </w:rPr>
              <w:t>Kalmykova</w:t>
            </w:r>
            <w:proofErr w:type="spellEnd"/>
            <w:r w:rsidRPr="00096D4D">
              <w:rPr>
                <w:rFonts w:ascii="Times New Roman" w:eastAsia="Times New Roman" w:hAnsi="Times New Roman" w:cs="Times New Roman"/>
                <w:i/>
                <w:iCs/>
                <w:sz w:val="20"/>
                <w:szCs w:val="20"/>
                <w:lang w:val="en-US" w:eastAsia="ca-ES"/>
              </w:rPr>
              <w:t xml:space="preserve"> et al., 2018)</w:t>
            </w:r>
          </w:p>
        </w:tc>
        <w:tc>
          <w:tcPr>
            <w:tcW w:w="3685" w:type="dxa"/>
            <w:tcBorders>
              <w:top w:val="single" w:sz="4" w:space="0" w:color="auto"/>
              <w:left w:val="nil"/>
              <w:bottom w:val="single" w:sz="4" w:space="0" w:color="auto"/>
              <w:right w:val="single" w:sz="4" w:space="0" w:color="auto"/>
            </w:tcBorders>
            <w:vAlign w:val="center"/>
            <w:hideMark/>
          </w:tcPr>
          <w:p w14:paraId="23E5E62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applies circular economy principles at different stages of its model, including sourcing (use of local or agroecological ingredients), eco-design (reducing packaging and non-reusable materials), and organic waste management (composting, recycling, or energy recovery).</w:t>
            </w:r>
          </w:p>
        </w:tc>
        <w:tc>
          <w:tcPr>
            <w:tcW w:w="1134" w:type="dxa"/>
            <w:tcBorders>
              <w:top w:val="single" w:sz="4" w:space="0" w:color="auto"/>
              <w:left w:val="nil"/>
              <w:bottom w:val="single" w:sz="4" w:space="0" w:color="auto"/>
              <w:right w:val="single" w:sz="4" w:space="0" w:color="auto"/>
            </w:tcBorders>
            <w:noWrap/>
            <w:vAlign w:val="bottom"/>
            <w:hideMark/>
          </w:tcPr>
          <w:p w14:paraId="45BB75E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43A6216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575CAFD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9D24D6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3F140A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949989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3354CAB5" w14:textId="77777777" w:rsidTr="003D3E76">
        <w:trPr>
          <w:trHeight w:val="18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F13B74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326B1E52"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nil"/>
            </w:tcBorders>
            <w:vAlign w:val="center"/>
            <w:hideMark/>
          </w:tcPr>
          <w:p w14:paraId="52770F9F" w14:textId="77777777" w:rsidR="003D3E76" w:rsidRPr="00096D4D" w:rsidRDefault="003D3E76" w:rsidP="003D3E76">
            <w:pPr>
              <w:spacing w:after="0" w:line="240" w:lineRule="auto"/>
              <w:rPr>
                <w:rFonts w:ascii="Times New Roman" w:eastAsia="Times New Roman" w:hAnsi="Times New Roman" w:cs="Times New Roman"/>
                <w:i/>
                <w:iCs/>
                <w:sz w:val="20"/>
                <w:szCs w:val="20"/>
                <w:lang w:val="en-US" w:eastAsia="ca-ES"/>
              </w:rPr>
            </w:pPr>
            <w:r w:rsidRPr="00096D4D">
              <w:rPr>
                <w:rFonts w:ascii="Times New Roman" w:eastAsia="Times New Roman" w:hAnsi="Times New Roman" w:cs="Times New Roman"/>
                <w:i/>
                <w:iCs/>
                <w:sz w:val="20"/>
                <w:szCs w:val="20"/>
                <w:lang w:val="en-US" w:eastAsia="ca-ES"/>
              </w:rPr>
              <w:t>Circular Economy Strategies (Konietzko et al., 2020)</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C9F2CD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implements circular economy strategies focusing on Narrowing (reducing resource use, e.g., optimizing processes), Slowing (extending the shelf life of food or products, e.g., proper storage and order adjustments), and Closing (closing the material cycle, e.g., collaborating with composting or recycling companies for organic waste treatment)</w:t>
            </w:r>
          </w:p>
        </w:tc>
        <w:tc>
          <w:tcPr>
            <w:tcW w:w="1134" w:type="dxa"/>
            <w:tcBorders>
              <w:top w:val="single" w:sz="4" w:space="0" w:color="auto"/>
              <w:left w:val="nil"/>
              <w:bottom w:val="single" w:sz="4" w:space="0" w:color="auto"/>
              <w:right w:val="single" w:sz="4" w:space="0" w:color="auto"/>
            </w:tcBorders>
            <w:noWrap/>
            <w:vAlign w:val="bottom"/>
            <w:hideMark/>
          </w:tcPr>
          <w:p w14:paraId="4187108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759243F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07463FA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D0503A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469B53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6591A5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5D3F62DF" w14:textId="77777777" w:rsidTr="003D3E76">
        <w:trPr>
          <w:trHeight w:val="9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6F15DB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04A42446"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vAlign w:val="center"/>
            <w:hideMark/>
          </w:tcPr>
          <w:p w14:paraId="28104428" w14:textId="77777777" w:rsidR="003D3E76" w:rsidRPr="00096D4D" w:rsidRDefault="003D3E76" w:rsidP="003D3E76">
            <w:pPr>
              <w:spacing w:after="0" w:line="240" w:lineRule="auto"/>
              <w:rPr>
                <w:rFonts w:ascii="Times New Roman" w:eastAsia="Times New Roman" w:hAnsi="Times New Roman" w:cs="Times New Roman"/>
                <w:i/>
                <w:iCs/>
                <w:sz w:val="20"/>
                <w:szCs w:val="20"/>
                <w:lang w:val="en-US" w:eastAsia="ca-ES"/>
              </w:rPr>
            </w:pPr>
            <w:r w:rsidRPr="00096D4D">
              <w:rPr>
                <w:rFonts w:ascii="Times New Roman" w:eastAsia="Times New Roman" w:hAnsi="Times New Roman" w:cs="Times New Roman"/>
                <w:i/>
                <w:iCs/>
                <w:sz w:val="20"/>
                <w:szCs w:val="20"/>
                <w:lang w:val="en-US" w:eastAsia="ca-ES"/>
              </w:rPr>
              <w:t>Life Cycle Environmental Impact</w:t>
            </w:r>
          </w:p>
        </w:tc>
        <w:tc>
          <w:tcPr>
            <w:tcW w:w="3685" w:type="dxa"/>
            <w:tcBorders>
              <w:top w:val="single" w:sz="4" w:space="0" w:color="auto"/>
              <w:left w:val="nil"/>
              <w:bottom w:val="single" w:sz="4" w:space="0" w:color="auto"/>
              <w:right w:val="single" w:sz="4" w:space="0" w:color="auto"/>
            </w:tcBorders>
            <w:vAlign w:val="center"/>
            <w:hideMark/>
          </w:tcPr>
          <w:p w14:paraId="13138B4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organization’s main actions aim to minimize environmental impacts throughout the entire value chain, including both upstream (supply) and downstream (use and disposal) stages.</w:t>
            </w:r>
          </w:p>
        </w:tc>
        <w:tc>
          <w:tcPr>
            <w:tcW w:w="1134" w:type="dxa"/>
            <w:tcBorders>
              <w:top w:val="single" w:sz="4" w:space="0" w:color="auto"/>
              <w:left w:val="nil"/>
              <w:bottom w:val="single" w:sz="4" w:space="0" w:color="auto"/>
              <w:right w:val="single" w:sz="4" w:space="0" w:color="auto"/>
            </w:tcBorders>
            <w:noWrap/>
            <w:vAlign w:val="bottom"/>
            <w:hideMark/>
          </w:tcPr>
          <w:p w14:paraId="6FD1CC1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5E90B21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700D7E9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0BD427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7AB954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C8B0B5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75B406D6" w14:textId="77777777" w:rsidTr="003D3E76">
        <w:trPr>
          <w:trHeight w:val="58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3C0E36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14:paraId="79E17AFA"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 xml:space="preserve">3. Operative Dimension                              </w:t>
            </w:r>
            <w:r w:rsidRPr="00096D4D">
              <w:rPr>
                <w:rFonts w:ascii="Times New Roman" w:eastAsia="Times New Roman" w:hAnsi="Times New Roman" w:cs="Times New Roman"/>
                <w:i/>
                <w:iCs/>
                <w:color w:val="000000"/>
                <w:sz w:val="20"/>
                <w:szCs w:val="20"/>
                <w:lang w:val="en-US" w:eastAsia="ca-ES"/>
              </w:rPr>
              <w:t xml:space="preserve">1. Identify an action/strategy taken by the organization to prevent or reduce food waste  2. Regarding the action/strategy, evaluate the following aspects. </w:t>
            </w:r>
          </w:p>
        </w:tc>
        <w:tc>
          <w:tcPr>
            <w:tcW w:w="2048" w:type="dxa"/>
            <w:vMerge w:val="restart"/>
            <w:tcBorders>
              <w:top w:val="single" w:sz="4" w:space="0" w:color="auto"/>
              <w:left w:val="single" w:sz="4" w:space="0" w:color="auto"/>
              <w:bottom w:val="single" w:sz="4" w:space="0" w:color="auto"/>
              <w:right w:val="single" w:sz="4" w:space="0" w:color="auto"/>
            </w:tcBorders>
            <w:noWrap/>
            <w:vAlign w:val="center"/>
            <w:hideMark/>
          </w:tcPr>
          <w:p w14:paraId="5A37B35E"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Environmental Footprint</w:t>
            </w:r>
          </w:p>
        </w:tc>
        <w:tc>
          <w:tcPr>
            <w:tcW w:w="3685" w:type="dxa"/>
            <w:tcBorders>
              <w:top w:val="single" w:sz="4" w:space="0" w:color="auto"/>
              <w:left w:val="nil"/>
              <w:bottom w:val="single" w:sz="4" w:space="0" w:color="auto"/>
              <w:right w:val="single" w:sz="4" w:space="0" w:color="auto"/>
            </w:tcBorders>
            <w:vAlign w:val="center"/>
            <w:hideMark/>
          </w:tcPr>
          <w:p w14:paraId="25E9026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has sufficient information (material, human, etc.) to measure the environmental impact of its actions or strategies.</w:t>
            </w:r>
          </w:p>
        </w:tc>
        <w:tc>
          <w:tcPr>
            <w:tcW w:w="1134" w:type="dxa"/>
            <w:tcBorders>
              <w:top w:val="single" w:sz="4" w:space="0" w:color="auto"/>
              <w:left w:val="nil"/>
              <w:bottom w:val="single" w:sz="4" w:space="0" w:color="auto"/>
              <w:right w:val="single" w:sz="4" w:space="0" w:color="auto"/>
            </w:tcBorders>
            <w:noWrap/>
            <w:vAlign w:val="bottom"/>
            <w:hideMark/>
          </w:tcPr>
          <w:p w14:paraId="770D05E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49A921E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7886556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4887E3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35E8CE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D501EA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2C4CE03A" w14:textId="77777777" w:rsidTr="003D3E76">
        <w:trPr>
          <w:trHeight w:val="58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67745B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78BA4EA0"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1E674577"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7AE0AB1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measures or estimates the environmental impact of its actions or strategies.</w:t>
            </w:r>
          </w:p>
        </w:tc>
        <w:tc>
          <w:tcPr>
            <w:tcW w:w="1134" w:type="dxa"/>
            <w:tcBorders>
              <w:top w:val="single" w:sz="4" w:space="0" w:color="auto"/>
              <w:left w:val="nil"/>
              <w:bottom w:val="single" w:sz="4" w:space="0" w:color="auto"/>
              <w:right w:val="single" w:sz="4" w:space="0" w:color="auto"/>
            </w:tcBorders>
            <w:noWrap/>
            <w:vAlign w:val="bottom"/>
            <w:hideMark/>
          </w:tcPr>
          <w:p w14:paraId="1810686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4882D3C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5E0312E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6F99FD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176704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7BDED7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7D97791A" w14:textId="77777777" w:rsidTr="003D3E76">
        <w:trPr>
          <w:trHeight w:val="58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C42E8A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4DE48232"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52639A18"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521B741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tracks relevant Environmental Footprint indicators as defined by the European framework and prioritizes some over others based on strategic relevance.</w:t>
            </w:r>
          </w:p>
        </w:tc>
        <w:tc>
          <w:tcPr>
            <w:tcW w:w="1134" w:type="dxa"/>
            <w:tcBorders>
              <w:top w:val="single" w:sz="4" w:space="0" w:color="auto"/>
              <w:left w:val="nil"/>
              <w:bottom w:val="single" w:sz="4" w:space="0" w:color="auto"/>
              <w:right w:val="single" w:sz="4" w:space="0" w:color="auto"/>
            </w:tcBorders>
            <w:noWrap/>
            <w:vAlign w:val="bottom"/>
            <w:hideMark/>
          </w:tcPr>
          <w:p w14:paraId="024098D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0334B38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17D7C45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B952CD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4E5755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1D32DF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5BF3C041" w14:textId="77777777" w:rsidTr="003D3E76">
        <w:trPr>
          <w:trHeight w:val="58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70DDDD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2A057E91"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val="restart"/>
            <w:tcBorders>
              <w:top w:val="single" w:sz="4" w:space="0" w:color="auto"/>
              <w:left w:val="single" w:sz="4" w:space="0" w:color="auto"/>
              <w:bottom w:val="single" w:sz="4" w:space="0" w:color="auto"/>
              <w:right w:val="single" w:sz="4" w:space="0" w:color="auto"/>
            </w:tcBorders>
            <w:noWrap/>
            <w:vAlign w:val="center"/>
            <w:hideMark/>
          </w:tcPr>
          <w:p w14:paraId="2FD55040"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Social Footprint</w:t>
            </w:r>
          </w:p>
        </w:tc>
        <w:tc>
          <w:tcPr>
            <w:tcW w:w="3685" w:type="dxa"/>
            <w:tcBorders>
              <w:top w:val="single" w:sz="4" w:space="0" w:color="auto"/>
              <w:left w:val="nil"/>
              <w:bottom w:val="single" w:sz="4" w:space="0" w:color="auto"/>
              <w:right w:val="single" w:sz="4" w:space="0" w:color="auto"/>
            </w:tcBorders>
            <w:vAlign w:val="center"/>
            <w:hideMark/>
          </w:tcPr>
          <w:p w14:paraId="25747D5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has sufficient information (material, human, etc.) to measure the social impact of its actions or strategies.</w:t>
            </w:r>
          </w:p>
        </w:tc>
        <w:tc>
          <w:tcPr>
            <w:tcW w:w="1134" w:type="dxa"/>
            <w:tcBorders>
              <w:top w:val="single" w:sz="4" w:space="0" w:color="auto"/>
              <w:left w:val="nil"/>
              <w:bottom w:val="single" w:sz="4" w:space="0" w:color="auto"/>
              <w:right w:val="single" w:sz="4" w:space="0" w:color="auto"/>
            </w:tcBorders>
            <w:noWrap/>
            <w:vAlign w:val="bottom"/>
            <w:hideMark/>
          </w:tcPr>
          <w:p w14:paraId="00F9677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7B04346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6B5B0EE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F57EE9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B67F62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E5A5EC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203B928C" w14:textId="77777777" w:rsidTr="003D3E76">
        <w:trPr>
          <w:trHeight w:val="58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123590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341B2C19"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11778AA9"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320F252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measures or estimates the social impact of its actions or strategies.</w:t>
            </w:r>
          </w:p>
        </w:tc>
        <w:tc>
          <w:tcPr>
            <w:tcW w:w="1134" w:type="dxa"/>
            <w:tcBorders>
              <w:top w:val="single" w:sz="4" w:space="0" w:color="auto"/>
              <w:left w:val="nil"/>
              <w:bottom w:val="single" w:sz="4" w:space="0" w:color="auto"/>
              <w:right w:val="single" w:sz="4" w:space="0" w:color="auto"/>
            </w:tcBorders>
            <w:noWrap/>
            <w:vAlign w:val="bottom"/>
            <w:hideMark/>
          </w:tcPr>
          <w:p w14:paraId="0A100B2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2488986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274C95D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01C554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A017E2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650AE4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7D944E82" w14:textId="77777777" w:rsidTr="003D3E76">
        <w:trPr>
          <w:trHeight w:val="58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871BEC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2EB0C1CB"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4E0758FE"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0AEDF6B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tracks relevant social footprint indicators (e.g., S-LCA indicators) and prioritizes some over others based on strategic relevance.</w:t>
            </w:r>
          </w:p>
        </w:tc>
        <w:tc>
          <w:tcPr>
            <w:tcW w:w="1134" w:type="dxa"/>
            <w:tcBorders>
              <w:top w:val="single" w:sz="4" w:space="0" w:color="auto"/>
              <w:left w:val="nil"/>
              <w:bottom w:val="single" w:sz="4" w:space="0" w:color="auto"/>
              <w:right w:val="single" w:sz="4" w:space="0" w:color="auto"/>
            </w:tcBorders>
            <w:noWrap/>
            <w:vAlign w:val="bottom"/>
            <w:hideMark/>
          </w:tcPr>
          <w:p w14:paraId="661EC0A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44D13E9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2A5A75E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B6AEDD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033752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12117A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3203CA6E" w14:textId="77777777" w:rsidTr="003D3E76">
        <w:trPr>
          <w:trHeight w:val="58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D94C35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0F16D306"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val="restart"/>
            <w:tcBorders>
              <w:top w:val="single" w:sz="4" w:space="0" w:color="auto"/>
              <w:left w:val="single" w:sz="4" w:space="0" w:color="auto"/>
              <w:bottom w:val="single" w:sz="4" w:space="0" w:color="auto"/>
              <w:right w:val="single" w:sz="4" w:space="0" w:color="auto"/>
            </w:tcBorders>
            <w:noWrap/>
            <w:vAlign w:val="center"/>
            <w:hideMark/>
          </w:tcPr>
          <w:p w14:paraId="79AA4EAA"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Economic Footprint</w:t>
            </w:r>
          </w:p>
        </w:tc>
        <w:tc>
          <w:tcPr>
            <w:tcW w:w="3685" w:type="dxa"/>
            <w:tcBorders>
              <w:top w:val="single" w:sz="4" w:space="0" w:color="auto"/>
              <w:left w:val="nil"/>
              <w:bottom w:val="single" w:sz="4" w:space="0" w:color="auto"/>
              <w:right w:val="single" w:sz="4" w:space="0" w:color="auto"/>
            </w:tcBorders>
            <w:vAlign w:val="center"/>
            <w:hideMark/>
          </w:tcPr>
          <w:p w14:paraId="1598C68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has sufficient information (material, human, etc.) to measure the economic impact of its actions or strategies.</w:t>
            </w:r>
          </w:p>
        </w:tc>
        <w:tc>
          <w:tcPr>
            <w:tcW w:w="1134" w:type="dxa"/>
            <w:tcBorders>
              <w:top w:val="single" w:sz="4" w:space="0" w:color="auto"/>
              <w:left w:val="nil"/>
              <w:bottom w:val="single" w:sz="4" w:space="0" w:color="auto"/>
              <w:right w:val="single" w:sz="4" w:space="0" w:color="auto"/>
            </w:tcBorders>
            <w:noWrap/>
            <w:vAlign w:val="bottom"/>
            <w:hideMark/>
          </w:tcPr>
          <w:p w14:paraId="2104B26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4C3D34A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631A6BB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7A4603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80D0CE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7B4E6B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73C58E62" w14:textId="77777777" w:rsidTr="003D3E76">
        <w:trPr>
          <w:trHeight w:val="58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679B08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157631B1"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725D166F"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783296E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measures or estimates the economic impact of its actions or strategies.</w:t>
            </w:r>
          </w:p>
        </w:tc>
        <w:tc>
          <w:tcPr>
            <w:tcW w:w="1134" w:type="dxa"/>
            <w:tcBorders>
              <w:top w:val="single" w:sz="4" w:space="0" w:color="auto"/>
              <w:left w:val="nil"/>
              <w:bottom w:val="single" w:sz="4" w:space="0" w:color="auto"/>
              <w:right w:val="single" w:sz="4" w:space="0" w:color="auto"/>
            </w:tcBorders>
            <w:noWrap/>
            <w:vAlign w:val="bottom"/>
            <w:hideMark/>
          </w:tcPr>
          <w:p w14:paraId="47D53D5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5A9F2FC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27FA060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DC6B8C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BAB698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9FC6BE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16982C2F" w14:textId="77777777" w:rsidTr="003D3E76">
        <w:trPr>
          <w:trHeight w:val="58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CF4284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3DBA348A"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2B7E58A4"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291B627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The organization tracks relevant economic footprint indicators and prioritizes some over others based on strategic relevance</w:t>
            </w:r>
          </w:p>
        </w:tc>
        <w:tc>
          <w:tcPr>
            <w:tcW w:w="1134" w:type="dxa"/>
            <w:tcBorders>
              <w:top w:val="single" w:sz="4" w:space="0" w:color="auto"/>
              <w:left w:val="nil"/>
              <w:bottom w:val="single" w:sz="4" w:space="0" w:color="auto"/>
              <w:right w:val="single" w:sz="4" w:space="0" w:color="auto"/>
            </w:tcBorders>
            <w:noWrap/>
            <w:vAlign w:val="bottom"/>
            <w:hideMark/>
          </w:tcPr>
          <w:p w14:paraId="1A9E709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4B520B2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258296C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DDF58A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C593BB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65499A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6B4E00CB" w14:textId="77777777" w:rsidTr="003D3E76">
        <w:trPr>
          <w:trHeight w:val="3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6E3D29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4D133B61"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noWrap/>
            <w:vAlign w:val="center"/>
            <w:hideMark/>
          </w:tcPr>
          <w:p w14:paraId="75D9E57B" w14:textId="769590A2" w:rsidR="003D3E76" w:rsidRPr="00096D4D" w:rsidRDefault="003D3E76" w:rsidP="003D3E76">
            <w:pPr>
              <w:spacing w:after="0" w:line="240" w:lineRule="auto"/>
              <w:rPr>
                <w:rFonts w:ascii="Times New Roman" w:eastAsia="Times New Roman" w:hAnsi="Times New Roman" w:cs="Times New Roman"/>
                <w:i/>
                <w:iCs/>
                <w:sz w:val="20"/>
                <w:szCs w:val="20"/>
                <w:lang w:val="en-US" w:eastAsia="ca-ES"/>
              </w:rPr>
            </w:pPr>
            <w:r w:rsidRPr="00096D4D">
              <w:rPr>
                <w:rFonts w:ascii="Times New Roman" w:eastAsia="Times New Roman" w:hAnsi="Times New Roman" w:cs="Times New Roman"/>
                <w:i/>
                <w:iCs/>
                <w:sz w:val="20"/>
                <w:szCs w:val="20"/>
                <w:lang w:val="en-US" w:eastAsia="ca-ES"/>
              </w:rPr>
              <w:t xml:space="preserve">HE XX Project assessment of the action </w:t>
            </w:r>
          </w:p>
        </w:tc>
        <w:tc>
          <w:tcPr>
            <w:tcW w:w="3685" w:type="dxa"/>
            <w:tcBorders>
              <w:top w:val="single" w:sz="4" w:space="0" w:color="auto"/>
              <w:left w:val="nil"/>
              <w:bottom w:val="single" w:sz="4" w:space="0" w:color="auto"/>
              <w:right w:val="single" w:sz="4" w:space="0" w:color="auto"/>
            </w:tcBorders>
            <w:vAlign w:val="center"/>
            <w:hideMark/>
          </w:tcPr>
          <w:p w14:paraId="4345997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01C645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3C41FA6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4A2F2B7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EA4227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9CC0B9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3E4CB0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4C680088" w14:textId="77777777" w:rsidTr="003D3E76">
        <w:trPr>
          <w:trHeight w:val="300"/>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2A81547F" w14:textId="77777777" w:rsidR="003D3E76" w:rsidRPr="00096D4D" w:rsidRDefault="003D3E76" w:rsidP="003D3E76">
            <w:pPr>
              <w:spacing w:after="0" w:line="240" w:lineRule="auto"/>
              <w:jc w:val="center"/>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 xml:space="preserve">MESO-SPHERICITY </w:t>
            </w:r>
            <w:r w:rsidRPr="00096D4D">
              <w:rPr>
                <w:rFonts w:ascii="Times New Roman" w:eastAsia="Times New Roman" w:hAnsi="Times New Roman" w:cs="Times New Roman"/>
                <w:color w:val="000000"/>
                <w:sz w:val="20"/>
                <w:szCs w:val="20"/>
                <w:lang w:val="en-US" w:eastAsia="ca-ES"/>
              </w:rPr>
              <w:t>(Ecosystem Governance)</w:t>
            </w: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14:paraId="3E936394"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 xml:space="preserve">1. Stakeholder engagement for a Circular Economy </w:t>
            </w: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375FFDA2"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1. Identification and categorization of stakeholders</w:t>
            </w:r>
          </w:p>
        </w:tc>
        <w:tc>
          <w:tcPr>
            <w:tcW w:w="3685" w:type="dxa"/>
            <w:tcBorders>
              <w:top w:val="single" w:sz="4" w:space="0" w:color="auto"/>
              <w:left w:val="nil"/>
              <w:bottom w:val="single" w:sz="4" w:space="0" w:color="auto"/>
              <w:right w:val="single" w:sz="4" w:space="0" w:color="auto"/>
            </w:tcBorders>
            <w:vAlign w:val="center"/>
            <w:hideMark/>
          </w:tcPr>
          <w:p w14:paraId="7891F3A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Existence and regular update of a stakeholder map</w:t>
            </w:r>
          </w:p>
        </w:tc>
        <w:tc>
          <w:tcPr>
            <w:tcW w:w="1134" w:type="dxa"/>
            <w:tcBorders>
              <w:top w:val="single" w:sz="4" w:space="0" w:color="auto"/>
              <w:left w:val="nil"/>
              <w:bottom w:val="single" w:sz="4" w:space="0" w:color="auto"/>
              <w:right w:val="single" w:sz="4" w:space="0" w:color="auto"/>
            </w:tcBorders>
            <w:noWrap/>
            <w:vAlign w:val="bottom"/>
            <w:hideMark/>
          </w:tcPr>
          <w:p w14:paraId="123D82F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5CD739F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47D8987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B5D18B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D8A136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5161D1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1D45F811"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CE94C2E"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2D1C5455"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32DC0FA1"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3F5069A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Ability to classify stakeholders based on power, legitimacy, and urgency</w:t>
            </w:r>
          </w:p>
        </w:tc>
        <w:tc>
          <w:tcPr>
            <w:tcW w:w="1134" w:type="dxa"/>
            <w:tcBorders>
              <w:top w:val="single" w:sz="4" w:space="0" w:color="auto"/>
              <w:left w:val="nil"/>
              <w:bottom w:val="single" w:sz="4" w:space="0" w:color="auto"/>
              <w:right w:val="single" w:sz="4" w:space="0" w:color="auto"/>
            </w:tcBorders>
            <w:noWrap/>
            <w:vAlign w:val="bottom"/>
            <w:hideMark/>
          </w:tcPr>
          <w:p w14:paraId="0AF2278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06E3233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52C9A44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CB1233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2A00D5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12D2DE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6B0D6397" w14:textId="77777777" w:rsidTr="003D3E76">
        <w:trPr>
          <w:trHeight w:val="3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04A6A29"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61D77365"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2172D4FE"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4D61CBF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Depth of stakeholder influence and needs analysis</w:t>
            </w:r>
          </w:p>
        </w:tc>
        <w:tc>
          <w:tcPr>
            <w:tcW w:w="1134" w:type="dxa"/>
            <w:tcBorders>
              <w:top w:val="single" w:sz="4" w:space="0" w:color="auto"/>
              <w:left w:val="nil"/>
              <w:bottom w:val="single" w:sz="4" w:space="0" w:color="auto"/>
              <w:right w:val="single" w:sz="4" w:space="0" w:color="auto"/>
            </w:tcBorders>
            <w:noWrap/>
            <w:vAlign w:val="bottom"/>
            <w:hideMark/>
          </w:tcPr>
          <w:p w14:paraId="3BD9DB2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2FBA4C8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1915ADB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FB5BF1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A71848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FF592C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51F437E2" w14:textId="77777777" w:rsidTr="003D3E76">
        <w:trPr>
          <w:trHeight w:val="66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BB27CA1"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09643888"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64D97F9D"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2. Mechanisms for participation and co-creation (multidimensional engagement)</w:t>
            </w:r>
          </w:p>
        </w:tc>
        <w:tc>
          <w:tcPr>
            <w:tcW w:w="3685" w:type="dxa"/>
            <w:tcBorders>
              <w:top w:val="single" w:sz="4" w:space="0" w:color="auto"/>
              <w:left w:val="nil"/>
              <w:bottom w:val="single" w:sz="4" w:space="0" w:color="auto"/>
              <w:right w:val="single" w:sz="4" w:space="0" w:color="auto"/>
            </w:tcBorders>
            <w:vAlign w:val="center"/>
            <w:hideMark/>
          </w:tcPr>
          <w:p w14:paraId="07018B7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Existence of committees, forums, or working groups aimed at promoting greater sustainability and preventing or reducing waste</w:t>
            </w:r>
          </w:p>
        </w:tc>
        <w:tc>
          <w:tcPr>
            <w:tcW w:w="1134" w:type="dxa"/>
            <w:tcBorders>
              <w:top w:val="single" w:sz="4" w:space="0" w:color="auto"/>
              <w:left w:val="nil"/>
              <w:bottom w:val="single" w:sz="4" w:space="0" w:color="auto"/>
              <w:right w:val="single" w:sz="4" w:space="0" w:color="auto"/>
            </w:tcBorders>
            <w:noWrap/>
            <w:vAlign w:val="bottom"/>
            <w:hideMark/>
          </w:tcPr>
          <w:p w14:paraId="614F4CF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3A493EB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26F7737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E1510D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933F0E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8AEB8C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5E321A64" w14:textId="77777777" w:rsidTr="003D3E76">
        <w:trPr>
          <w:trHeight w:val="54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110C7C6"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1BCCB546"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1752F6B4"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64CF1AA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Collaborative projects with other actors to reduce food waste and achieve system sustainability</w:t>
            </w:r>
          </w:p>
        </w:tc>
        <w:tc>
          <w:tcPr>
            <w:tcW w:w="1134" w:type="dxa"/>
            <w:tcBorders>
              <w:top w:val="single" w:sz="4" w:space="0" w:color="auto"/>
              <w:left w:val="nil"/>
              <w:bottom w:val="single" w:sz="4" w:space="0" w:color="auto"/>
              <w:right w:val="single" w:sz="4" w:space="0" w:color="auto"/>
            </w:tcBorders>
            <w:noWrap/>
            <w:vAlign w:val="bottom"/>
            <w:hideMark/>
          </w:tcPr>
          <w:p w14:paraId="783F3D0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2D15421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2395FCB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C0D02C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A3131C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C4FD88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6B18793A" w14:textId="77777777" w:rsidTr="003D3E76">
        <w:trPr>
          <w:trHeight w:val="70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32B5162"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6FDDFB62"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3201D630"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0B82C56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Co-creation or joint design processes where stakeholders participate more deeply, contributing emotions, values, or a common vision</w:t>
            </w:r>
          </w:p>
        </w:tc>
        <w:tc>
          <w:tcPr>
            <w:tcW w:w="1134" w:type="dxa"/>
            <w:tcBorders>
              <w:top w:val="single" w:sz="4" w:space="0" w:color="auto"/>
              <w:left w:val="nil"/>
              <w:bottom w:val="single" w:sz="4" w:space="0" w:color="auto"/>
              <w:right w:val="single" w:sz="4" w:space="0" w:color="auto"/>
            </w:tcBorders>
            <w:noWrap/>
            <w:vAlign w:val="bottom"/>
            <w:hideMark/>
          </w:tcPr>
          <w:p w14:paraId="32DB013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16C97E4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4AFF577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0CA737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1BCD89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4CE582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7634C747"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4EF9497"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16243BB3"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07130983"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3. Transparency, communication, and trust</w:t>
            </w:r>
          </w:p>
        </w:tc>
        <w:tc>
          <w:tcPr>
            <w:tcW w:w="3685" w:type="dxa"/>
            <w:tcBorders>
              <w:top w:val="single" w:sz="4" w:space="0" w:color="auto"/>
              <w:left w:val="nil"/>
              <w:bottom w:val="single" w:sz="4" w:space="0" w:color="auto"/>
              <w:right w:val="single" w:sz="4" w:space="0" w:color="auto"/>
            </w:tcBorders>
            <w:vAlign w:val="center"/>
            <w:hideMark/>
          </w:tcPr>
          <w:p w14:paraId="0060A50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Internal communication of sustainability (How sustainability goals/results are communicated internally and to stakeholders)</w:t>
            </w:r>
          </w:p>
        </w:tc>
        <w:tc>
          <w:tcPr>
            <w:tcW w:w="1134" w:type="dxa"/>
            <w:tcBorders>
              <w:top w:val="single" w:sz="4" w:space="0" w:color="auto"/>
              <w:left w:val="nil"/>
              <w:bottom w:val="single" w:sz="4" w:space="0" w:color="auto"/>
              <w:right w:val="single" w:sz="4" w:space="0" w:color="auto"/>
            </w:tcBorders>
            <w:noWrap/>
            <w:vAlign w:val="bottom"/>
            <w:hideMark/>
          </w:tcPr>
          <w:p w14:paraId="16A6FCF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1F43754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79F651E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9B0F0A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40DC3B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F1AE7A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0F64801C"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1CDED32"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3411817D"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1EA16896"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3136039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Stakeholder reporting (How stakeholders communicate sustainability results)</w:t>
            </w:r>
          </w:p>
        </w:tc>
        <w:tc>
          <w:tcPr>
            <w:tcW w:w="1134" w:type="dxa"/>
            <w:tcBorders>
              <w:top w:val="single" w:sz="4" w:space="0" w:color="auto"/>
              <w:left w:val="nil"/>
              <w:bottom w:val="single" w:sz="4" w:space="0" w:color="auto"/>
              <w:right w:val="single" w:sz="4" w:space="0" w:color="auto"/>
            </w:tcBorders>
            <w:noWrap/>
            <w:vAlign w:val="bottom"/>
            <w:hideMark/>
          </w:tcPr>
          <w:p w14:paraId="0035253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11E20CB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280DCE5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4B211B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E5D8BC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5C8B21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49CA0296"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D9379A8"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3DAEE072"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78E55B04"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4. Participatory governance</w:t>
            </w:r>
          </w:p>
        </w:tc>
        <w:tc>
          <w:tcPr>
            <w:tcW w:w="3685" w:type="dxa"/>
            <w:tcBorders>
              <w:top w:val="single" w:sz="4" w:space="0" w:color="auto"/>
              <w:left w:val="nil"/>
              <w:bottom w:val="single" w:sz="4" w:space="0" w:color="auto"/>
              <w:right w:val="single" w:sz="4" w:space="0" w:color="auto"/>
            </w:tcBorders>
            <w:vAlign w:val="center"/>
            <w:hideMark/>
          </w:tcPr>
          <w:p w14:paraId="11E18DF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Stakeholder participation in sustainability/food waste strategic decisions</w:t>
            </w:r>
          </w:p>
        </w:tc>
        <w:tc>
          <w:tcPr>
            <w:tcW w:w="1134" w:type="dxa"/>
            <w:tcBorders>
              <w:top w:val="single" w:sz="4" w:space="0" w:color="auto"/>
              <w:left w:val="nil"/>
              <w:bottom w:val="single" w:sz="4" w:space="0" w:color="auto"/>
              <w:right w:val="single" w:sz="4" w:space="0" w:color="auto"/>
            </w:tcBorders>
            <w:noWrap/>
            <w:vAlign w:val="bottom"/>
            <w:hideMark/>
          </w:tcPr>
          <w:p w14:paraId="1510B4D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3CF59F9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35F7A89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90B68B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5BC453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2B80CA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7DC74DE3" w14:textId="77777777" w:rsidTr="003D3E76">
        <w:trPr>
          <w:trHeight w:val="3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5D21CDE"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48AA4B76"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481DCD67"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3A5DB29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Organization participation in stakeholders’ decision-making</w:t>
            </w:r>
          </w:p>
        </w:tc>
        <w:tc>
          <w:tcPr>
            <w:tcW w:w="1134" w:type="dxa"/>
            <w:tcBorders>
              <w:top w:val="single" w:sz="4" w:space="0" w:color="auto"/>
              <w:left w:val="nil"/>
              <w:bottom w:val="single" w:sz="4" w:space="0" w:color="auto"/>
              <w:right w:val="single" w:sz="4" w:space="0" w:color="auto"/>
            </w:tcBorders>
            <w:noWrap/>
            <w:vAlign w:val="bottom"/>
            <w:hideMark/>
          </w:tcPr>
          <w:p w14:paraId="37996AA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139E598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3CDE1C8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FF8A07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030A4A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529C06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3D08E959" w14:textId="77777777" w:rsidTr="003D3E76">
        <w:trPr>
          <w:trHeight w:val="3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204042F"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4F216FB1"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50C6B35D"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71DBDD5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Alignment with stakeholder values (Decisions reflect stakeholder interests/values)</w:t>
            </w:r>
          </w:p>
        </w:tc>
        <w:tc>
          <w:tcPr>
            <w:tcW w:w="1134" w:type="dxa"/>
            <w:tcBorders>
              <w:top w:val="single" w:sz="4" w:space="0" w:color="auto"/>
              <w:left w:val="nil"/>
              <w:bottom w:val="single" w:sz="4" w:space="0" w:color="auto"/>
              <w:right w:val="single" w:sz="4" w:space="0" w:color="auto"/>
            </w:tcBorders>
            <w:noWrap/>
            <w:vAlign w:val="bottom"/>
            <w:hideMark/>
          </w:tcPr>
          <w:p w14:paraId="1AC805D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0693CBE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6F02913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089060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3BA074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2B6E20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598D33E7" w14:textId="77777777" w:rsidTr="003D3E76">
        <w:trPr>
          <w:trHeight w:val="3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9ECE2E3"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2FC8E9FE"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49C592B5"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3B9A170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Formal mechanisms for follow-up and accountability</w:t>
            </w:r>
          </w:p>
        </w:tc>
        <w:tc>
          <w:tcPr>
            <w:tcW w:w="1134" w:type="dxa"/>
            <w:tcBorders>
              <w:top w:val="single" w:sz="4" w:space="0" w:color="auto"/>
              <w:left w:val="nil"/>
              <w:bottom w:val="single" w:sz="4" w:space="0" w:color="auto"/>
              <w:right w:val="single" w:sz="4" w:space="0" w:color="auto"/>
            </w:tcBorders>
            <w:noWrap/>
            <w:vAlign w:val="bottom"/>
            <w:hideMark/>
          </w:tcPr>
          <w:p w14:paraId="21712E6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0E0DB8E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3F7B321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43D4A5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E5A997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4BF4A2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65FA58D8" w14:textId="77777777" w:rsidTr="003D3E76">
        <w:trPr>
          <w:trHeight w:val="9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90D0E6B"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14:paraId="24EEEF1F"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 xml:space="preserve">2. Public-Private Partnerships for a CE </w:t>
            </w: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7D584057"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1. Fundamentals of Sustainable Ecosystem Governance</w:t>
            </w:r>
          </w:p>
        </w:tc>
        <w:tc>
          <w:tcPr>
            <w:tcW w:w="3685" w:type="dxa"/>
            <w:tcBorders>
              <w:top w:val="single" w:sz="4" w:space="0" w:color="auto"/>
              <w:left w:val="nil"/>
              <w:bottom w:val="single" w:sz="4" w:space="0" w:color="auto"/>
              <w:right w:val="single" w:sz="4" w:space="0" w:color="auto"/>
            </w:tcBorders>
            <w:vAlign w:val="center"/>
            <w:hideMark/>
          </w:tcPr>
          <w:p w14:paraId="3DA93FC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Collaboration requirements (Extent to which collaborations with public administrations promote environmental, social, or food waste objectives)</w:t>
            </w:r>
          </w:p>
        </w:tc>
        <w:tc>
          <w:tcPr>
            <w:tcW w:w="1134" w:type="dxa"/>
            <w:tcBorders>
              <w:top w:val="single" w:sz="4" w:space="0" w:color="auto"/>
              <w:left w:val="nil"/>
              <w:bottom w:val="single" w:sz="4" w:space="0" w:color="auto"/>
              <w:right w:val="single" w:sz="4" w:space="0" w:color="auto"/>
            </w:tcBorders>
            <w:noWrap/>
            <w:vAlign w:val="bottom"/>
            <w:hideMark/>
          </w:tcPr>
          <w:p w14:paraId="21002D4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1ED5C5E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0A16D35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8B76E7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0151F8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5681BA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4051020F"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02F3B9F"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3F0F24D8"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43054364"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3BF733C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Policy influence (Organization’s contribution to influencing sustainability regulations or circular economy policies)</w:t>
            </w:r>
          </w:p>
        </w:tc>
        <w:tc>
          <w:tcPr>
            <w:tcW w:w="1134" w:type="dxa"/>
            <w:tcBorders>
              <w:top w:val="single" w:sz="4" w:space="0" w:color="auto"/>
              <w:left w:val="nil"/>
              <w:bottom w:val="single" w:sz="4" w:space="0" w:color="auto"/>
              <w:right w:val="single" w:sz="4" w:space="0" w:color="auto"/>
            </w:tcBorders>
            <w:noWrap/>
            <w:vAlign w:val="bottom"/>
            <w:hideMark/>
          </w:tcPr>
          <w:p w14:paraId="158990E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5989290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7DF7474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276844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7BD59A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6254EE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6294F8A6" w14:textId="77777777" w:rsidTr="003D3E76">
        <w:trPr>
          <w:trHeight w:val="3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EC8C2E0"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76E90BE0"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65797DFE"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2. Identification and Participation of Key Stakeholders in the Ecosystem</w:t>
            </w:r>
          </w:p>
        </w:tc>
        <w:tc>
          <w:tcPr>
            <w:tcW w:w="3685" w:type="dxa"/>
            <w:tcBorders>
              <w:top w:val="single" w:sz="4" w:space="0" w:color="auto"/>
              <w:left w:val="nil"/>
              <w:bottom w:val="single" w:sz="4" w:space="0" w:color="auto"/>
              <w:right w:val="single" w:sz="4" w:space="0" w:color="auto"/>
            </w:tcBorders>
            <w:vAlign w:val="center"/>
            <w:hideMark/>
          </w:tcPr>
          <w:p w14:paraId="00E36F9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Identification of relevant public actors in the ecosystem</w:t>
            </w:r>
          </w:p>
        </w:tc>
        <w:tc>
          <w:tcPr>
            <w:tcW w:w="1134" w:type="dxa"/>
            <w:tcBorders>
              <w:top w:val="single" w:sz="4" w:space="0" w:color="auto"/>
              <w:left w:val="nil"/>
              <w:bottom w:val="single" w:sz="4" w:space="0" w:color="auto"/>
              <w:right w:val="single" w:sz="4" w:space="0" w:color="auto"/>
            </w:tcBorders>
            <w:noWrap/>
            <w:vAlign w:val="bottom"/>
            <w:hideMark/>
          </w:tcPr>
          <w:p w14:paraId="303CA01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20D5661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35BA9BB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2F4C0B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293018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CAF77D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1C9F9B11"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813E315"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7DFB49E2"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2C4E5837"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549B0C3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Stakeholder engagement mechanisms (Use of formal processes to engage, prioritize, and collaborate with public stakeholders)</w:t>
            </w:r>
          </w:p>
        </w:tc>
        <w:tc>
          <w:tcPr>
            <w:tcW w:w="1134" w:type="dxa"/>
            <w:tcBorders>
              <w:top w:val="single" w:sz="4" w:space="0" w:color="auto"/>
              <w:left w:val="nil"/>
              <w:bottom w:val="single" w:sz="4" w:space="0" w:color="auto"/>
              <w:right w:val="single" w:sz="4" w:space="0" w:color="auto"/>
            </w:tcBorders>
            <w:noWrap/>
            <w:vAlign w:val="bottom"/>
            <w:hideMark/>
          </w:tcPr>
          <w:p w14:paraId="5B30C32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78BC280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655790F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nil"/>
            </w:tcBorders>
            <w:noWrap/>
            <w:vAlign w:val="bottom"/>
            <w:hideMark/>
          </w:tcPr>
          <w:p w14:paraId="6B61556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01746E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8082C7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7B496E78"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20CA4FB"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2A2207CD"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noWrap/>
            <w:vAlign w:val="center"/>
            <w:hideMark/>
          </w:tcPr>
          <w:p w14:paraId="76921C69"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3. Internal Governance Structure in Alliances</w:t>
            </w:r>
          </w:p>
        </w:tc>
        <w:tc>
          <w:tcPr>
            <w:tcW w:w="3685" w:type="dxa"/>
            <w:tcBorders>
              <w:top w:val="single" w:sz="4" w:space="0" w:color="auto"/>
              <w:left w:val="nil"/>
              <w:bottom w:val="single" w:sz="4" w:space="0" w:color="auto"/>
              <w:right w:val="single" w:sz="4" w:space="0" w:color="auto"/>
            </w:tcBorders>
            <w:vAlign w:val="center"/>
            <w:hideMark/>
          </w:tcPr>
          <w:p w14:paraId="5E58D94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Coordination channels (Existence of regular channels for implementing, reviewing, and improving sustainable practices)</w:t>
            </w:r>
          </w:p>
        </w:tc>
        <w:tc>
          <w:tcPr>
            <w:tcW w:w="1134" w:type="dxa"/>
            <w:tcBorders>
              <w:top w:val="single" w:sz="4" w:space="0" w:color="auto"/>
              <w:left w:val="nil"/>
              <w:bottom w:val="single" w:sz="4" w:space="0" w:color="auto"/>
              <w:right w:val="single" w:sz="4" w:space="0" w:color="auto"/>
            </w:tcBorders>
            <w:noWrap/>
            <w:vAlign w:val="bottom"/>
            <w:hideMark/>
          </w:tcPr>
          <w:p w14:paraId="1194AA2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0F504B7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166C285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E55559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AC191F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F08AFB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0EB166EF"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B1FE8E1"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2235E02C"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noWrap/>
            <w:vAlign w:val="center"/>
            <w:hideMark/>
          </w:tcPr>
          <w:p w14:paraId="07E5C90F"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4. Due Diligence and Impact Assessment Tools</w:t>
            </w:r>
          </w:p>
        </w:tc>
        <w:tc>
          <w:tcPr>
            <w:tcW w:w="3685" w:type="dxa"/>
            <w:tcBorders>
              <w:top w:val="single" w:sz="4" w:space="0" w:color="auto"/>
              <w:left w:val="nil"/>
              <w:bottom w:val="single" w:sz="4" w:space="0" w:color="auto"/>
              <w:right w:val="single" w:sz="4" w:space="0" w:color="auto"/>
            </w:tcBorders>
            <w:vAlign w:val="center"/>
            <w:hideMark/>
          </w:tcPr>
          <w:p w14:paraId="155F0C75" w14:textId="10F042DF"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Existence of indicators or systems to monitor the effects of agreements on food waste reduction</w:t>
            </w:r>
          </w:p>
        </w:tc>
        <w:tc>
          <w:tcPr>
            <w:tcW w:w="1134" w:type="dxa"/>
            <w:tcBorders>
              <w:top w:val="single" w:sz="4" w:space="0" w:color="auto"/>
              <w:left w:val="nil"/>
              <w:bottom w:val="single" w:sz="4" w:space="0" w:color="auto"/>
              <w:right w:val="single" w:sz="4" w:space="0" w:color="auto"/>
            </w:tcBorders>
            <w:noWrap/>
            <w:vAlign w:val="bottom"/>
            <w:hideMark/>
          </w:tcPr>
          <w:p w14:paraId="7A6DAD5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5C9F84F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6EBE12D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CE6752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0298DD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53288A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5ABA0F31"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6C68EC7"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4A604BB9"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tcBorders>
              <w:top w:val="single" w:sz="4" w:space="0" w:color="auto"/>
              <w:left w:val="nil"/>
              <w:bottom w:val="single" w:sz="4" w:space="0" w:color="auto"/>
              <w:right w:val="single" w:sz="4" w:space="0" w:color="auto"/>
            </w:tcBorders>
            <w:noWrap/>
            <w:vAlign w:val="center"/>
            <w:hideMark/>
          </w:tcPr>
          <w:p w14:paraId="6B45D378"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5. Transparency and Sustainable Communication</w:t>
            </w:r>
          </w:p>
        </w:tc>
        <w:tc>
          <w:tcPr>
            <w:tcW w:w="3685" w:type="dxa"/>
            <w:tcBorders>
              <w:top w:val="single" w:sz="4" w:space="0" w:color="auto"/>
              <w:left w:val="nil"/>
              <w:bottom w:val="single" w:sz="4" w:space="0" w:color="auto"/>
              <w:right w:val="single" w:sz="4" w:space="0" w:color="auto"/>
            </w:tcBorders>
            <w:vAlign w:val="center"/>
            <w:hideMark/>
          </w:tcPr>
          <w:p w14:paraId="70CE8592" w14:textId="6C421F9A"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Existence of channels (reports, apps, platforms) to communicate the sustainability of agreements</w:t>
            </w:r>
          </w:p>
        </w:tc>
        <w:tc>
          <w:tcPr>
            <w:tcW w:w="1134" w:type="dxa"/>
            <w:tcBorders>
              <w:top w:val="single" w:sz="4" w:space="0" w:color="auto"/>
              <w:left w:val="nil"/>
              <w:bottom w:val="single" w:sz="4" w:space="0" w:color="auto"/>
              <w:right w:val="single" w:sz="4" w:space="0" w:color="auto"/>
            </w:tcBorders>
            <w:noWrap/>
            <w:vAlign w:val="bottom"/>
            <w:hideMark/>
          </w:tcPr>
          <w:p w14:paraId="3DE7304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693489A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1F90E44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491EB6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D01B5E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5AD0C3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45F3DBDC"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EE59EA6"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3A040399"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470ACE63"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6. Sustainability in the Public Supply Chain</w:t>
            </w:r>
          </w:p>
        </w:tc>
        <w:tc>
          <w:tcPr>
            <w:tcW w:w="3685" w:type="dxa"/>
            <w:tcBorders>
              <w:top w:val="single" w:sz="4" w:space="0" w:color="auto"/>
              <w:left w:val="nil"/>
              <w:bottom w:val="single" w:sz="4" w:space="0" w:color="auto"/>
              <w:right w:val="single" w:sz="4" w:space="0" w:color="auto"/>
            </w:tcBorders>
            <w:vAlign w:val="center"/>
            <w:hideMark/>
          </w:tcPr>
          <w:p w14:paraId="049C829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Interorganizational agreements (Agreements or collaborations to promote sustainable/circular practices)</w:t>
            </w:r>
          </w:p>
        </w:tc>
        <w:tc>
          <w:tcPr>
            <w:tcW w:w="1134" w:type="dxa"/>
            <w:tcBorders>
              <w:top w:val="single" w:sz="4" w:space="0" w:color="auto"/>
              <w:left w:val="nil"/>
              <w:bottom w:val="single" w:sz="4" w:space="0" w:color="auto"/>
              <w:right w:val="single" w:sz="4" w:space="0" w:color="auto"/>
            </w:tcBorders>
            <w:noWrap/>
            <w:vAlign w:val="bottom"/>
            <w:hideMark/>
          </w:tcPr>
          <w:p w14:paraId="034A671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5860E85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18BD4FE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1AF580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ED0580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9CE2F2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6263748E"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74667F4"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230EDE19"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0C6B327D"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077C8AE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Green public procurement (Inclusion of sustainability clauses or green criteria in public tenders)</w:t>
            </w:r>
          </w:p>
        </w:tc>
        <w:tc>
          <w:tcPr>
            <w:tcW w:w="1134" w:type="dxa"/>
            <w:tcBorders>
              <w:top w:val="single" w:sz="4" w:space="0" w:color="auto"/>
              <w:left w:val="nil"/>
              <w:bottom w:val="single" w:sz="4" w:space="0" w:color="auto"/>
              <w:right w:val="single" w:sz="4" w:space="0" w:color="auto"/>
            </w:tcBorders>
            <w:noWrap/>
            <w:vAlign w:val="bottom"/>
            <w:hideMark/>
          </w:tcPr>
          <w:p w14:paraId="4FE8865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2675D48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1167FA1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CF3230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69353A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CFD098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4C3DD734" w14:textId="77777777" w:rsidTr="003D3E76">
        <w:trPr>
          <w:trHeight w:val="3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C7B56BC"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42BB3A65"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23BC1533"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7. Scalability and Replicability Capability</w:t>
            </w:r>
          </w:p>
        </w:tc>
        <w:tc>
          <w:tcPr>
            <w:tcW w:w="3685" w:type="dxa"/>
            <w:tcBorders>
              <w:top w:val="single" w:sz="4" w:space="0" w:color="auto"/>
              <w:left w:val="nil"/>
              <w:bottom w:val="single" w:sz="4" w:space="0" w:color="auto"/>
              <w:right w:val="single" w:sz="4" w:space="0" w:color="auto"/>
            </w:tcBorders>
            <w:vAlign w:val="center"/>
            <w:hideMark/>
          </w:tcPr>
          <w:p w14:paraId="01861D9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Extent to which current regulations facilitate replicability</w:t>
            </w:r>
          </w:p>
        </w:tc>
        <w:tc>
          <w:tcPr>
            <w:tcW w:w="1134" w:type="dxa"/>
            <w:tcBorders>
              <w:top w:val="single" w:sz="4" w:space="0" w:color="auto"/>
              <w:left w:val="nil"/>
              <w:bottom w:val="single" w:sz="4" w:space="0" w:color="auto"/>
              <w:right w:val="single" w:sz="4" w:space="0" w:color="auto"/>
            </w:tcBorders>
            <w:noWrap/>
            <w:vAlign w:val="bottom"/>
            <w:hideMark/>
          </w:tcPr>
          <w:p w14:paraId="11292DE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73D3A64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199FCF1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2D7C7C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B17AF6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6B1C0C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4FEE5451" w14:textId="77777777" w:rsidTr="003D3E76">
        <w:trPr>
          <w:trHeight w:val="3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B75CD37"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714EA353"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70DC9A2A"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5A13369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Identification and management of barriers limiting replication</w:t>
            </w:r>
          </w:p>
        </w:tc>
        <w:tc>
          <w:tcPr>
            <w:tcW w:w="1134" w:type="dxa"/>
            <w:tcBorders>
              <w:top w:val="single" w:sz="4" w:space="0" w:color="auto"/>
              <w:left w:val="nil"/>
              <w:bottom w:val="single" w:sz="4" w:space="0" w:color="auto"/>
              <w:right w:val="single" w:sz="4" w:space="0" w:color="auto"/>
            </w:tcBorders>
            <w:noWrap/>
            <w:vAlign w:val="bottom"/>
            <w:hideMark/>
          </w:tcPr>
          <w:p w14:paraId="2E21358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4B0EBE7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0FAD362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302E04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0634F3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CE31D7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426024B6"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5258B75"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val="restart"/>
            <w:tcBorders>
              <w:top w:val="single" w:sz="4" w:space="0" w:color="auto"/>
              <w:left w:val="single" w:sz="4" w:space="0" w:color="auto"/>
              <w:bottom w:val="single" w:sz="4" w:space="0" w:color="auto"/>
              <w:right w:val="single" w:sz="4" w:space="0" w:color="auto"/>
            </w:tcBorders>
            <w:vAlign w:val="center"/>
            <w:hideMark/>
          </w:tcPr>
          <w:p w14:paraId="0C63CDCA"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r w:rsidRPr="00096D4D">
              <w:rPr>
                <w:rFonts w:ascii="Times New Roman" w:eastAsia="Times New Roman" w:hAnsi="Times New Roman" w:cs="Times New Roman"/>
                <w:b/>
                <w:bCs/>
                <w:color w:val="000000"/>
                <w:sz w:val="20"/>
                <w:szCs w:val="20"/>
                <w:lang w:val="en-US" w:eastAsia="ca-ES"/>
              </w:rPr>
              <w:t xml:space="preserve">3. CE in supply chain management </w:t>
            </w: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6BDA8064"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1. Focal Actor and Ecosystem Leadership</w:t>
            </w:r>
          </w:p>
        </w:tc>
        <w:tc>
          <w:tcPr>
            <w:tcW w:w="3685" w:type="dxa"/>
            <w:tcBorders>
              <w:top w:val="single" w:sz="4" w:space="0" w:color="auto"/>
              <w:left w:val="nil"/>
              <w:bottom w:val="single" w:sz="4" w:space="0" w:color="auto"/>
              <w:right w:val="single" w:sz="4" w:space="0" w:color="auto"/>
            </w:tcBorders>
            <w:vAlign w:val="center"/>
            <w:hideMark/>
          </w:tcPr>
          <w:p w14:paraId="387C7D8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Influence capacity (Organization’s ability to influence stakeholders to adopt waste prevention/reduction practices)</w:t>
            </w:r>
          </w:p>
        </w:tc>
        <w:tc>
          <w:tcPr>
            <w:tcW w:w="1134" w:type="dxa"/>
            <w:tcBorders>
              <w:top w:val="single" w:sz="4" w:space="0" w:color="auto"/>
              <w:left w:val="nil"/>
              <w:bottom w:val="single" w:sz="4" w:space="0" w:color="auto"/>
              <w:right w:val="single" w:sz="4" w:space="0" w:color="auto"/>
            </w:tcBorders>
            <w:noWrap/>
            <w:vAlign w:val="bottom"/>
            <w:hideMark/>
          </w:tcPr>
          <w:p w14:paraId="1AE79D6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428E1C3C"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60DDFCE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F3BA18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DB084B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7DF738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57ADE732"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D6D4111"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6366190B"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5EDB9C2D"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2A035AB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Leadership perception (Degree to which the organization is recognized as a leader in sustainability initiatives)</w:t>
            </w:r>
          </w:p>
        </w:tc>
        <w:tc>
          <w:tcPr>
            <w:tcW w:w="1134" w:type="dxa"/>
            <w:tcBorders>
              <w:top w:val="single" w:sz="4" w:space="0" w:color="auto"/>
              <w:left w:val="nil"/>
              <w:bottom w:val="single" w:sz="4" w:space="0" w:color="auto"/>
              <w:right w:val="single" w:sz="4" w:space="0" w:color="auto"/>
            </w:tcBorders>
            <w:noWrap/>
            <w:vAlign w:val="bottom"/>
            <w:hideMark/>
          </w:tcPr>
          <w:p w14:paraId="5DBCF02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345707A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09CD5D9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68B83F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152004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1E19F6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7D830805" w14:textId="77777777" w:rsidTr="003D3E76">
        <w:trPr>
          <w:trHeight w:val="93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58B57C2"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0DB28B37"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15937960"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55A41AC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Strategic leverage (Use of organization’s strategic position to promote sustainability upstream (suppliers) and downstream (consumers, waste managers))</w:t>
            </w:r>
          </w:p>
        </w:tc>
        <w:tc>
          <w:tcPr>
            <w:tcW w:w="1134" w:type="dxa"/>
            <w:tcBorders>
              <w:top w:val="single" w:sz="4" w:space="0" w:color="auto"/>
              <w:left w:val="nil"/>
              <w:bottom w:val="single" w:sz="4" w:space="0" w:color="auto"/>
              <w:right w:val="single" w:sz="4" w:space="0" w:color="auto"/>
            </w:tcBorders>
            <w:noWrap/>
            <w:vAlign w:val="bottom"/>
            <w:hideMark/>
          </w:tcPr>
          <w:p w14:paraId="13A472B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26D21E0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65D64E2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980172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206660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A85E3D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562953E5" w14:textId="77777777" w:rsidTr="003D3E76">
        <w:trPr>
          <w:trHeight w:val="3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6D7A253"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397B2365"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440999FB"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2. Circular Supply Chain Optimization</w:t>
            </w:r>
          </w:p>
        </w:tc>
        <w:tc>
          <w:tcPr>
            <w:tcW w:w="3685" w:type="dxa"/>
            <w:tcBorders>
              <w:top w:val="single" w:sz="4" w:space="0" w:color="auto"/>
              <w:left w:val="nil"/>
              <w:bottom w:val="single" w:sz="4" w:space="0" w:color="auto"/>
              <w:right w:val="single" w:sz="4" w:space="0" w:color="auto"/>
            </w:tcBorders>
            <w:vAlign w:val="center"/>
            <w:hideMark/>
          </w:tcPr>
          <w:p w14:paraId="3F65062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Supply chain sustainability alignment (Extent to which the supply chain is aligned with sustainability principles from sourcing to final consumption)</w:t>
            </w:r>
          </w:p>
        </w:tc>
        <w:tc>
          <w:tcPr>
            <w:tcW w:w="1134" w:type="dxa"/>
            <w:tcBorders>
              <w:top w:val="single" w:sz="4" w:space="0" w:color="auto"/>
              <w:left w:val="nil"/>
              <w:bottom w:val="single" w:sz="4" w:space="0" w:color="auto"/>
              <w:right w:val="single" w:sz="4" w:space="0" w:color="auto"/>
            </w:tcBorders>
            <w:noWrap/>
            <w:vAlign w:val="bottom"/>
            <w:hideMark/>
          </w:tcPr>
          <w:p w14:paraId="21AADDF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3311281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343CB7E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867EAD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5A81BD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D4188C8"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7D3EC524" w14:textId="77777777" w:rsidTr="003D3E76">
        <w:trPr>
          <w:trHeight w:val="3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A84601F"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13683645"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1FF6A09A"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537BFBE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Supplier agreements (Existence of formal agreements ensuring sustainable and circular practices)</w:t>
            </w:r>
          </w:p>
        </w:tc>
        <w:tc>
          <w:tcPr>
            <w:tcW w:w="1134" w:type="dxa"/>
            <w:tcBorders>
              <w:top w:val="single" w:sz="4" w:space="0" w:color="auto"/>
              <w:left w:val="nil"/>
              <w:bottom w:val="single" w:sz="4" w:space="0" w:color="auto"/>
              <w:right w:val="single" w:sz="4" w:space="0" w:color="auto"/>
            </w:tcBorders>
            <w:noWrap/>
            <w:vAlign w:val="bottom"/>
            <w:hideMark/>
          </w:tcPr>
          <w:p w14:paraId="567AA89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3AA2E8D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16CAA81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79E5D9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1179DD7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B314C0A"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7FDC99AC" w14:textId="77777777" w:rsidTr="003D3E76">
        <w:trPr>
          <w:trHeight w:val="61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C1DE80B"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525BD279"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27A65C20"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34290E3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Feedback integration (Use of supplier and consumer feedback to improve supply chain sustainability)</w:t>
            </w:r>
          </w:p>
        </w:tc>
        <w:tc>
          <w:tcPr>
            <w:tcW w:w="1134" w:type="dxa"/>
            <w:tcBorders>
              <w:top w:val="single" w:sz="4" w:space="0" w:color="auto"/>
              <w:left w:val="nil"/>
              <w:bottom w:val="single" w:sz="4" w:space="0" w:color="auto"/>
              <w:right w:val="single" w:sz="4" w:space="0" w:color="auto"/>
            </w:tcBorders>
            <w:noWrap/>
            <w:vAlign w:val="bottom"/>
            <w:hideMark/>
          </w:tcPr>
          <w:p w14:paraId="2614397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70ED5502"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5BE3123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13E450F"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3CEC271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AA3901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59F16B22"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D006653"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23626E52"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14:paraId="122F1669" w14:textId="77777777" w:rsidR="003D3E76" w:rsidRPr="00096D4D" w:rsidRDefault="003D3E76" w:rsidP="003D3E76">
            <w:pPr>
              <w:spacing w:after="0" w:line="240" w:lineRule="auto"/>
              <w:rPr>
                <w:rFonts w:ascii="Times New Roman" w:eastAsia="Times New Roman" w:hAnsi="Times New Roman" w:cs="Times New Roman"/>
                <w:bCs/>
                <w:sz w:val="20"/>
                <w:szCs w:val="20"/>
                <w:lang w:val="en-US" w:eastAsia="ca-ES"/>
              </w:rPr>
            </w:pPr>
            <w:r w:rsidRPr="00096D4D">
              <w:rPr>
                <w:rFonts w:ascii="Times New Roman" w:eastAsia="Times New Roman" w:hAnsi="Times New Roman" w:cs="Times New Roman"/>
                <w:bCs/>
                <w:sz w:val="20"/>
                <w:szCs w:val="20"/>
                <w:lang w:val="en-US" w:eastAsia="ca-ES"/>
              </w:rPr>
              <w:t>3. Risk and opportunity management</w:t>
            </w:r>
          </w:p>
        </w:tc>
        <w:tc>
          <w:tcPr>
            <w:tcW w:w="3685" w:type="dxa"/>
            <w:tcBorders>
              <w:top w:val="single" w:sz="4" w:space="0" w:color="auto"/>
              <w:left w:val="nil"/>
              <w:bottom w:val="single" w:sz="4" w:space="0" w:color="auto"/>
              <w:right w:val="single" w:sz="4" w:space="0" w:color="auto"/>
            </w:tcBorders>
            <w:vAlign w:val="center"/>
            <w:hideMark/>
          </w:tcPr>
          <w:p w14:paraId="337B6CB9"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Identification of sustainability and waste reduction risks in the supply chain</w:t>
            </w:r>
          </w:p>
        </w:tc>
        <w:tc>
          <w:tcPr>
            <w:tcW w:w="1134" w:type="dxa"/>
            <w:tcBorders>
              <w:top w:val="single" w:sz="4" w:space="0" w:color="auto"/>
              <w:left w:val="nil"/>
              <w:bottom w:val="single" w:sz="4" w:space="0" w:color="auto"/>
              <w:right w:val="single" w:sz="4" w:space="0" w:color="auto"/>
            </w:tcBorders>
            <w:noWrap/>
            <w:vAlign w:val="bottom"/>
            <w:hideMark/>
          </w:tcPr>
          <w:p w14:paraId="2106BFF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1B000B0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6BB3D54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6D09AE13" w14:textId="77777777" w:rsidR="003D3E76" w:rsidRPr="00096D4D" w:rsidRDefault="003D3E76" w:rsidP="003D3E76">
            <w:pPr>
              <w:spacing w:after="0" w:line="240" w:lineRule="auto"/>
              <w:rPr>
                <w:rFonts w:ascii="Times New Roman" w:eastAsia="Times New Roman" w:hAnsi="Times New Roman" w:cs="Times New Roman"/>
                <w:color w:val="FF0000"/>
                <w:sz w:val="20"/>
                <w:szCs w:val="20"/>
                <w:lang w:val="en-US" w:eastAsia="ca-ES"/>
              </w:rPr>
            </w:pPr>
            <w:r w:rsidRPr="00096D4D">
              <w:rPr>
                <w:rFonts w:ascii="Times New Roman" w:eastAsia="Times New Roman" w:hAnsi="Times New Roman" w:cs="Times New Roman"/>
                <w:color w:val="FF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27681267"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5E96CADD"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72B2C8A5" w14:textId="77777777" w:rsidTr="003D3E76">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DA7D1F1"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4A2DD52E"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5B581C40"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5E40BB95"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Identification of opportunities for sustainability and circular practices</w:t>
            </w:r>
          </w:p>
        </w:tc>
        <w:tc>
          <w:tcPr>
            <w:tcW w:w="1134" w:type="dxa"/>
            <w:tcBorders>
              <w:top w:val="single" w:sz="4" w:space="0" w:color="auto"/>
              <w:left w:val="nil"/>
              <w:bottom w:val="single" w:sz="4" w:space="0" w:color="auto"/>
              <w:right w:val="single" w:sz="4" w:space="0" w:color="auto"/>
            </w:tcBorders>
            <w:noWrap/>
            <w:vAlign w:val="bottom"/>
            <w:hideMark/>
          </w:tcPr>
          <w:p w14:paraId="74693864"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03A53870"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7472C793"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25F36A7" w14:textId="77777777" w:rsidR="003D3E76" w:rsidRPr="00096D4D" w:rsidRDefault="003D3E76" w:rsidP="003D3E76">
            <w:pPr>
              <w:spacing w:after="0" w:line="240" w:lineRule="auto"/>
              <w:rPr>
                <w:rFonts w:ascii="Times New Roman" w:eastAsia="Times New Roman" w:hAnsi="Times New Roman" w:cs="Times New Roman"/>
                <w:color w:val="FF0000"/>
                <w:sz w:val="20"/>
                <w:szCs w:val="20"/>
                <w:lang w:val="en-US" w:eastAsia="ca-ES"/>
              </w:rPr>
            </w:pPr>
            <w:r w:rsidRPr="00096D4D">
              <w:rPr>
                <w:rFonts w:ascii="Times New Roman" w:eastAsia="Times New Roman" w:hAnsi="Times New Roman" w:cs="Times New Roman"/>
                <w:color w:val="FF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9C0A65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7EBB4E2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r w:rsidR="003D3E76" w:rsidRPr="00096D4D" w14:paraId="24BF8B3B" w14:textId="77777777" w:rsidTr="003D3E76">
        <w:trPr>
          <w:trHeight w:val="31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FC85A0D"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54338528"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14:paraId="5788209A" w14:textId="77777777" w:rsidR="003D3E76" w:rsidRPr="00096D4D" w:rsidRDefault="003D3E76" w:rsidP="003D3E76">
            <w:pPr>
              <w:spacing w:after="0" w:line="240" w:lineRule="auto"/>
              <w:rPr>
                <w:rFonts w:ascii="Times New Roman" w:eastAsia="Times New Roman" w:hAnsi="Times New Roman" w:cs="Times New Roman"/>
                <w:b/>
                <w:bCs/>
                <w:color w:val="000000"/>
                <w:sz w:val="20"/>
                <w:szCs w:val="20"/>
                <w:lang w:val="en-US" w:eastAsia="ca-ES"/>
              </w:rPr>
            </w:pPr>
          </w:p>
        </w:tc>
        <w:tc>
          <w:tcPr>
            <w:tcW w:w="3685" w:type="dxa"/>
            <w:tcBorders>
              <w:top w:val="single" w:sz="4" w:space="0" w:color="auto"/>
              <w:left w:val="nil"/>
              <w:bottom w:val="single" w:sz="4" w:space="0" w:color="auto"/>
              <w:right w:val="single" w:sz="4" w:space="0" w:color="auto"/>
            </w:tcBorders>
            <w:vAlign w:val="center"/>
            <w:hideMark/>
          </w:tcPr>
          <w:p w14:paraId="1C57A25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Processes to manage sustainability risks and exploit opportunities</w:t>
            </w:r>
          </w:p>
        </w:tc>
        <w:tc>
          <w:tcPr>
            <w:tcW w:w="1134" w:type="dxa"/>
            <w:tcBorders>
              <w:top w:val="single" w:sz="4" w:space="0" w:color="auto"/>
              <w:left w:val="nil"/>
              <w:bottom w:val="single" w:sz="4" w:space="0" w:color="auto"/>
              <w:right w:val="single" w:sz="4" w:space="0" w:color="auto"/>
            </w:tcBorders>
            <w:noWrap/>
            <w:vAlign w:val="bottom"/>
            <w:hideMark/>
          </w:tcPr>
          <w:p w14:paraId="68FAC64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851" w:type="dxa"/>
            <w:tcBorders>
              <w:top w:val="single" w:sz="4" w:space="0" w:color="auto"/>
              <w:left w:val="nil"/>
              <w:bottom w:val="single" w:sz="4" w:space="0" w:color="auto"/>
              <w:right w:val="single" w:sz="4" w:space="0" w:color="auto"/>
            </w:tcBorders>
            <w:noWrap/>
            <w:vAlign w:val="bottom"/>
            <w:hideMark/>
          </w:tcPr>
          <w:p w14:paraId="77949AB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992" w:type="dxa"/>
            <w:tcBorders>
              <w:top w:val="single" w:sz="4" w:space="0" w:color="auto"/>
              <w:left w:val="nil"/>
              <w:bottom w:val="single" w:sz="4" w:space="0" w:color="auto"/>
              <w:right w:val="single" w:sz="4" w:space="0" w:color="auto"/>
            </w:tcBorders>
            <w:noWrap/>
            <w:vAlign w:val="bottom"/>
            <w:hideMark/>
          </w:tcPr>
          <w:p w14:paraId="1B00E016"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BA1720E"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4BA13031"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c>
          <w:tcPr>
            <w:tcW w:w="1134" w:type="dxa"/>
            <w:tcBorders>
              <w:top w:val="single" w:sz="4" w:space="0" w:color="auto"/>
              <w:left w:val="nil"/>
              <w:bottom w:val="single" w:sz="4" w:space="0" w:color="auto"/>
              <w:right w:val="single" w:sz="4" w:space="0" w:color="auto"/>
            </w:tcBorders>
            <w:noWrap/>
            <w:vAlign w:val="bottom"/>
            <w:hideMark/>
          </w:tcPr>
          <w:p w14:paraId="01C2AEFB" w14:textId="77777777" w:rsidR="003D3E76" w:rsidRPr="00096D4D" w:rsidRDefault="003D3E76" w:rsidP="003D3E76">
            <w:pPr>
              <w:spacing w:after="0" w:line="240" w:lineRule="auto"/>
              <w:rPr>
                <w:rFonts w:ascii="Times New Roman" w:eastAsia="Times New Roman" w:hAnsi="Times New Roman" w:cs="Times New Roman"/>
                <w:color w:val="000000"/>
                <w:sz w:val="20"/>
                <w:szCs w:val="20"/>
                <w:lang w:val="en-US" w:eastAsia="ca-ES"/>
              </w:rPr>
            </w:pPr>
            <w:r w:rsidRPr="00096D4D">
              <w:rPr>
                <w:rFonts w:ascii="Times New Roman" w:eastAsia="Times New Roman" w:hAnsi="Times New Roman" w:cs="Times New Roman"/>
                <w:color w:val="000000"/>
                <w:sz w:val="20"/>
                <w:szCs w:val="20"/>
                <w:lang w:val="en-US" w:eastAsia="ca-ES"/>
              </w:rPr>
              <w:t> </w:t>
            </w:r>
          </w:p>
        </w:tc>
      </w:tr>
    </w:tbl>
    <w:p w14:paraId="49130329" w14:textId="77777777" w:rsidR="00BD2E94" w:rsidRPr="00096D4D" w:rsidRDefault="00BD2E94" w:rsidP="0016079B">
      <w:pPr>
        <w:spacing w:line="480" w:lineRule="auto"/>
        <w:jc w:val="both"/>
        <w:rPr>
          <w:rFonts w:ascii="Times New Roman" w:hAnsi="Times New Roman" w:cs="Times New Roman"/>
          <w:sz w:val="20"/>
          <w:szCs w:val="20"/>
          <w:lang w:val="en-US"/>
        </w:rPr>
      </w:pPr>
    </w:p>
    <w:sectPr w:rsidR="00BD2E94" w:rsidRPr="00096D4D" w:rsidSect="003D3E76">
      <w:pgSz w:w="16838" w:h="11906" w:orient="landscape"/>
      <w:pgMar w:top="1701" w:right="1418" w:bottom="184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A389E" w14:textId="77777777" w:rsidR="0081598D" w:rsidRDefault="0081598D" w:rsidP="00B93B83">
      <w:pPr>
        <w:spacing w:after="0" w:line="240" w:lineRule="auto"/>
      </w:pPr>
      <w:r>
        <w:separator/>
      </w:r>
    </w:p>
  </w:endnote>
  <w:endnote w:type="continuationSeparator" w:id="0">
    <w:p w14:paraId="0C28590E" w14:textId="77777777" w:rsidR="0081598D" w:rsidRDefault="0081598D" w:rsidP="00B93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77460" w14:textId="77777777" w:rsidR="0081598D" w:rsidRDefault="0081598D" w:rsidP="00B93B83">
      <w:pPr>
        <w:spacing w:after="0" w:line="240" w:lineRule="auto"/>
      </w:pPr>
      <w:r>
        <w:separator/>
      </w:r>
    </w:p>
  </w:footnote>
  <w:footnote w:type="continuationSeparator" w:id="0">
    <w:p w14:paraId="1DB0DBC5" w14:textId="77777777" w:rsidR="0081598D" w:rsidRDefault="0081598D" w:rsidP="00B93B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2007BB"/>
    <w:multiLevelType w:val="hybridMultilevel"/>
    <w:tmpl w:val="E0F75C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A17EA"/>
    <w:multiLevelType w:val="hybridMultilevel"/>
    <w:tmpl w:val="1B48E2FC"/>
    <w:lvl w:ilvl="0" w:tplc="E6EC70F6">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56360F4"/>
    <w:multiLevelType w:val="hybridMultilevel"/>
    <w:tmpl w:val="51BE45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AF0DBC"/>
    <w:multiLevelType w:val="hybridMultilevel"/>
    <w:tmpl w:val="099CE91E"/>
    <w:lvl w:ilvl="0" w:tplc="41CEDD1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CC76D83"/>
    <w:multiLevelType w:val="hybridMultilevel"/>
    <w:tmpl w:val="FCFE455C"/>
    <w:lvl w:ilvl="0" w:tplc="524A4B80">
      <w:start w:val="1"/>
      <w:numFmt w:val="bullet"/>
      <w:lvlText w:val="•"/>
      <w:lvlJc w:val="left"/>
      <w:pPr>
        <w:tabs>
          <w:tab w:val="num" w:pos="720"/>
        </w:tabs>
        <w:ind w:left="720" w:hanging="360"/>
      </w:pPr>
      <w:rPr>
        <w:rFonts w:ascii="Arial" w:hAnsi="Arial" w:hint="default"/>
      </w:rPr>
    </w:lvl>
    <w:lvl w:ilvl="1" w:tplc="03B8EE24" w:tentative="1">
      <w:start w:val="1"/>
      <w:numFmt w:val="bullet"/>
      <w:lvlText w:val="•"/>
      <w:lvlJc w:val="left"/>
      <w:pPr>
        <w:tabs>
          <w:tab w:val="num" w:pos="1440"/>
        </w:tabs>
        <w:ind w:left="1440" w:hanging="360"/>
      </w:pPr>
      <w:rPr>
        <w:rFonts w:ascii="Arial" w:hAnsi="Arial" w:hint="default"/>
      </w:rPr>
    </w:lvl>
    <w:lvl w:ilvl="2" w:tplc="7A84886C" w:tentative="1">
      <w:start w:val="1"/>
      <w:numFmt w:val="bullet"/>
      <w:lvlText w:val="•"/>
      <w:lvlJc w:val="left"/>
      <w:pPr>
        <w:tabs>
          <w:tab w:val="num" w:pos="2160"/>
        </w:tabs>
        <w:ind w:left="2160" w:hanging="360"/>
      </w:pPr>
      <w:rPr>
        <w:rFonts w:ascii="Arial" w:hAnsi="Arial" w:hint="default"/>
      </w:rPr>
    </w:lvl>
    <w:lvl w:ilvl="3" w:tplc="FA94ABEA" w:tentative="1">
      <w:start w:val="1"/>
      <w:numFmt w:val="bullet"/>
      <w:lvlText w:val="•"/>
      <w:lvlJc w:val="left"/>
      <w:pPr>
        <w:tabs>
          <w:tab w:val="num" w:pos="2880"/>
        </w:tabs>
        <w:ind w:left="2880" w:hanging="360"/>
      </w:pPr>
      <w:rPr>
        <w:rFonts w:ascii="Arial" w:hAnsi="Arial" w:hint="default"/>
      </w:rPr>
    </w:lvl>
    <w:lvl w:ilvl="4" w:tplc="CD2A5AAE" w:tentative="1">
      <w:start w:val="1"/>
      <w:numFmt w:val="bullet"/>
      <w:lvlText w:val="•"/>
      <w:lvlJc w:val="left"/>
      <w:pPr>
        <w:tabs>
          <w:tab w:val="num" w:pos="3600"/>
        </w:tabs>
        <w:ind w:left="3600" w:hanging="360"/>
      </w:pPr>
      <w:rPr>
        <w:rFonts w:ascii="Arial" w:hAnsi="Arial" w:hint="default"/>
      </w:rPr>
    </w:lvl>
    <w:lvl w:ilvl="5" w:tplc="4F12D992" w:tentative="1">
      <w:start w:val="1"/>
      <w:numFmt w:val="bullet"/>
      <w:lvlText w:val="•"/>
      <w:lvlJc w:val="left"/>
      <w:pPr>
        <w:tabs>
          <w:tab w:val="num" w:pos="4320"/>
        </w:tabs>
        <w:ind w:left="4320" w:hanging="360"/>
      </w:pPr>
      <w:rPr>
        <w:rFonts w:ascii="Arial" w:hAnsi="Arial" w:hint="default"/>
      </w:rPr>
    </w:lvl>
    <w:lvl w:ilvl="6" w:tplc="780E3D88" w:tentative="1">
      <w:start w:val="1"/>
      <w:numFmt w:val="bullet"/>
      <w:lvlText w:val="•"/>
      <w:lvlJc w:val="left"/>
      <w:pPr>
        <w:tabs>
          <w:tab w:val="num" w:pos="5040"/>
        </w:tabs>
        <w:ind w:left="5040" w:hanging="360"/>
      </w:pPr>
      <w:rPr>
        <w:rFonts w:ascii="Arial" w:hAnsi="Arial" w:hint="default"/>
      </w:rPr>
    </w:lvl>
    <w:lvl w:ilvl="7" w:tplc="EC48169E" w:tentative="1">
      <w:start w:val="1"/>
      <w:numFmt w:val="bullet"/>
      <w:lvlText w:val="•"/>
      <w:lvlJc w:val="left"/>
      <w:pPr>
        <w:tabs>
          <w:tab w:val="num" w:pos="5760"/>
        </w:tabs>
        <w:ind w:left="5760" w:hanging="360"/>
      </w:pPr>
      <w:rPr>
        <w:rFonts w:ascii="Arial" w:hAnsi="Arial" w:hint="default"/>
      </w:rPr>
    </w:lvl>
    <w:lvl w:ilvl="8" w:tplc="177669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3332E1E"/>
    <w:multiLevelType w:val="hybridMultilevel"/>
    <w:tmpl w:val="FF42508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53F39F9"/>
    <w:multiLevelType w:val="hybridMultilevel"/>
    <w:tmpl w:val="57C0CC3A"/>
    <w:lvl w:ilvl="0" w:tplc="040A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BEF5C97"/>
    <w:multiLevelType w:val="multilevel"/>
    <w:tmpl w:val="BEAC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22494"/>
    <w:multiLevelType w:val="hybridMultilevel"/>
    <w:tmpl w:val="1744DE9E"/>
    <w:lvl w:ilvl="0" w:tplc="F5B85688">
      <w:start w:val="1"/>
      <w:numFmt w:val="bullet"/>
      <w:lvlText w:val="•"/>
      <w:lvlJc w:val="left"/>
      <w:pPr>
        <w:tabs>
          <w:tab w:val="num" w:pos="720"/>
        </w:tabs>
        <w:ind w:left="720" w:hanging="360"/>
      </w:pPr>
      <w:rPr>
        <w:rFonts w:ascii="Arial" w:hAnsi="Arial" w:hint="default"/>
      </w:rPr>
    </w:lvl>
    <w:lvl w:ilvl="1" w:tplc="329872C2" w:tentative="1">
      <w:start w:val="1"/>
      <w:numFmt w:val="bullet"/>
      <w:lvlText w:val="•"/>
      <w:lvlJc w:val="left"/>
      <w:pPr>
        <w:tabs>
          <w:tab w:val="num" w:pos="1440"/>
        </w:tabs>
        <w:ind w:left="1440" w:hanging="360"/>
      </w:pPr>
      <w:rPr>
        <w:rFonts w:ascii="Arial" w:hAnsi="Arial" w:hint="default"/>
      </w:rPr>
    </w:lvl>
    <w:lvl w:ilvl="2" w:tplc="FA0A07D0" w:tentative="1">
      <w:start w:val="1"/>
      <w:numFmt w:val="bullet"/>
      <w:lvlText w:val="•"/>
      <w:lvlJc w:val="left"/>
      <w:pPr>
        <w:tabs>
          <w:tab w:val="num" w:pos="2160"/>
        </w:tabs>
        <w:ind w:left="2160" w:hanging="360"/>
      </w:pPr>
      <w:rPr>
        <w:rFonts w:ascii="Arial" w:hAnsi="Arial" w:hint="default"/>
      </w:rPr>
    </w:lvl>
    <w:lvl w:ilvl="3" w:tplc="F0B0209E" w:tentative="1">
      <w:start w:val="1"/>
      <w:numFmt w:val="bullet"/>
      <w:lvlText w:val="•"/>
      <w:lvlJc w:val="left"/>
      <w:pPr>
        <w:tabs>
          <w:tab w:val="num" w:pos="2880"/>
        </w:tabs>
        <w:ind w:left="2880" w:hanging="360"/>
      </w:pPr>
      <w:rPr>
        <w:rFonts w:ascii="Arial" w:hAnsi="Arial" w:hint="default"/>
      </w:rPr>
    </w:lvl>
    <w:lvl w:ilvl="4" w:tplc="91E46BE6" w:tentative="1">
      <w:start w:val="1"/>
      <w:numFmt w:val="bullet"/>
      <w:lvlText w:val="•"/>
      <w:lvlJc w:val="left"/>
      <w:pPr>
        <w:tabs>
          <w:tab w:val="num" w:pos="3600"/>
        </w:tabs>
        <w:ind w:left="3600" w:hanging="360"/>
      </w:pPr>
      <w:rPr>
        <w:rFonts w:ascii="Arial" w:hAnsi="Arial" w:hint="default"/>
      </w:rPr>
    </w:lvl>
    <w:lvl w:ilvl="5" w:tplc="E9E6E200" w:tentative="1">
      <w:start w:val="1"/>
      <w:numFmt w:val="bullet"/>
      <w:lvlText w:val="•"/>
      <w:lvlJc w:val="left"/>
      <w:pPr>
        <w:tabs>
          <w:tab w:val="num" w:pos="4320"/>
        </w:tabs>
        <w:ind w:left="4320" w:hanging="360"/>
      </w:pPr>
      <w:rPr>
        <w:rFonts w:ascii="Arial" w:hAnsi="Arial" w:hint="default"/>
      </w:rPr>
    </w:lvl>
    <w:lvl w:ilvl="6" w:tplc="BA48E1D2" w:tentative="1">
      <w:start w:val="1"/>
      <w:numFmt w:val="bullet"/>
      <w:lvlText w:val="•"/>
      <w:lvlJc w:val="left"/>
      <w:pPr>
        <w:tabs>
          <w:tab w:val="num" w:pos="5040"/>
        </w:tabs>
        <w:ind w:left="5040" w:hanging="360"/>
      </w:pPr>
      <w:rPr>
        <w:rFonts w:ascii="Arial" w:hAnsi="Arial" w:hint="default"/>
      </w:rPr>
    </w:lvl>
    <w:lvl w:ilvl="7" w:tplc="D0B8E2CE" w:tentative="1">
      <w:start w:val="1"/>
      <w:numFmt w:val="bullet"/>
      <w:lvlText w:val="•"/>
      <w:lvlJc w:val="left"/>
      <w:pPr>
        <w:tabs>
          <w:tab w:val="num" w:pos="5760"/>
        </w:tabs>
        <w:ind w:left="5760" w:hanging="360"/>
      </w:pPr>
      <w:rPr>
        <w:rFonts w:ascii="Arial" w:hAnsi="Arial" w:hint="default"/>
      </w:rPr>
    </w:lvl>
    <w:lvl w:ilvl="8" w:tplc="79F62FB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173E0A"/>
    <w:multiLevelType w:val="hybridMultilevel"/>
    <w:tmpl w:val="785261CE"/>
    <w:lvl w:ilvl="0" w:tplc="B596D980">
      <w:start w:val="1"/>
      <w:numFmt w:val="bullet"/>
      <w:lvlText w:val="•"/>
      <w:lvlJc w:val="left"/>
      <w:pPr>
        <w:tabs>
          <w:tab w:val="num" w:pos="720"/>
        </w:tabs>
        <w:ind w:left="720" w:hanging="360"/>
      </w:pPr>
      <w:rPr>
        <w:rFonts w:ascii="Arial" w:hAnsi="Arial" w:hint="default"/>
      </w:rPr>
    </w:lvl>
    <w:lvl w:ilvl="1" w:tplc="82E02FA4" w:tentative="1">
      <w:start w:val="1"/>
      <w:numFmt w:val="bullet"/>
      <w:lvlText w:val="•"/>
      <w:lvlJc w:val="left"/>
      <w:pPr>
        <w:tabs>
          <w:tab w:val="num" w:pos="1440"/>
        </w:tabs>
        <w:ind w:left="1440" w:hanging="360"/>
      </w:pPr>
      <w:rPr>
        <w:rFonts w:ascii="Arial" w:hAnsi="Arial" w:hint="default"/>
      </w:rPr>
    </w:lvl>
    <w:lvl w:ilvl="2" w:tplc="26AC1A86" w:tentative="1">
      <w:start w:val="1"/>
      <w:numFmt w:val="bullet"/>
      <w:lvlText w:val="•"/>
      <w:lvlJc w:val="left"/>
      <w:pPr>
        <w:tabs>
          <w:tab w:val="num" w:pos="2160"/>
        </w:tabs>
        <w:ind w:left="2160" w:hanging="360"/>
      </w:pPr>
      <w:rPr>
        <w:rFonts w:ascii="Arial" w:hAnsi="Arial" w:hint="default"/>
      </w:rPr>
    </w:lvl>
    <w:lvl w:ilvl="3" w:tplc="E60CE10A" w:tentative="1">
      <w:start w:val="1"/>
      <w:numFmt w:val="bullet"/>
      <w:lvlText w:val="•"/>
      <w:lvlJc w:val="left"/>
      <w:pPr>
        <w:tabs>
          <w:tab w:val="num" w:pos="2880"/>
        </w:tabs>
        <w:ind w:left="2880" w:hanging="360"/>
      </w:pPr>
      <w:rPr>
        <w:rFonts w:ascii="Arial" w:hAnsi="Arial" w:hint="default"/>
      </w:rPr>
    </w:lvl>
    <w:lvl w:ilvl="4" w:tplc="E3561006" w:tentative="1">
      <w:start w:val="1"/>
      <w:numFmt w:val="bullet"/>
      <w:lvlText w:val="•"/>
      <w:lvlJc w:val="left"/>
      <w:pPr>
        <w:tabs>
          <w:tab w:val="num" w:pos="3600"/>
        </w:tabs>
        <w:ind w:left="3600" w:hanging="360"/>
      </w:pPr>
      <w:rPr>
        <w:rFonts w:ascii="Arial" w:hAnsi="Arial" w:hint="default"/>
      </w:rPr>
    </w:lvl>
    <w:lvl w:ilvl="5" w:tplc="36BAD9CA" w:tentative="1">
      <w:start w:val="1"/>
      <w:numFmt w:val="bullet"/>
      <w:lvlText w:val="•"/>
      <w:lvlJc w:val="left"/>
      <w:pPr>
        <w:tabs>
          <w:tab w:val="num" w:pos="4320"/>
        </w:tabs>
        <w:ind w:left="4320" w:hanging="360"/>
      </w:pPr>
      <w:rPr>
        <w:rFonts w:ascii="Arial" w:hAnsi="Arial" w:hint="default"/>
      </w:rPr>
    </w:lvl>
    <w:lvl w:ilvl="6" w:tplc="D66C773C" w:tentative="1">
      <w:start w:val="1"/>
      <w:numFmt w:val="bullet"/>
      <w:lvlText w:val="•"/>
      <w:lvlJc w:val="left"/>
      <w:pPr>
        <w:tabs>
          <w:tab w:val="num" w:pos="5040"/>
        </w:tabs>
        <w:ind w:left="5040" w:hanging="360"/>
      </w:pPr>
      <w:rPr>
        <w:rFonts w:ascii="Arial" w:hAnsi="Arial" w:hint="default"/>
      </w:rPr>
    </w:lvl>
    <w:lvl w:ilvl="7" w:tplc="BC886250" w:tentative="1">
      <w:start w:val="1"/>
      <w:numFmt w:val="bullet"/>
      <w:lvlText w:val="•"/>
      <w:lvlJc w:val="left"/>
      <w:pPr>
        <w:tabs>
          <w:tab w:val="num" w:pos="5760"/>
        </w:tabs>
        <w:ind w:left="5760" w:hanging="360"/>
      </w:pPr>
      <w:rPr>
        <w:rFonts w:ascii="Arial" w:hAnsi="Arial" w:hint="default"/>
      </w:rPr>
    </w:lvl>
    <w:lvl w:ilvl="8" w:tplc="307EDE0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0A77125"/>
    <w:multiLevelType w:val="hybridMultilevel"/>
    <w:tmpl w:val="F2F8A638"/>
    <w:lvl w:ilvl="0" w:tplc="41CEDD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2B24F9D"/>
    <w:multiLevelType w:val="hybridMultilevel"/>
    <w:tmpl w:val="FAB47CB6"/>
    <w:lvl w:ilvl="0" w:tplc="41CEDD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5D35942"/>
    <w:multiLevelType w:val="multilevel"/>
    <w:tmpl w:val="EB3AC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8C5805"/>
    <w:multiLevelType w:val="hybridMultilevel"/>
    <w:tmpl w:val="F334953A"/>
    <w:lvl w:ilvl="0" w:tplc="60D68BD8">
      <w:start w:val="1"/>
      <w:numFmt w:val="bullet"/>
      <w:lvlText w:val="•"/>
      <w:lvlJc w:val="left"/>
      <w:pPr>
        <w:tabs>
          <w:tab w:val="num" w:pos="720"/>
        </w:tabs>
        <w:ind w:left="720" w:hanging="360"/>
      </w:pPr>
      <w:rPr>
        <w:rFonts w:ascii="Arial" w:hAnsi="Arial" w:hint="default"/>
      </w:rPr>
    </w:lvl>
    <w:lvl w:ilvl="1" w:tplc="638A10D8" w:tentative="1">
      <w:start w:val="1"/>
      <w:numFmt w:val="bullet"/>
      <w:lvlText w:val="•"/>
      <w:lvlJc w:val="left"/>
      <w:pPr>
        <w:tabs>
          <w:tab w:val="num" w:pos="1440"/>
        </w:tabs>
        <w:ind w:left="1440" w:hanging="360"/>
      </w:pPr>
      <w:rPr>
        <w:rFonts w:ascii="Arial" w:hAnsi="Arial" w:hint="default"/>
      </w:rPr>
    </w:lvl>
    <w:lvl w:ilvl="2" w:tplc="A7387BCE" w:tentative="1">
      <w:start w:val="1"/>
      <w:numFmt w:val="bullet"/>
      <w:lvlText w:val="•"/>
      <w:lvlJc w:val="left"/>
      <w:pPr>
        <w:tabs>
          <w:tab w:val="num" w:pos="2160"/>
        </w:tabs>
        <w:ind w:left="2160" w:hanging="360"/>
      </w:pPr>
      <w:rPr>
        <w:rFonts w:ascii="Arial" w:hAnsi="Arial" w:hint="default"/>
      </w:rPr>
    </w:lvl>
    <w:lvl w:ilvl="3" w:tplc="312CD8D8" w:tentative="1">
      <w:start w:val="1"/>
      <w:numFmt w:val="bullet"/>
      <w:lvlText w:val="•"/>
      <w:lvlJc w:val="left"/>
      <w:pPr>
        <w:tabs>
          <w:tab w:val="num" w:pos="2880"/>
        </w:tabs>
        <w:ind w:left="2880" w:hanging="360"/>
      </w:pPr>
      <w:rPr>
        <w:rFonts w:ascii="Arial" w:hAnsi="Arial" w:hint="default"/>
      </w:rPr>
    </w:lvl>
    <w:lvl w:ilvl="4" w:tplc="87DA23A8" w:tentative="1">
      <w:start w:val="1"/>
      <w:numFmt w:val="bullet"/>
      <w:lvlText w:val="•"/>
      <w:lvlJc w:val="left"/>
      <w:pPr>
        <w:tabs>
          <w:tab w:val="num" w:pos="3600"/>
        </w:tabs>
        <w:ind w:left="3600" w:hanging="360"/>
      </w:pPr>
      <w:rPr>
        <w:rFonts w:ascii="Arial" w:hAnsi="Arial" w:hint="default"/>
      </w:rPr>
    </w:lvl>
    <w:lvl w:ilvl="5" w:tplc="268AD34A" w:tentative="1">
      <w:start w:val="1"/>
      <w:numFmt w:val="bullet"/>
      <w:lvlText w:val="•"/>
      <w:lvlJc w:val="left"/>
      <w:pPr>
        <w:tabs>
          <w:tab w:val="num" w:pos="4320"/>
        </w:tabs>
        <w:ind w:left="4320" w:hanging="360"/>
      </w:pPr>
      <w:rPr>
        <w:rFonts w:ascii="Arial" w:hAnsi="Arial" w:hint="default"/>
      </w:rPr>
    </w:lvl>
    <w:lvl w:ilvl="6" w:tplc="496AFDDE" w:tentative="1">
      <w:start w:val="1"/>
      <w:numFmt w:val="bullet"/>
      <w:lvlText w:val="•"/>
      <w:lvlJc w:val="left"/>
      <w:pPr>
        <w:tabs>
          <w:tab w:val="num" w:pos="5040"/>
        </w:tabs>
        <w:ind w:left="5040" w:hanging="360"/>
      </w:pPr>
      <w:rPr>
        <w:rFonts w:ascii="Arial" w:hAnsi="Arial" w:hint="default"/>
      </w:rPr>
    </w:lvl>
    <w:lvl w:ilvl="7" w:tplc="DBB4058A" w:tentative="1">
      <w:start w:val="1"/>
      <w:numFmt w:val="bullet"/>
      <w:lvlText w:val="•"/>
      <w:lvlJc w:val="left"/>
      <w:pPr>
        <w:tabs>
          <w:tab w:val="num" w:pos="5760"/>
        </w:tabs>
        <w:ind w:left="5760" w:hanging="360"/>
      </w:pPr>
      <w:rPr>
        <w:rFonts w:ascii="Arial" w:hAnsi="Arial" w:hint="default"/>
      </w:rPr>
    </w:lvl>
    <w:lvl w:ilvl="8" w:tplc="EB8C119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79E197A"/>
    <w:multiLevelType w:val="hybridMultilevel"/>
    <w:tmpl w:val="396A0086"/>
    <w:lvl w:ilvl="0" w:tplc="04030015">
      <w:start w:val="1"/>
      <w:numFmt w:val="upp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9CA658F"/>
    <w:multiLevelType w:val="hybridMultilevel"/>
    <w:tmpl w:val="120A8FDC"/>
    <w:lvl w:ilvl="0" w:tplc="FB521028">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2A117CED"/>
    <w:multiLevelType w:val="hybridMultilevel"/>
    <w:tmpl w:val="DCBEDFB4"/>
    <w:lvl w:ilvl="0" w:tplc="41CEDD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CF0305B"/>
    <w:multiLevelType w:val="multilevel"/>
    <w:tmpl w:val="947E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121A78"/>
    <w:multiLevelType w:val="hybridMultilevel"/>
    <w:tmpl w:val="DC880B4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3AA456BD"/>
    <w:multiLevelType w:val="hybridMultilevel"/>
    <w:tmpl w:val="B152464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E9A5113"/>
    <w:multiLevelType w:val="multilevel"/>
    <w:tmpl w:val="139C9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64643B"/>
    <w:multiLevelType w:val="hybridMultilevel"/>
    <w:tmpl w:val="F73450E0"/>
    <w:lvl w:ilvl="0" w:tplc="41CEDD14">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636479A"/>
    <w:multiLevelType w:val="hybridMultilevel"/>
    <w:tmpl w:val="EA623DA8"/>
    <w:lvl w:ilvl="0" w:tplc="41CEDD1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460D8C"/>
    <w:multiLevelType w:val="hybridMultilevel"/>
    <w:tmpl w:val="EEAE48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D1274A2"/>
    <w:multiLevelType w:val="hybridMultilevel"/>
    <w:tmpl w:val="85A22946"/>
    <w:lvl w:ilvl="0" w:tplc="41CEDD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EF00DAC"/>
    <w:multiLevelType w:val="hybridMultilevel"/>
    <w:tmpl w:val="496C2900"/>
    <w:lvl w:ilvl="0" w:tplc="8222E0D4">
      <w:start w:val="1"/>
      <w:numFmt w:val="bullet"/>
      <w:lvlText w:val="ꟷ"/>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507F56BB"/>
    <w:multiLevelType w:val="multilevel"/>
    <w:tmpl w:val="3668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D43494"/>
    <w:multiLevelType w:val="hybridMultilevel"/>
    <w:tmpl w:val="84E6FD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43074BB"/>
    <w:multiLevelType w:val="multilevel"/>
    <w:tmpl w:val="01A205A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4F6170C"/>
    <w:multiLevelType w:val="hybridMultilevel"/>
    <w:tmpl w:val="A5EA98A2"/>
    <w:lvl w:ilvl="0" w:tplc="14DE0E00">
      <w:start w:val="1"/>
      <w:numFmt w:val="bullet"/>
      <w:lvlText w:val="•"/>
      <w:lvlJc w:val="left"/>
      <w:pPr>
        <w:tabs>
          <w:tab w:val="num" w:pos="720"/>
        </w:tabs>
        <w:ind w:left="720" w:hanging="360"/>
      </w:pPr>
      <w:rPr>
        <w:rFonts w:ascii="Arial" w:hAnsi="Arial" w:hint="default"/>
      </w:rPr>
    </w:lvl>
    <w:lvl w:ilvl="1" w:tplc="7EC6F2EE" w:tentative="1">
      <w:start w:val="1"/>
      <w:numFmt w:val="bullet"/>
      <w:lvlText w:val="•"/>
      <w:lvlJc w:val="left"/>
      <w:pPr>
        <w:tabs>
          <w:tab w:val="num" w:pos="1440"/>
        </w:tabs>
        <w:ind w:left="1440" w:hanging="360"/>
      </w:pPr>
      <w:rPr>
        <w:rFonts w:ascii="Arial" w:hAnsi="Arial" w:hint="default"/>
      </w:rPr>
    </w:lvl>
    <w:lvl w:ilvl="2" w:tplc="509AB870" w:tentative="1">
      <w:start w:val="1"/>
      <w:numFmt w:val="bullet"/>
      <w:lvlText w:val="•"/>
      <w:lvlJc w:val="left"/>
      <w:pPr>
        <w:tabs>
          <w:tab w:val="num" w:pos="2160"/>
        </w:tabs>
        <w:ind w:left="2160" w:hanging="360"/>
      </w:pPr>
      <w:rPr>
        <w:rFonts w:ascii="Arial" w:hAnsi="Arial" w:hint="default"/>
      </w:rPr>
    </w:lvl>
    <w:lvl w:ilvl="3" w:tplc="20A60146" w:tentative="1">
      <w:start w:val="1"/>
      <w:numFmt w:val="bullet"/>
      <w:lvlText w:val="•"/>
      <w:lvlJc w:val="left"/>
      <w:pPr>
        <w:tabs>
          <w:tab w:val="num" w:pos="2880"/>
        </w:tabs>
        <w:ind w:left="2880" w:hanging="360"/>
      </w:pPr>
      <w:rPr>
        <w:rFonts w:ascii="Arial" w:hAnsi="Arial" w:hint="default"/>
      </w:rPr>
    </w:lvl>
    <w:lvl w:ilvl="4" w:tplc="366C4080" w:tentative="1">
      <w:start w:val="1"/>
      <w:numFmt w:val="bullet"/>
      <w:lvlText w:val="•"/>
      <w:lvlJc w:val="left"/>
      <w:pPr>
        <w:tabs>
          <w:tab w:val="num" w:pos="3600"/>
        </w:tabs>
        <w:ind w:left="3600" w:hanging="360"/>
      </w:pPr>
      <w:rPr>
        <w:rFonts w:ascii="Arial" w:hAnsi="Arial" w:hint="default"/>
      </w:rPr>
    </w:lvl>
    <w:lvl w:ilvl="5" w:tplc="F3F8F820" w:tentative="1">
      <w:start w:val="1"/>
      <w:numFmt w:val="bullet"/>
      <w:lvlText w:val="•"/>
      <w:lvlJc w:val="left"/>
      <w:pPr>
        <w:tabs>
          <w:tab w:val="num" w:pos="4320"/>
        </w:tabs>
        <w:ind w:left="4320" w:hanging="360"/>
      </w:pPr>
      <w:rPr>
        <w:rFonts w:ascii="Arial" w:hAnsi="Arial" w:hint="default"/>
      </w:rPr>
    </w:lvl>
    <w:lvl w:ilvl="6" w:tplc="80C8D6CC" w:tentative="1">
      <w:start w:val="1"/>
      <w:numFmt w:val="bullet"/>
      <w:lvlText w:val="•"/>
      <w:lvlJc w:val="left"/>
      <w:pPr>
        <w:tabs>
          <w:tab w:val="num" w:pos="5040"/>
        </w:tabs>
        <w:ind w:left="5040" w:hanging="360"/>
      </w:pPr>
      <w:rPr>
        <w:rFonts w:ascii="Arial" w:hAnsi="Arial" w:hint="default"/>
      </w:rPr>
    </w:lvl>
    <w:lvl w:ilvl="7" w:tplc="01961626" w:tentative="1">
      <w:start w:val="1"/>
      <w:numFmt w:val="bullet"/>
      <w:lvlText w:val="•"/>
      <w:lvlJc w:val="left"/>
      <w:pPr>
        <w:tabs>
          <w:tab w:val="num" w:pos="5760"/>
        </w:tabs>
        <w:ind w:left="5760" w:hanging="360"/>
      </w:pPr>
      <w:rPr>
        <w:rFonts w:ascii="Arial" w:hAnsi="Arial" w:hint="default"/>
      </w:rPr>
    </w:lvl>
    <w:lvl w:ilvl="8" w:tplc="EFB6E31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51D749D"/>
    <w:multiLevelType w:val="multilevel"/>
    <w:tmpl w:val="01A205A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D391B5B"/>
    <w:multiLevelType w:val="multilevel"/>
    <w:tmpl w:val="53DE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004A86"/>
    <w:multiLevelType w:val="multilevel"/>
    <w:tmpl w:val="844AA79A"/>
    <w:lvl w:ilvl="0">
      <w:start w:val="3"/>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6B6F4AE2"/>
    <w:multiLevelType w:val="hybridMultilevel"/>
    <w:tmpl w:val="0DC0BA4C"/>
    <w:lvl w:ilvl="0" w:tplc="9902522A">
      <w:start w:val="1"/>
      <w:numFmt w:val="bullet"/>
      <w:lvlText w:val="•"/>
      <w:lvlJc w:val="left"/>
      <w:pPr>
        <w:tabs>
          <w:tab w:val="num" w:pos="720"/>
        </w:tabs>
        <w:ind w:left="720" w:hanging="360"/>
      </w:pPr>
      <w:rPr>
        <w:rFonts w:ascii="Arial" w:hAnsi="Arial" w:hint="default"/>
      </w:rPr>
    </w:lvl>
    <w:lvl w:ilvl="1" w:tplc="68342F2C" w:tentative="1">
      <w:start w:val="1"/>
      <w:numFmt w:val="bullet"/>
      <w:lvlText w:val="•"/>
      <w:lvlJc w:val="left"/>
      <w:pPr>
        <w:tabs>
          <w:tab w:val="num" w:pos="1440"/>
        </w:tabs>
        <w:ind w:left="1440" w:hanging="360"/>
      </w:pPr>
      <w:rPr>
        <w:rFonts w:ascii="Arial" w:hAnsi="Arial" w:hint="default"/>
      </w:rPr>
    </w:lvl>
    <w:lvl w:ilvl="2" w:tplc="02CE039C" w:tentative="1">
      <w:start w:val="1"/>
      <w:numFmt w:val="bullet"/>
      <w:lvlText w:val="•"/>
      <w:lvlJc w:val="left"/>
      <w:pPr>
        <w:tabs>
          <w:tab w:val="num" w:pos="2160"/>
        </w:tabs>
        <w:ind w:left="2160" w:hanging="360"/>
      </w:pPr>
      <w:rPr>
        <w:rFonts w:ascii="Arial" w:hAnsi="Arial" w:hint="default"/>
      </w:rPr>
    </w:lvl>
    <w:lvl w:ilvl="3" w:tplc="C36A5672" w:tentative="1">
      <w:start w:val="1"/>
      <w:numFmt w:val="bullet"/>
      <w:lvlText w:val="•"/>
      <w:lvlJc w:val="left"/>
      <w:pPr>
        <w:tabs>
          <w:tab w:val="num" w:pos="2880"/>
        </w:tabs>
        <w:ind w:left="2880" w:hanging="360"/>
      </w:pPr>
      <w:rPr>
        <w:rFonts w:ascii="Arial" w:hAnsi="Arial" w:hint="default"/>
      </w:rPr>
    </w:lvl>
    <w:lvl w:ilvl="4" w:tplc="F01ADB80" w:tentative="1">
      <w:start w:val="1"/>
      <w:numFmt w:val="bullet"/>
      <w:lvlText w:val="•"/>
      <w:lvlJc w:val="left"/>
      <w:pPr>
        <w:tabs>
          <w:tab w:val="num" w:pos="3600"/>
        </w:tabs>
        <w:ind w:left="3600" w:hanging="360"/>
      </w:pPr>
      <w:rPr>
        <w:rFonts w:ascii="Arial" w:hAnsi="Arial" w:hint="default"/>
      </w:rPr>
    </w:lvl>
    <w:lvl w:ilvl="5" w:tplc="3CDE6F0C" w:tentative="1">
      <w:start w:val="1"/>
      <w:numFmt w:val="bullet"/>
      <w:lvlText w:val="•"/>
      <w:lvlJc w:val="left"/>
      <w:pPr>
        <w:tabs>
          <w:tab w:val="num" w:pos="4320"/>
        </w:tabs>
        <w:ind w:left="4320" w:hanging="360"/>
      </w:pPr>
      <w:rPr>
        <w:rFonts w:ascii="Arial" w:hAnsi="Arial" w:hint="default"/>
      </w:rPr>
    </w:lvl>
    <w:lvl w:ilvl="6" w:tplc="8162F7B4" w:tentative="1">
      <w:start w:val="1"/>
      <w:numFmt w:val="bullet"/>
      <w:lvlText w:val="•"/>
      <w:lvlJc w:val="left"/>
      <w:pPr>
        <w:tabs>
          <w:tab w:val="num" w:pos="5040"/>
        </w:tabs>
        <w:ind w:left="5040" w:hanging="360"/>
      </w:pPr>
      <w:rPr>
        <w:rFonts w:ascii="Arial" w:hAnsi="Arial" w:hint="default"/>
      </w:rPr>
    </w:lvl>
    <w:lvl w:ilvl="7" w:tplc="4A60B8A0" w:tentative="1">
      <w:start w:val="1"/>
      <w:numFmt w:val="bullet"/>
      <w:lvlText w:val="•"/>
      <w:lvlJc w:val="left"/>
      <w:pPr>
        <w:tabs>
          <w:tab w:val="num" w:pos="5760"/>
        </w:tabs>
        <w:ind w:left="5760" w:hanging="360"/>
      </w:pPr>
      <w:rPr>
        <w:rFonts w:ascii="Arial" w:hAnsi="Arial" w:hint="default"/>
      </w:rPr>
    </w:lvl>
    <w:lvl w:ilvl="8" w:tplc="652234A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0925D75"/>
    <w:multiLevelType w:val="multilevel"/>
    <w:tmpl w:val="4C4C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6F714E"/>
    <w:multiLevelType w:val="multilevel"/>
    <w:tmpl w:val="C512D3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B66E1B"/>
    <w:multiLevelType w:val="hybridMultilevel"/>
    <w:tmpl w:val="A7AAA4BC"/>
    <w:lvl w:ilvl="0" w:tplc="41CEDD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2D933C7"/>
    <w:multiLevelType w:val="hybridMultilevel"/>
    <w:tmpl w:val="3C38AE1C"/>
    <w:lvl w:ilvl="0" w:tplc="41CEDD14">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74D16663"/>
    <w:multiLevelType w:val="hybridMultilevel"/>
    <w:tmpl w:val="6311C2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6130753"/>
    <w:multiLevelType w:val="hybridMultilevel"/>
    <w:tmpl w:val="F19C8064"/>
    <w:lvl w:ilvl="0" w:tplc="F17A541A">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77513B57"/>
    <w:multiLevelType w:val="hybridMultilevel"/>
    <w:tmpl w:val="5D92FDB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79627217"/>
    <w:multiLevelType w:val="hybridMultilevel"/>
    <w:tmpl w:val="7514EE88"/>
    <w:lvl w:ilvl="0" w:tplc="97D431DC">
      <w:start w:val="1"/>
      <w:numFmt w:val="lowerRoman"/>
      <w:lvlText w:val="%1)"/>
      <w:lvlJc w:val="left"/>
      <w:pPr>
        <w:ind w:left="1080" w:hanging="720"/>
      </w:pPr>
      <w:rPr>
        <w:rFonts w:asciiTheme="minorHAnsi" w:eastAsiaTheme="minorHAnsi" w:hAnsiTheme="minorHAnsi" w:cstheme="minorBid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7C1038EB"/>
    <w:multiLevelType w:val="hybridMultilevel"/>
    <w:tmpl w:val="946EE20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7"/>
  </w:num>
  <w:num w:numId="2">
    <w:abstractNumId w:val="37"/>
  </w:num>
  <w:num w:numId="3">
    <w:abstractNumId w:val="42"/>
  </w:num>
  <w:num w:numId="4">
    <w:abstractNumId w:val="27"/>
  </w:num>
  <w:num w:numId="5">
    <w:abstractNumId w:val="21"/>
  </w:num>
  <w:num w:numId="6">
    <w:abstractNumId w:val="32"/>
  </w:num>
  <w:num w:numId="7">
    <w:abstractNumId w:val="6"/>
  </w:num>
  <w:num w:numId="8">
    <w:abstractNumId w:val="13"/>
  </w:num>
  <w:num w:numId="9">
    <w:abstractNumId w:val="9"/>
  </w:num>
  <w:num w:numId="10">
    <w:abstractNumId w:val="33"/>
  </w:num>
  <w:num w:numId="11">
    <w:abstractNumId w:val="29"/>
  </w:num>
  <w:num w:numId="12">
    <w:abstractNumId w:val="8"/>
  </w:num>
  <w:num w:numId="13">
    <w:abstractNumId w:val="1"/>
  </w:num>
  <w:num w:numId="14">
    <w:abstractNumId w:val="25"/>
  </w:num>
  <w:num w:numId="15">
    <w:abstractNumId w:val="15"/>
  </w:num>
  <w:num w:numId="16">
    <w:abstractNumId w:val="41"/>
  </w:num>
  <w:num w:numId="17">
    <w:abstractNumId w:val="39"/>
  </w:num>
  <w:num w:numId="18">
    <w:abstractNumId w:val="0"/>
  </w:num>
  <w:num w:numId="19">
    <w:abstractNumId w:val="38"/>
  </w:num>
  <w:num w:numId="20">
    <w:abstractNumId w:val="16"/>
  </w:num>
  <w:num w:numId="21">
    <w:abstractNumId w:val="10"/>
  </w:num>
  <w:num w:numId="22">
    <w:abstractNumId w:val="4"/>
  </w:num>
  <w:num w:numId="23">
    <w:abstractNumId w:val="2"/>
  </w:num>
  <w:num w:numId="24">
    <w:abstractNumId w:val="24"/>
  </w:num>
  <w:num w:numId="25">
    <w:abstractNumId w:val="36"/>
  </w:num>
  <w:num w:numId="26">
    <w:abstractNumId w:val="23"/>
  </w:num>
  <w:num w:numId="27">
    <w:abstractNumId w:val="20"/>
  </w:num>
  <w:num w:numId="28">
    <w:abstractNumId w:val="31"/>
  </w:num>
  <w:num w:numId="29">
    <w:abstractNumId w:val="7"/>
  </w:num>
  <w:num w:numId="30">
    <w:abstractNumId w:val="12"/>
  </w:num>
  <w:num w:numId="31">
    <w:abstractNumId w:val="14"/>
  </w:num>
  <w:num w:numId="32">
    <w:abstractNumId w:val="5"/>
  </w:num>
  <w:num w:numId="33">
    <w:abstractNumId w:val="28"/>
  </w:num>
  <w:num w:numId="34">
    <w:abstractNumId w:val="18"/>
  </w:num>
  <w:num w:numId="35">
    <w:abstractNumId w:val="26"/>
  </w:num>
  <w:num w:numId="36">
    <w:abstractNumId w:val="30"/>
  </w:num>
  <w:num w:numId="37">
    <w:abstractNumId w:val="11"/>
  </w:num>
  <w:num w:numId="38">
    <w:abstractNumId w:val="35"/>
  </w:num>
  <w:num w:numId="39">
    <w:abstractNumId w:val="19"/>
  </w:num>
  <w:num w:numId="40">
    <w:abstractNumId w:val="22"/>
  </w:num>
  <w:num w:numId="41">
    <w:abstractNumId w:val="3"/>
  </w:num>
  <w:num w:numId="42">
    <w:abstractNumId w:val="34"/>
  </w:num>
  <w:num w:numId="43">
    <w:abstractNumId w:val="4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69F"/>
    <w:rsid w:val="000015C9"/>
    <w:rsid w:val="000072BC"/>
    <w:rsid w:val="000100CE"/>
    <w:rsid w:val="000107D8"/>
    <w:rsid w:val="00010CB6"/>
    <w:rsid w:val="00013F30"/>
    <w:rsid w:val="0001703B"/>
    <w:rsid w:val="0002138F"/>
    <w:rsid w:val="000260C3"/>
    <w:rsid w:val="000268A5"/>
    <w:rsid w:val="000268F4"/>
    <w:rsid w:val="00034139"/>
    <w:rsid w:val="00034240"/>
    <w:rsid w:val="00034E18"/>
    <w:rsid w:val="000364B3"/>
    <w:rsid w:val="000374E6"/>
    <w:rsid w:val="0004113F"/>
    <w:rsid w:val="0004587E"/>
    <w:rsid w:val="0004601B"/>
    <w:rsid w:val="00047F8E"/>
    <w:rsid w:val="0005324C"/>
    <w:rsid w:val="000543CE"/>
    <w:rsid w:val="00057193"/>
    <w:rsid w:val="00062B76"/>
    <w:rsid w:val="0006473A"/>
    <w:rsid w:val="00066FC1"/>
    <w:rsid w:val="00074461"/>
    <w:rsid w:val="0008002B"/>
    <w:rsid w:val="0008086A"/>
    <w:rsid w:val="000839BB"/>
    <w:rsid w:val="00086260"/>
    <w:rsid w:val="00096D4D"/>
    <w:rsid w:val="000A50D8"/>
    <w:rsid w:val="000A6C16"/>
    <w:rsid w:val="000A7AC0"/>
    <w:rsid w:val="000B0068"/>
    <w:rsid w:val="000B7627"/>
    <w:rsid w:val="000B7F18"/>
    <w:rsid w:val="000C714D"/>
    <w:rsid w:val="000D0C56"/>
    <w:rsid w:val="000D3BFF"/>
    <w:rsid w:val="000D4531"/>
    <w:rsid w:val="000E172F"/>
    <w:rsid w:val="000E1F46"/>
    <w:rsid w:val="000E20FE"/>
    <w:rsid w:val="000E23E4"/>
    <w:rsid w:val="000E2B59"/>
    <w:rsid w:val="00103C7C"/>
    <w:rsid w:val="001129D7"/>
    <w:rsid w:val="00113642"/>
    <w:rsid w:val="00117A3E"/>
    <w:rsid w:val="00117CBD"/>
    <w:rsid w:val="00117E03"/>
    <w:rsid w:val="001204AF"/>
    <w:rsid w:val="00120FEB"/>
    <w:rsid w:val="001258B3"/>
    <w:rsid w:val="0013010F"/>
    <w:rsid w:val="00133052"/>
    <w:rsid w:val="0013552C"/>
    <w:rsid w:val="00145F4B"/>
    <w:rsid w:val="00147411"/>
    <w:rsid w:val="00150359"/>
    <w:rsid w:val="001511EC"/>
    <w:rsid w:val="0015155D"/>
    <w:rsid w:val="0015481D"/>
    <w:rsid w:val="00154CE3"/>
    <w:rsid w:val="00155260"/>
    <w:rsid w:val="001562C1"/>
    <w:rsid w:val="0016079B"/>
    <w:rsid w:val="001642C3"/>
    <w:rsid w:val="00167428"/>
    <w:rsid w:val="00174E4A"/>
    <w:rsid w:val="001769C7"/>
    <w:rsid w:val="001772B4"/>
    <w:rsid w:val="0017794D"/>
    <w:rsid w:val="001814F7"/>
    <w:rsid w:val="001818CF"/>
    <w:rsid w:val="00182D16"/>
    <w:rsid w:val="0018448B"/>
    <w:rsid w:val="0018590F"/>
    <w:rsid w:val="0019136B"/>
    <w:rsid w:val="0019655F"/>
    <w:rsid w:val="00196F25"/>
    <w:rsid w:val="001A6964"/>
    <w:rsid w:val="001B12A5"/>
    <w:rsid w:val="001B1CA7"/>
    <w:rsid w:val="001B2442"/>
    <w:rsid w:val="001C5A7D"/>
    <w:rsid w:val="001C7010"/>
    <w:rsid w:val="001D44FA"/>
    <w:rsid w:val="001D63B5"/>
    <w:rsid w:val="001E30C0"/>
    <w:rsid w:val="001E4D72"/>
    <w:rsid w:val="001E6479"/>
    <w:rsid w:val="001E6E23"/>
    <w:rsid w:val="001E7AF8"/>
    <w:rsid w:val="001F152A"/>
    <w:rsid w:val="001F60DD"/>
    <w:rsid w:val="001F6779"/>
    <w:rsid w:val="001F6A9E"/>
    <w:rsid w:val="00204CE6"/>
    <w:rsid w:val="002052FC"/>
    <w:rsid w:val="002054FB"/>
    <w:rsid w:val="002119C4"/>
    <w:rsid w:val="00213EDA"/>
    <w:rsid w:val="002141E8"/>
    <w:rsid w:val="00221502"/>
    <w:rsid w:val="0022207E"/>
    <w:rsid w:val="00223D18"/>
    <w:rsid w:val="00223D46"/>
    <w:rsid w:val="002263CF"/>
    <w:rsid w:val="0022646A"/>
    <w:rsid w:val="00241836"/>
    <w:rsid w:val="002439DA"/>
    <w:rsid w:val="00244A09"/>
    <w:rsid w:val="00247EF8"/>
    <w:rsid w:val="002504EE"/>
    <w:rsid w:val="0025089A"/>
    <w:rsid w:val="002534FD"/>
    <w:rsid w:val="0025518E"/>
    <w:rsid w:val="00260BC2"/>
    <w:rsid w:val="002612A9"/>
    <w:rsid w:val="00262491"/>
    <w:rsid w:val="00277ABE"/>
    <w:rsid w:val="002860FB"/>
    <w:rsid w:val="002877B1"/>
    <w:rsid w:val="00293E45"/>
    <w:rsid w:val="002A17B4"/>
    <w:rsid w:val="002B06A6"/>
    <w:rsid w:val="002B09EC"/>
    <w:rsid w:val="002B127C"/>
    <w:rsid w:val="002B5F62"/>
    <w:rsid w:val="002C0B37"/>
    <w:rsid w:val="002C4227"/>
    <w:rsid w:val="002D0011"/>
    <w:rsid w:val="002D144C"/>
    <w:rsid w:val="002D1556"/>
    <w:rsid w:val="002D2AE9"/>
    <w:rsid w:val="002D2D2B"/>
    <w:rsid w:val="002D3747"/>
    <w:rsid w:val="002D3B29"/>
    <w:rsid w:val="002E0074"/>
    <w:rsid w:val="002E53C1"/>
    <w:rsid w:val="002E60FF"/>
    <w:rsid w:val="002E7904"/>
    <w:rsid w:val="002E7994"/>
    <w:rsid w:val="002F0478"/>
    <w:rsid w:val="002F58E6"/>
    <w:rsid w:val="003029B2"/>
    <w:rsid w:val="00303D19"/>
    <w:rsid w:val="00304316"/>
    <w:rsid w:val="00307D8B"/>
    <w:rsid w:val="00323B0E"/>
    <w:rsid w:val="00325975"/>
    <w:rsid w:val="00325FC4"/>
    <w:rsid w:val="003278B8"/>
    <w:rsid w:val="00333047"/>
    <w:rsid w:val="00336098"/>
    <w:rsid w:val="00340BD7"/>
    <w:rsid w:val="00341331"/>
    <w:rsid w:val="003431D9"/>
    <w:rsid w:val="00343A8F"/>
    <w:rsid w:val="00351955"/>
    <w:rsid w:val="00352F1C"/>
    <w:rsid w:val="00353294"/>
    <w:rsid w:val="003552B0"/>
    <w:rsid w:val="003556D1"/>
    <w:rsid w:val="003602A4"/>
    <w:rsid w:val="003609F5"/>
    <w:rsid w:val="00361226"/>
    <w:rsid w:val="003618B0"/>
    <w:rsid w:val="0036596E"/>
    <w:rsid w:val="003716A6"/>
    <w:rsid w:val="00372431"/>
    <w:rsid w:val="00374960"/>
    <w:rsid w:val="0038577A"/>
    <w:rsid w:val="00386856"/>
    <w:rsid w:val="00390749"/>
    <w:rsid w:val="00393F65"/>
    <w:rsid w:val="003946C7"/>
    <w:rsid w:val="00394ACF"/>
    <w:rsid w:val="0039508E"/>
    <w:rsid w:val="003961D8"/>
    <w:rsid w:val="003B003A"/>
    <w:rsid w:val="003B0CAC"/>
    <w:rsid w:val="003B67E6"/>
    <w:rsid w:val="003C5EB5"/>
    <w:rsid w:val="003C7AF0"/>
    <w:rsid w:val="003C7F60"/>
    <w:rsid w:val="003D3E76"/>
    <w:rsid w:val="003D43DB"/>
    <w:rsid w:val="003D66C6"/>
    <w:rsid w:val="003F69CE"/>
    <w:rsid w:val="004037CB"/>
    <w:rsid w:val="00403E1E"/>
    <w:rsid w:val="00413FE3"/>
    <w:rsid w:val="00416A6A"/>
    <w:rsid w:val="004173EB"/>
    <w:rsid w:val="00420DF2"/>
    <w:rsid w:val="00422B29"/>
    <w:rsid w:val="00423124"/>
    <w:rsid w:val="004260E9"/>
    <w:rsid w:val="0042787C"/>
    <w:rsid w:val="00431267"/>
    <w:rsid w:val="004369AE"/>
    <w:rsid w:val="00444CE9"/>
    <w:rsid w:val="00445E96"/>
    <w:rsid w:val="00447A53"/>
    <w:rsid w:val="00447D67"/>
    <w:rsid w:val="004522D1"/>
    <w:rsid w:val="004539C9"/>
    <w:rsid w:val="00454222"/>
    <w:rsid w:val="00457EBE"/>
    <w:rsid w:val="00461AC0"/>
    <w:rsid w:val="004633F6"/>
    <w:rsid w:val="00464F27"/>
    <w:rsid w:val="0046781B"/>
    <w:rsid w:val="00474E5A"/>
    <w:rsid w:val="00475488"/>
    <w:rsid w:val="004767D6"/>
    <w:rsid w:val="00483DE6"/>
    <w:rsid w:val="00494771"/>
    <w:rsid w:val="004A0590"/>
    <w:rsid w:val="004A1F4F"/>
    <w:rsid w:val="004A4776"/>
    <w:rsid w:val="004B0346"/>
    <w:rsid w:val="004B1FD0"/>
    <w:rsid w:val="004B43CD"/>
    <w:rsid w:val="004C049D"/>
    <w:rsid w:val="004C04F2"/>
    <w:rsid w:val="004C1829"/>
    <w:rsid w:val="004C4D5B"/>
    <w:rsid w:val="004C5E9E"/>
    <w:rsid w:val="004D5606"/>
    <w:rsid w:val="004E6900"/>
    <w:rsid w:val="004E6D84"/>
    <w:rsid w:val="004E7732"/>
    <w:rsid w:val="004E7FCF"/>
    <w:rsid w:val="004F3BF1"/>
    <w:rsid w:val="00504F3D"/>
    <w:rsid w:val="0050705B"/>
    <w:rsid w:val="0051426F"/>
    <w:rsid w:val="00516EE7"/>
    <w:rsid w:val="005227EA"/>
    <w:rsid w:val="00523B58"/>
    <w:rsid w:val="00526C74"/>
    <w:rsid w:val="005330C3"/>
    <w:rsid w:val="00542C49"/>
    <w:rsid w:val="00545D32"/>
    <w:rsid w:val="0054706B"/>
    <w:rsid w:val="005518F5"/>
    <w:rsid w:val="00551EC4"/>
    <w:rsid w:val="00557E26"/>
    <w:rsid w:val="00562843"/>
    <w:rsid w:val="00562F26"/>
    <w:rsid w:val="00565567"/>
    <w:rsid w:val="00565662"/>
    <w:rsid w:val="005706AC"/>
    <w:rsid w:val="00571AD7"/>
    <w:rsid w:val="00572458"/>
    <w:rsid w:val="00574F98"/>
    <w:rsid w:val="00576D24"/>
    <w:rsid w:val="00585A27"/>
    <w:rsid w:val="00587084"/>
    <w:rsid w:val="00592F75"/>
    <w:rsid w:val="00594615"/>
    <w:rsid w:val="005950F7"/>
    <w:rsid w:val="00595A46"/>
    <w:rsid w:val="0059730D"/>
    <w:rsid w:val="005979E7"/>
    <w:rsid w:val="005A02FE"/>
    <w:rsid w:val="005A4B57"/>
    <w:rsid w:val="005A7444"/>
    <w:rsid w:val="005A7B9D"/>
    <w:rsid w:val="005A7CD8"/>
    <w:rsid w:val="005B2374"/>
    <w:rsid w:val="005B3317"/>
    <w:rsid w:val="005C2C97"/>
    <w:rsid w:val="005D203F"/>
    <w:rsid w:val="005D3840"/>
    <w:rsid w:val="005D4C6A"/>
    <w:rsid w:val="005D532E"/>
    <w:rsid w:val="005D6A4C"/>
    <w:rsid w:val="005E0B5B"/>
    <w:rsid w:val="005E0BBA"/>
    <w:rsid w:val="005E439C"/>
    <w:rsid w:val="005E7E9F"/>
    <w:rsid w:val="005F2EBA"/>
    <w:rsid w:val="005F3AB0"/>
    <w:rsid w:val="005F3F84"/>
    <w:rsid w:val="005F6FEE"/>
    <w:rsid w:val="00601D5D"/>
    <w:rsid w:val="00604284"/>
    <w:rsid w:val="00606C53"/>
    <w:rsid w:val="00621787"/>
    <w:rsid w:val="00621A5E"/>
    <w:rsid w:val="0062677C"/>
    <w:rsid w:val="00634455"/>
    <w:rsid w:val="00640270"/>
    <w:rsid w:val="00640469"/>
    <w:rsid w:val="00640FC2"/>
    <w:rsid w:val="00644435"/>
    <w:rsid w:val="00651974"/>
    <w:rsid w:val="0066077A"/>
    <w:rsid w:val="00664F02"/>
    <w:rsid w:val="006677DD"/>
    <w:rsid w:val="00667A69"/>
    <w:rsid w:val="00670CA8"/>
    <w:rsid w:val="006806F9"/>
    <w:rsid w:val="0068543F"/>
    <w:rsid w:val="00687F24"/>
    <w:rsid w:val="0069477B"/>
    <w:rsid w:val="00697AC9"/>
    <w:rsid w:val="006A60C9"/>
    <w:rsid w:val="006A7931"/>
    <w:rsid w:val="006B526D"/>
    <w:rsid w:val="006B6A30"/>
    <w:rsid w:val="006B78D4"/>
    <w:rsid w:val="006C5F84"/>
    <w:rsid w:val="006D0896"/>
    <w:rsid w:val="006D24A0"/>
    <w:rsid w:val="006D530D"/>
    <w:rsid w:val="006D5EA4"/>
    <w:rsid w:val="006D61E2"/>
    <w:rsid w:val="006E283B"/>
    <w:rsid w:val="006E3603"/>
    <w:rsid w:val="006E43F9"/>
    <w:rsid w:val="006F09A0"/>
    <w:rsid w:val="006F242A"/>
    <w:rsid w:val="0070017E"/>
    <w:rsid w:val="00700AE7"/>
    <w:rsid w:val="0070236F"/>
    <w:rsid w:val="00703953"/>
    <w:rsid w:val="0070648A"/>
    <w:rsid w:val="007069B3"/>
    <w:rsid w:val="0070744D"/>
    <w:rsid w:val="00707510"/>
    <w:rsid w:val="00710809"/>
    <w:rsid w:val="00713919"/>
    <w:rsid w:val="00722C00"/>
    <w:rsid w:val="00723813"/>
    <w:rsid w:val="00727FF7"/>
    <w:rsid w:val="00730518"/>
    <w:rsid w:val="00730D77"/>
    <w:rsid w:val="007322FF"/>
    <w:rsid w:val="007347BA"/>
    <w:rsid w:val="00734CF4"/>
    <w:rsid w:val="00737421"/>
    <w:rsid w:val="00740009"/>
    <w:rsid w:val="00745A9B"/>
    <w:rsid w:val="00746EB7"/>
    <w:rsid w:val="00752E9E"/>
    <w:rsid w:val="00752F23"/>
    <w:rsid w:val="00753BF2"/>
    <w:rsid w:val="00761DAA"/>
    <w:rsid w:val="00762183"/>
    <w:rsid w:val="00762B2A"/>
    <w:rsid w:val="00763811"/>
    <w:rsid w:val="0077010A"/>
    <w:rsid w:val="0077235E"/>
    <w:rsid w:val="00784A8E"/>
    <w:rsid w:val="00790589"/>
    <w:rsid w:val="00791CB8"/>
    <w:rsid w:val="00793606"/>
    <w:rsid w:val="00793F2E"/>
    <w:rsid w:val="00795912"/>
    <w:rsid w:val="007A149B"/>
    <w:rsid w:val="007A7160"/>
    <w:rsid w:val="007B1972"/>
    <w:rsid w:val="007C04D9"/>
    <w:rsid w:val="007C1B0C"/>
    <w:rsid w:val="007C6446"/>
    <w:rsid w:val="007D0747"/>
    <w:rsid w:val="007D1543"/>
    <w:rsid w:val="007D3689"/>
    <w:rsid w:val="007D4A95"/>
    <w:rsid w:val="007D51D1"/>
    <w:rsid w:val="007D6E9D"/>
    <w:rsid w:val="007D7F41"/>
    <w:rsid w:val="007E3E31"/>
    <w:rsid w:val="007E4C0F"/>
    <w:rsid w:val="007E5694"/>
    <w:rsid w:val="007E5B03"/>
    <w:rsid w:val="007F25B0"/>
    <w:rsid w:val="007F25BF"/>
    <w:rsid w:val="007F6D11"/>
    <w:rsid w:val="00801918"/>
    <w:rsid w:val="00802957"/>
    <w:rsid w:val="0080353E"/>
    <w:rsid w:val="00805F39"/>
    <w:rsid w:val="0080792B"/>
    <w:rsid w:val="00811FC8"/>
    <w:rsid w:val="00814C45"/>
    <w:rsid w:val="0081589A"/>
    <w:rsid w:val="0081598D"/>
    <w:rsid w:val="00816674"/>
    <w:rsid w:val="00820584"/>
    <w:rsid w:val="00822BC1"/>
    <w:rsid w:val="00823573"/>
    <w:rsid w:val="00825966"/>
    <w:rsid w:val="00826509"/>
    <w:rsid w:val="00832996"/>
    <w:rsid w:val="00845142"/>
    <w:rsid w:val="00846525"/>
    <w:rsid w:val="00847393"/>
    <w:rsid w:val="008529C7"/>
    <w:rsid w:val="00854904"/>
    <w:rsid w:val="00854CD0"/>
    <w:rsid w:val="00855F02"/>
    <w:rsid w:val="008571B5"/>
    <w:rsid w:val="0086056F"/>
    <w:rsid w:val="00864FE6"/>
    <w:rsid w:val="00866CC9"/>
    <w:rsid w:val="0087167E"/>
    <w:rsid w:val="00871C1C"/>
    <w:rsid w:val="0087383D"/>
    <w:rsid w:val="00884C87"/>
    <w:rsid w:val="0089308B"/>
    <w:rsid w:val="008A036F"/>
    <w:rsid w:val="008A0646"/>
    <w:rsid w:val="008A3938"/>
    <w:rsid w:val="008A4657"/>
    <w:rsid w:val="008B4B39"/>
    <w:rsid w:val="008B6955"/>
    <w:rsid w:val="008C3FA9"/>
    <w:rsid w:val="008C733E"/>
    <w:rsid w:val="008C7720"/>
    <w:rsid w:val="008C7B5B"/>
    <w:rsid w:val="008D03C2"/>
    <w:rsid w:val="008D3D6B"/>
    <w:rsid w:val="008D43C3"/>
    <w:rsid w:val="008E0AA5"/>
    <w:rsid w:val="008E2B7E"/>
    <w:rsid w:val="008E404C"/>
    <w:rsid w:val="008E68E9"/>
    <w:rsid w:val="00902A35"/>
    <w:rsid w:val="00903FED"/>
    <w:rsid w:val="0090502A"/>
    <w:rsid w:val="009120C2"/>
    <w:rsid w:val="00912EFB"/>
    <w:rsid w:val="009201B0"/>
    <w:rsid w:val="00920205"/>
    <w:rsid w:val="00922885"/>
    <w:rsid w:val="0092560D"/>
    <w:rsid w:val="00926D2C"/>
    <w:rsid w:val="009276C9"/>
    <w:rsid w:val="00931BE5"/>
    <w:rsid w:val="00935B54"/>
    <w:rsid w:val="00936AD5"/>
    <w:rsid w:val="00937910"/>
    <w:rsid w:val="00942084"/>
    <w:rsid w:val="00942CD3"/>
    <w:rsid w:val="009475F2"/>
    <w:rsid w:val="00947A63"/>
    <w:rsid w:val="00950269"/>
    <w:rsid w:val="009521ED"/>
    <w:rsid w:val="00956710"/>
    <w:rsid w:val="0096201C"/>
    <w:rsid w:val="00965FF3"/>
    <w:rsid w:val="00971AB9"/>
    <w:rsid w:val="00972B04"/>
    <w:rsid w:val="009765C7"/>
    <w:rsid w:val="00984C7F"/>
    <w:rsid w:val="00985F23"/>
    <w:rsid w:val="00987C94"/>
    <w:rsid w:val="00990B90"/>
    <w:rsid w:val="00991B6F"/>
    <w:rsid w:val="00992A64"/>
    <w:rsid w:val="00992F5A"/>
    <w:rsid w:val="009968EC"/>
    <w:rsid w:val="009A3C8C"/>
    <w:rsid w:val="009A51A0"/>
    <w:rsid w:val="009B05CD"/>
    <w:rsid w:val="009B19E3"/>
    <w:rsid w:val="009B47EC"/>
    <w:rsid w:val="009B6782"/>
    <w:rsid w:val="009B682B"/>
    <w:rsid w:val="009C3ABE"/>
    <w:rsid w:val="009C6F3C"/>
    <w:rsid w:val="009D3FA8"/>
    <w:rsid w:val="009E5A77"/>
    <w:rsid w:val="009F36ED"/>
    <w:rsid w:val="009F7A38"/>
    <w:rsid w:val="00A07B31"/>
    <w:rsid w:val="00A15812"/>
    <w:rsid w:val="00A2052C"/>
    <w:rsid w:val="00A26128"/>
    <w:rsid w:val="00A33788"/>
    <w:rsid w:val="00A406BF"/>
    <w:rsid w:val="00A441CA"/>
    <w:rsid w:val="00A61A3A"/>
    <w:rsid w:val="00A71433"/>
    <w:rsid w:val="00A743B4"/>
    <w:rsid w:val="00A80AEE"/>
    <w:rsid w:val="00A83009"/>
    <w:rsid w:val="00A8432F"/>
    <w:rsid w:val="00A85B25"/>
    <w:rsid w:val="00A91308"/>
    <w:rsid w:val="00A95A0A"/>
    <w:rsid w:val="00AA10FD"/>
    <w:rsid w:val="00AA6277"/>
    <w:rsid w:val="00AA79A5"/>
    <w:rsid w:val="00AB2C67"/>
    <w:rsid w:val="00AB34E9"/>
    <w:rsid w:val="00AB769F"/>
    <w:rsid w:val="00AC04C7"/>
    <w:rsid w:val="00AC7E19"/>
    <w:rsid w:val="00AD3BD4"/>
    <w:rsid w:val="00AD6142"/>
    <w:rsid w:val="00AE1148"/>
    <w:rsid w:val="00AE1A95"/>
    <w:rsid w:val="00AE220C"/>
    <w:rsid w:val="00AE72C7"/>
    <w:rsid w:val="00AE7972"/>
    <w:rsid w:val="00AF2D38"/>
    <w:rsid w:val="00AF3154"/>
    <w:rsid w:val="00AF4CA7"/>
    <w:rsid w:val="00B026D3"/>
    <w:rsid w:val="00B02764"/>
    <w:rsid w:val="00B03FC8"/>
    <w:rsid w:val="00B0698F"/>
    <w:rsid w:val="00B201C7"/>
    <w:rsid w:val="00B227AB"/>
    <w:rsid w:val="00B228B5"/>
    <w:rsid w:val="00B27127"/>
    <w:rsid w:val="00B30FF8"/>
    <w:rsid w:val="00B43AA2"/>
    <w:rsid w:val="00B459AD"/>
    <w:rsid w:val="00B54693"/>
    <w:rsid w:val="00B63DB7"/>
    <w:rsid w:val="00B6400E"/>
    <w:rsid w:val="00B767A8"/>
    <w:rsid w:val="00B85A00"/>
    <w:rsid w:val="00B9105E"/>
    <w:rsid w:val="00B91CA3"/>
    <w:rsid w:val="00B92D81"/>
    <w:rsid w:val="00B93B83"/>
    <w:rsid w:val="00B97690"/>
    <w:rsid w:val="00BA0FFF"/>
    <w:rsid w:val="00BA53FC"/>
    <w:rsid w:val="00BB4042"/>
    <w:rsid w:val="00BB537D"/>
    <w:rsid w:val="00BC045E"/>
    <w:rsid w:val="00BC0629"/>
    <w:rsid w:val="00BC16A9"/>
    <w:rsid w:val="00BC2155"/>
    <w:rsid w:val="00BC3360"/>
    <w:rsid w:val="00BD0326"/>
    <w:rsid w:val="00BD0ADF"/>
    <w:rsid w:val="00BD0E6C"/>
    <w:rsid w:val="00BD14BA"/>
    <w:rsid w:val="00BD1A93"/>
    <w:rsid w:val="00BD2E94"/>
    <w:rsid w:val="00BD372D"/>
    <w:rsid w:val="00BD3A51"/>
    <w:rsid w:val="00BE0410"/>
    <w:rsid w:val="00BE3BBE"/>
    <w:rsid w:val="00BE5CEF"/>
    <w:rsid w:val="00BE5E3F"/>
    <w:rsid w:val="00BE7CEC"/>
    <w:rsid w:val="00BF36FE"/>
    <w:rsid w:val="00C01B00"/>
    <w:rsid w:val="00C02968"/>
    <w:rsid w:val="00C05F0D"/>
    <w:rsid w:val="00C070B7"/>
    <w:rsid w:val="00C1068C"/>
    <w:rsid w:val="00C13003"/>
    <w:rsid w:val="00C30DCA"/>
    <w:rsid w:val="00C324EC"/>
    <w:rsid w:val="00C34545"/>
    <w:rsid w:val="00C43B97"/>
    <w:rsid w:val="00C4604F"/>
    <w:rsid w:val="00C53335"/>
    <w:rsid w:val="00C535B7"/>
    <w:rsid w:val="00C60571"/>
    <w:rsid w:val="00C62C88"/>
    <w:rsid w:val="00C641D8"/>
    <w:rsid w:val="00C65B5C"/>
    <w:rsid w:val="00C71D3C"/>
    <w:rsid w:val="00C73759"/>
    <w:rsid w:val="00C769A7"/>
    <w:rsid w:val="00C7703C"/>
    <w:rsid w:val="00C824ED"/>
    <w:rsid w:val="00C84AEF"/>
    <w:rsid w:val="00C912D3"/>
    <w:rsid w:val="00C91354"/>
    <w:rsid w:val="00C92AC1"/>
    <w:rsid w:val="00CA04AB"/>
    <w:rsid w:val="00CA304A"/>
    <w:rsid w:val="00CA33EA"/>
    <w:rsid w:val="00CA42FC"/>
    <w:rsid w:val="00CA683F"/>
    <w:rsid w:val="00CC12AF"/>
    <w:rsid w:val="00CE0EFD"/>
    <w:rsid w:val="00CE146B"/>
    <w:rsid w:val="00CE5CFD"/>
    <w:rsid w:val="00CF2071"/>
    <w:rsid w:val="00CF3B52"/>
    <w:rsid w:val="00CF4D1C"/>
    <w:rsid w:val="00CF7AF6"/>
    <w:rsid w:val="00D020A1"/>
    <w:rsid w:val="00D030D0"/>
    <w:rsid w:val="00D05CDD"/>
    <w:rsid w:val="00D32C8A"/>
    <w:rsid w:val="00D34059"/>
    <w:rsid w:val="00D371C9"/>
    <w:rsid w:val="00D3742F"/>
    <w:rsid w:val="00D41197"/>
    <w:rsid w:val="00D426E1"/>
    <w:rsid w:val="00D44AD3"/>
    <w:rsid w:val="00D4707A"/>
    <w:rsid w:val="00D50899"/>
    <w:rsid w:val="00D51F71"/>
    <w:rsid w:val="00D53BB6"/>
    <w:rsid w:val="00D57171"/>
    <w:rsid w:val="00D6182A"/>
    <w:rsid w:val="00D61B91"/>
    <w:rsid w:val="00D63785"/>
    <w:rsid w:val="00D64C5F"/>
    <w:rsid w:val="00D71F5D"/>
    <w:rsid w:val="00D726E1"/>
    <w:rsid w:val="00D74FAA"/>
    <w:rsid w:val="00D7526A"/>
    <w:rsid w:val="00D813E9"/>
    <w:rsid w:val="00D82A95"/>
    <w:rsid w:val="00D909E2"/>
    <w:rsid w:val="00D9355E"/>
    <w:rsid w:val="00D964FA"/>
    <w:rsid w:val="00DA37CD"/>
    <w:rsid w:val="00DA4D17"/>
    <w:rsid w:val="00DA5206"/>
    <w:rsid w:val="00DB74D1"/>
    <w:rsid w:val="00DC0384"/>
    <w:rsid w:val="00DC2201"/>
    <w:rsid w:val="00DC3057"/>
    <w:rsid w:val="00DD2B87"/>
    <w:rsid w:val="00DD3461"/>
    <w:rsid w:val="00DD357D"/>
    <w:rsid w:val="00DE0D02"/>
    <w:rsid w:val="00DE1996"/>
    <w:rsid w:val="00DE1AE2"/>
    <w:rsid w:val="00DE2344"/>
    <w:rsid w:val="00DE2F80"/>
    <w:rsid w:val="00DE47EB"/>
    <w:rsid w:val="00DE4A42"/>
    <w:rsid w:val="00DE53E6"/>
    <w:rsid w:val="00DF475E"/>
    <w:rsid w:val="00E00462"/>
    <w:rsid w:val="00E00FBE"/>
    <w:rsid w:val="00E04F69"/>
    <w:rsid w:val="00E055B3"/>
    <w:rsid w:val="00E1018E"/>
    <w:rsid w:val="00E130B2"/>
    <w:rsid w:val="00E22E5C"/>
    <w:rsid w:val="00E30400"/>
    <w:rsid w:val="00E31DB1"/>
    <w:rsid w:val="00E364CA"/>
    <w:rsid w:val="00E36D63"/>
    <w:rsid w:val="00E372D7"/>
    <w:rsid w:val="00E4341C"/>
    <w:rsid w:val="00E451B3"/>
    <w:rsid w:val="00E4531A"/>
    <w:rsid w:val="00E53AD8"/>
    <w:rsid w:val="00E54276"/>
    <w:rsid w:val="00E60698"/>
    <w:rsid w:val="00E616BF"/>
    <w:rsid w:val="00E62B1E"/>
    <w:rsid w:val="00E63295"/>
    <w:rsid w:val="00E63944"/>
    <w:rsid w:val="00E758D7"/>
    <w:rsid w:val="00E80216"/>
    <w:rsid w:val="00E82C2F"/>
    <w:rsid w:val="00E83073"/>
    <w:rsid w:val="00E909D4"/>
    <w:rsid w:val="00E91179"/>
    <w:rsid w:val="00E91E9F"/>
    <w:rsid w:val="00E92359"/>
    <w:rsid w:val="00E94F5E"/>
    <w:rsid w:val="00E966A6"/>
    <w:rsid w:val="00EA1651"/>
    <w:rsid w:val="00EA459D"/>
    <w:rsid w:val="00EB0286"/>
    <w:rsid w:val="00EB107E"/>
    <w:rsid w:val="00EB751A"/>
    <w:rsid w:val="00EC08F3"/>
    <w:rsid w:val="00EC1997"/>
    <w:rsid w:val="00EC24CD"/>
    <w:rsid w:val="00EC5590"/>
    <w:rsid w:val="00EC73F7"/>
    <w:rsid w:val="00ED1B3C"/>
    <w:rsid w:val="00ED1DB0"/>
    <w:rsid w:val="00EE3680"/>
    <w:rsid w:val="00EE53A1"/>
    <w:rsid w:val="00EF00EF"/>
    <w:rsid w:val="00EF2044"/>
    <w:rsid w:val="00F06CB0"/>
    <w:rsid w:val="00F1019D"/>
    <w:rsid w:val="00F1438B"/>
    <w:rsid w:val="00F155A9"/>
    <w:rsid w:val="00F1678E"/>
    <w:rsid w:val="00F21B8D"/>
    <w:rsid w:val="00F24BCE"/>
    <w:rsid w:val="00F307F1"/>
    <w:rsid w:val="00F30A6F"/>
    <w:rsid w:val="00F31ED1"/>
    <w:rsid w:val="00F32C64"/>
    <w:rsid w:val="00F35C7B"/>
    <w:rsid w:val="00F3677A"/>
    <w:rsid w:val="00F4061A"/>
    <w:rsid w:val="00F44D32"/>
    <w:rsid w:val="00F44FCF"/>
    <w:rsid w:val="00F52B76"/>
    <w:rsid w:val="00F53333"/>
    <w:rsid w:val="00F607F9"/>
    <w:rsid w:val="00F6282B"/>
    <w:rsid w:val="00F63376"/>
    <w:rsid w:val="00F63A68"/>
    <w:rsid w:val="00F66764"/>
    <w:rsid w:val="00F75F88"/>
    <w:rsid w:val="00F77F5C"/>
    <w:rsid w:val="00F81075"/>
    <w:rsid w:val="00F81F58"/>
    <w:rsid w:val="00F92FE0"/>
    <w:rsid w:val="00F96432"/>
    <w:rsid w:val="00FA5FD2"/>
    <w:rsid w:val="00FA6E44"/>
    <w:rsid w:val="00FB6A28"/>
    <w:rsid w:val="00FB6B01"/>
    <w:rsid w:val="00FC1F42"/>
    <w:rsid w:val="00FC2494"/>
    <w:rsid w:val="00FC3B90"/>
    <w:rsid w:val="00FC7D44"/>
    <w:rsid w:val="00FD0ACF"/>
    <w:rsid w:val="00FD18E7"/>
    <w:rsid w:val="00FD278F"/>
    <w:rsid w:val="00FD56C5"/>
    <w:rsid w:val="00FD7D47"/>
    <w:rsid w:val="00FE1BC5"/>
    <w:rsid w:val="00FE3216"/>
    <w:rsid w:val="00FE6183"/>
    <w:rsid w:val="00FE6C74"/>
    <w:rsid w:val="081E2AD2"/>
    <w:rsid w:val="094A7EF6"/>
    <w:rsid w:val="16797AE4"/>
    <w:rsid w:val="191EDD4C"/>
    <w:rsid w:val="27051659"/>
    <w:rsid w:val="2A411965"/>
    <w:rsid w:val="3322F85D"/>
    <w:rsid w:val="413CFD76"/>
    <w:rsid w:val="636CF9DE"/>
    <w:rsid w:val="66538AE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2C2F0"/>
  <w15:docId w15:val="{6B97E1E4-C0CF-45F6-92CB-327F107F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33EA"/>
  </w:style>
  <w:style w:type="paragraph" w:styleId="Ttol3">
    <w:name w:val="heading 3"/>
    <w:basedOn w:val="Normal"/>
    <w:link w:val="Ttol3Car"/>
    <w:uiPriority w:val="9"/>
    <w:qFormat/>
    <w:rsid w:val="00D61B91"/>
    <w:pPr>
      <w:spacing w:before="100" w:beforeAutospacing="1" w:after="100" w:afterAutospacing="1" w:line="240" w:lineRule="auto"/>
      <w:outlineLvl w:val="2"/>
    </w:pPr>
    <w:rPr>
      <w:rFonts w:ascii="Times New Roman" w:eastAsia="Times New Roman" w:hAnsi="Times New Roman" w:cs="Times New Roman"/>
      <w:b/>
      <w:bCs/>
      <w:sz w:val="27"/>
      <w:szCs w:val="27"/>
      <w:lang w:eastAsia="ca-ES"/>
    </w:rPr>
  </w:style>
  <w:style w:type="paragraph" w:styleId="Ttol4">
    <w:name w:val="heading 4"/>
    <w:basedOn w:val="Normal"/>
    <w:link w:val="Ttol4Car"/>
    <w:uiPriority w:val="9"/>
    <w:qFormat/>
    <w:rsid w:val="00D61B91"/>
    <w:pPr>
      <w:spacing w:before="100" w:beforeAutospacing="1" w:after="100" w:afterAutospacing="1" w:line="240" w:lineRule="auto"/>
      <w:outlineLvl w:val="3"/>
    </w:pPr>
    <w:rPr>
      <w:rFonts w:ascii="Times New Roman" w:eastAsia="Times New Roman" w:hAnsi="Times New Roman" w:cs="Times New Roman"/>
      <w:b/>
      <w:bCs/>
      <w:sz w:val="24"/>
      <w:szCs w:val="24"/>
      <w:lang w:eastAsia="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3Car">
    <w:name w:val="Títol 3 Car"/>
    <w:basedOn w:val="Lletraperdefectedelpargraf"/>
    <w:link w:val="Ttol3"/>
    <w:uiPriority w:val="9"/>
    <w:rsid w:val="00D61B91"/>
    <w:rPr>
      <w:rFonts w:ascii="Times New Roman" w:eastAsia="Times New Roman" w:hAnsi="Times New Roman" w:cs="Times New Roman"/>
      <w:b/>
      <w:bCs/>
      <w:sz w:val="27"/>
      <w:szCs w:val="27"/>
      <w:lang w:eastAsia="ca-ES"/>
    </w:rPr>
  </w:style>
  <w:style w:type="character" w:customStyle="1" w:styleId="Ttol4Car">
    <w:name w:val="Títol 4 Car"/>
    <w:basedOn w:val="Lletraperdefectedelpargraf"/>
    <w:link w:val="Ttol4"/>
    <w:uiPriority w:val="9"/>
    <w:rsid w:val="00D61B91"/>
    <w:rPr>
      <w:rFonts w:ascii="Times New Roman" w:eastAsia="Times New Roman" w:hAnsi="Times New Roman" w:cs="Times New Roman"/>
      <w:b/>
      <w:bCs/>
      <w:sz w:val="24"/>
      <w:szCs w:val="24"/>
      <w:lang w:eastAsia="ca-ES"/>
    </w:rPr>
  </w:style>
  <w:style w:type="paragraph" w:styleId="NormalWeb">
    <w:name w:val="Normal (Web)"/>
    <w:basedOn w:val="Normal"/>
    <w:uiPriority w:val="99"/>
    <w:unhideWhenUsed/>
    <w:rsid w:val="00D61B91"/>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styleId="Textennegreta">
    <w:name w:val="Strong"/>
    <w:basedOn w:val="Lletraperdefectedelpargraf"/>
    <w:uiPriority w:val="22"/>
    <w:qFormat/>
    <w:rsid w:val="00D61B91"/>
    <w:rPr>
      <w:b/>
      <w:bCs/>
    </w:rPr>
  </w:style>
  <w:style w:type="character" w:styleId="mfasi">
    <w:name w:val="Emphasis"/>
    <w:basedOn w:val="Lletraperdefectedelpargraf"/>
    <w:uiPriority w:val="20"/>
    <w:qFormat/>
    <w:rsid w:val="00562F26"/>
    <w:rPr>
      <w:i/>
      <w:iCs/>
    </w:rPr>
  </w:style>
  <w:style w:type="character" w:customStyle="1" w:styleId="line-clamp-1">
    <w:name w:val="line-clamp-1"/>
    <w:basedOn w:val="Lletraperdefectedelpargraf"/>
    <w:rsid w:val="00562F26"/>
  </w:style>
  <w:style w:type="paragraph" w:styleId="Pargrafdellista">
    <w:name w:val="List Paragraph"/>
    <w:basedOn w:val="Normal"/>
    <w:uiPriority w:val="34"/>
    <w:qFormat/>
    <w:rsid w:val="00562F26"/>
    <w:pPr>
      <w:ind w:left="720"/>
      <w:contextualSpacing/>
    </w:pPr>
  </w:style>
  <w:style w:type="table" w:styleId="Taulaambquadrcula">
    <w:name w:val="Table Grid"/>
    <w:basedOn w:val="Taulanormal"/>
    <w:uiPriority w:val="39"/>
    <w:rsid w:val="00562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Lletraperdefectedelpargraf"/>
    <w:uiPriority w:val="99"/>
    <w:unhideWhenUsed/>
    <w:rsid w:val="00DA37CD"/>
    <w:rPr>
      <w:color w:val="0563C1" w:themeColor="hyperlink"/>
      <w:u w:val="single"/>
    </w:rPr>
  </w:style>
  <w:style w:type="paragraph" w:styleId="Capalera">
    <w:name w:val="header"/>
    <w:basedOn w:val="Normal"/>
    <w:link w:val="CapaleraCar"/>
    <w:uiPriority w:val="99"/>
    <w:unhideWhenUsed/>
    <w:rsid w:val="00B93B83"/>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B93B83"/>
  </w:style>
  <w:style w:type="paragraph" w:styleId="Peu">
    <w:name w:val="footer"/>
    <w:basedOn w:val="Normal"/>
    <w:link w:val="PeuCar"/>
    <w:uiPriority w:val="99"/>
    <w:unhideWhenUsed/>
    <w:rsid w:val="00B93B83"/>
    <w:pPr>
      <w:tabs>
        <w:tab w:val="center" w:pos="4252"/>
        <w:tab w:val="right" w:pos="8504"/>
      </w:tabs>
      <w:spacing w:after="0" w:line="240" w:lineRule="auto"/>
    </w:pPr>
  </w:style>
  <w:style w:type="character" w:customStyle="1" w:styleId="PeuCar">
    <w:name w:val="Peu Car"/>
    <w:basedOn w:val="Lletraperdefectedelpargraf"/>
    <w:link w:val="Peu"/>
    <w:uiPriority w:val="99"/>
    <w:rsid w:val="00B93B83"/>
  </w:style>
  <w:style w:type="character" w:customStyle="1" w:styleId="apple-converted-space">
    <w:name w:val="apple-converted-space"/>
    <w:basedOn w:val="Lletraperdefectedelpargraf"/>
    <w:rsid w:val="00AF3154"/>
  </w:style>
  <w:style w:type="paragraph" w:customStyle="1" w:styleId="paragraph">
    <w:name w:val="paragraph"/>
    <w:basedOn w:val="Normal"/>
    <w:rsid w:val="007F25BF"/>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customStyle="1" w:styleId="normaltextrun">
    <w:name w:val="normaltextrun"/>
    <w:basedOn w:val="Lletraperdefectedelpargraf"/>
    <w:rsid w:val="007F25BF"/>
  </w:style>
  <w:style w:type="character" w:customStyle="1" w:styleId="eop">
    <w:name w:val="eop"/>
    <w:basedOn w:val="Lletraperdefectedelpargraf"/>
    <w:rsid w:val="007F25BF"/>
  </w:style>
  <w:style w:type="character" w:customStyle="1" w:styleId="scxw220472649">
    <w:name w:val="scxw220472649"/>
    <w:basedOn w:val="Lletraperdefectedelpargraf"/>
    <w:rsid w:val="007F25BF"/>
  </w:style>
  <w:style w:type="character" w:styleId="Refernciadecomentari">
    <w:name w:val="annotation reference"/>
    <w:basedOn w:val="Lletraperdefectedelpargraf"/>
    <w:uiPriority w:val="99"/>
    <w:semiHidden/>
    <w:unhideWhenUsed/>
    <w:rsid w:val="00CC12AF"/>
    <w:rPr>
      <w:sz w:val="16"/>
      <w:szCs w:val="16"/>
    </w:rPr>
  </w:style>
  <w:style w:type="paragraph" w:styleId="Textdecomentari">
    <w:name w:val="annotation text"/>
    <w:basedOn w:val="Normal"/>
    <w:link w:val="TextdecomentariCar"/>
    <w:uiPriority w:val="99"/>
    <w:semiHidden/>
    <w:unhideWhenUsed/>
    <w:rsid w:val="00CC12AF"/>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CC12AF"/>
    <w:rPr>
      <w:sz w:val="20"/>
      <w:szCs w:val="20"/>
    </w:rPr>
  </w:style>
  <w:style w:type="paragraph" w:styleId="Temadelcomentari">
    <w:name w:val="annotation subject"/>
    <w:basedOn w:val="Textdecomentari"/>
    <w:next w:val="Textdecomentari"/>
    <w:link w:val="TemadelcomentariCar"/>
    <w:uiPriority w:val="99"/>
    <w:semiHidden/>
    <w:unhideWhenUsed/>
    <w:rsid w:val="00CC12AF"/>
    <w:rPr>
      <w:b/>
      <w:bCs/>
    </w:rPr>
  </w:style>
  <w:style w:type="character" w:customStyle="1" w:styleId="TemadelcomentariCar">
    <w:name w:val="Tema del comentari Car"/>
    <w:basedOn w:val="TextdecomentariCar"/>
    <w:link w:val="Temadelcomentari"/>
    <w:uiPriority w:val="99"/>
    <w:semiHidden/>
    <w:rsid w:val="00CC12AF"/>
    <w:rPr>
      <w:b/>
      <w:bCs/>
      <w:sz w:val="20"/>
      <w:szCs w:val="20"/>
    </w:rPr>
  </w:style>
  <w:style w:type="paragraph" w:styleId="Textdeglobus">
    <w:name w:val="Balloon Text"/>
    <w:basedOn w:val="Normal"/>
    <w:link w:val="TextdeglobusCar"/>
    <w:uiPriority w:val="99"/>
    <w:semiHidden/>
    <w:unhideWhenUsed/>
    <w:rsid w:val="00CC12AF"/>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CC12AF"/>
    <w:rPr>
      <w:rFonts w:ascii="Segoe UI" w:hAnsi="Segoe UI" w:cs="Segoe UI"/>
      <w:sz w:val="18"/>
      <w:szCs w:val="18"/>
    </w:rPr>
  </w:style>
  <w:style w:type="paragraph" w:customStyle="1" w:styleId="Default">
    <w:name w:val="Default"/>
    <w:rsid w:val="00820584"/>
    <w:pPr>
      <w:autoSpaceDE w:val="0"/>
      <w:autoSpaceDN w:val="0"/>
      <w:adjustRightInd w:val="0"/>
      <w:spacing w:after="0" w:line="240" w:lineRule="auto"/>
    </w:pPr>
    <w:rPr>
      <w:rFonts w:ascii="Segoe UI" w:hAnsi="Segoe UI" w:cs="Segoe UI"/>
      <w:color w:val="000000"/>
      <w:sz w:val="24"/>
      <w:szCs w:val="24"/>
      <w:lang w:val="es-ES"/>
    </w:rPr>
  </w:style>
  <w:style w:type="character" w:customStyle="1" w:styleId="anchor-text">
    <w:name w:val="anchor-text"/>
    <w:basedOn w:val="Lletraperdefectedelpargraf"/>
    <w:rsid w:val="00062B76"/>
  </w:style>
  <w:style w:type="table" w:customStyle="1" w:styleId="Taulaambquadrcula1">
    <w:name w:val="Taula amb quadrícula1"/>
    <w:basedOn w:val="Taulanormal"/>
    <w:uiPriority w:val="39"/>
    <w:rsid w:val="00304316"/>
    <w:pPr>
      <w:spacing w:after="0" w:line="240" w:lineRule="auto"/>
    </w:pPr>
    <w:rPr>
      <w:rFonts w:ascii="Calibri" w:eastAsia="Calibri" w:hAnsi="Calibri" w:cs="Calibri"/>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uiPriority w:val="39"/>
    <w:rsid w:val="00304316"/>
    <w:pPr>
      <w:spacing w:after="0" w:line="240" w:lineRule="auto"/>
    </w:pPr>
    <w:rPr>
      <w:rFonts w:ascii="Calibri" w:eastAsia="Calibri" w:hAnsi="Calibri" w:cs="Calibri"/>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senseresoldre">
    <w:name w:val="Unresolved Mention"/>
    <w:basedOn w:val="Lletraperdefectedelpargraf"/>
    <w:uiPriority w:val="99"/>
    <w:semiHidden/>
    <w:unhideWhenUsed/>
    <w:rsid w:val="004C04F2"/>
    <w:rPr>
      <w:color w:val="605E5C"/>
      <w:shd w:val="clear" w:color="auto" w:fill="E1DFDD"/>
    </w:rPr>
  </w:style>
  <w:style w:type="character" w:styleId="Enllavisitat">
    <w:name w:val="FollowedHyperlink"/>
    <w:basedOn w:val="Lletraperdefectedelpargraf"/>
    <w:uiPriority w:val="99"/>
    <w:semiHidden/>
    <w:unhideWhenUsed/>
    <w:rsid w:val="003D3E76"/>
    <w:rPr>
      <w:color w:val="0563C1"/>
      <w:u w:val="single"/>
    </w:rPr>
  </w:style>
  <w:style w:type="paragraph" w:customStyle="1" w:styleId="msonormal0">
    <w:name w:val="msonormal"/>
    <w:basedOn w:val="Normal"/>
    <w:rsid w:val="003D3E76"/>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font1">
    <w:name w:val="font1"/>
    <w:basedOn w:val="Normal"/>
    <w:rsid w:val="003D3E76"/>
    <w:pPr>
      <w:spacing w:before="100" w:beforeAutospacing="1" w:after="100" w:afterAutospacing="1" w:line="240" w:lineRule="auto"/>
    </w:pPr>
    <w:rPr>
      <w:rFonts w:ascii="Calibri" w:eastAsia="Times New Roman" w:hAnsi="Calibri" w:cs="Calibri"/>
      <w:color w:val="000000"/>
      <w:lang w:eastAsia="ca-ES"/>
    </w:rPr>
  </w:style>
  <w:style w:type="paragraph" w:customStyle="1" w:styleId="font5">
    <w:name w:val="font5"/>
    <w:basedOn w:val="Normal"/>
    <w:rsid w:val="003D3E76"/>
    <w:pPr>
      <w:spacing w:before="100" w:beforeAutospacing="1" w:after="100" w:afterAutospacing="1" w:line="240" w:lineRule="auto"/>
    </w:pPr>
    <w:rPr>
      <w:rFonts w:ascii="Calibri" w:eastAsia="Times New Roman" w:hAnsi="Calibri" w:cs="Calibri"/>
      <w:b/>
      <w:bCs/>
      <w:color w:val="000000"/>
      <w:lang w:eastAsia="ca-ES"/>
    </w:rPr>
  </w:style>
  <w:style w:type="paragraph" w:customStyle="1" w:styleId="font6">
    <w:name w:val="font6"/>
    <w:basedOn w:val="Normal"/>
    <w:rsid w:val="003D3E76"/>
    <w:pPr>
      <w:spacing w:before="100" w:beforeAutospacing="1" w:after="100" w:afterAutospacing="1" w:line="240" w:lineRule="auto"/>
    </w:pPr>
    <w:rPr>
      <w:rFonts w:ascii="Calibri" w:eastAsia="Times New Roman" w:hAnsi="Calibri" w:cs="Calibri"/>
      <w:i/>
      <w:iCs/>
      <w:color w:val="000000"/>
      <w:lang w:eastAsia="ca-ES"/>
    </w:rPr>
  </w:style>
  <w:style w:type="paragraph" w:customStyle="1" w:styleId="xl65">
    <w:name w:val="xl65"/>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ca-ES"/>
    </w:rPr>
  </w:style>
  <w:style w:type="paragraph" w:customStyle="1" w:styleId="xl66">
    <w:name w:val="xl66"/>
    <w:basedOn w:val="Normal"/>
    <w:rsid w:val="003D3E76"/>
    <w:pPr>
      <w:pBdr>
        <w:top w:val="single" w:sz="4" w:space="0" w:color="auto"/>
        <w:left w:val="single" w:sz="4" w:space="0" w:color="auto"/>
        <w:right w:val="single" w:sz="4" w:space="0" w:color="auto"/>
      </w:pBdr>
      <w:shd w:val="clear" w:color="000000" w:fill="C00000"/>
      <w:spacing w:before="100" w:beforeAutospacing="1" w:after="100" w:afterAutospacing="1" w:line="240" w:lineRule="auto"/>
      <w:textAlignment w:val="center"/>
    </w:pPr>
    <w:rPr>
      <w:rFonts w:ascii="Calibri" w:eastAsia="Times New Roman" w:hAnsi="Calibri" w:cs="Calibri"/>
      <w:b/>
      <w:bCs/>
      <w:color w:val="FFFFFF"/>
      <w:sz w:val="24"/>
      <w:szCs w:val="24"/>
      <w:lang w:eastAsia="ca-ES"/>
    </w:rPr>
  </w:style>
  <w:style w:type="paragraph" w:customStyle="1" w:styleId="xl67">
    <w:name w:val="xl67"/>
    <w:basedOn w:val="Normal"/>
    <w:rsid w:val="003D3E76"/>
    <w:pPr>
      <w:pBdr>
        <w:top w:val="single" w:sz="4" w:space="0" w:color="auto"/>
        <w:left w:val="single" w:sz="4" w:space="0" w:color="auto"/>
        <w:right w:val="single" w:sz="4" w:space="0" w:color="auto"/>
      </w:pBdr>
      <w:shd w:val="clear" w:color="000000" w:fill="FF3300"/>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68">
    <w:name w:val="xl68"/>
    <w:basedOn w:val="Normal"/>
    <w:rsid w:val="003D3E76"/>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69">
    <w:name w:val="xl69"/>
    <w:basedOn w:val="Normal"/>
    <w:rsid w:val="003D3E76"/>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70">
    <w:name w:val="xl70"/>
    <w:basedOn w:val="Normal"/>
    <w:rsid w:val="003D3E76"/>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71">
    <w:name w:val="xl71"/>
    <w:basedOn w:val="Normal"/>
    <w:rsid w:val="003D3E76"/>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72">
    <w:name w:val="xl72"/>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73">
    <w:name w:val="xl73"/>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4472C4"/>
      <w:sz w:val="24"/>
      <w:szCs w:val="24"/>
      <w:lang w:eastAsia="ca-ES"/>
    </w:rPr>
  </w:style>
  <w:style w:type="paragraph" w:customStyle="1" w:styleId="xl74">
    <w:name w:val="xl74"/>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ca-ES"/>
    </w:rPr>
  </w:style>
  <w:style w:type="paragraph" w:customStyle="1" w:styleId="xl75">
    <w:name w:val="xl75"/>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4472C4"/>
      <w:sz w:val="24"/>
      <w:szCs w:val="24"/>
      <w:lang w:eastAsia="ca-ES"/>
    </w:rPr>
  </w:style>
  <w:style w:type="paragraph" w:customStyle="1" w:styleId="xl76">
    <w:name w:val="xl76"/>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a-ES"/>
    </w:rPr>
  </w:style>
  <w:style w:type="paragraph" w:customStyle="1" w:styleId="xl77">
    <w:name w:val="xl77"/>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a-ES"/>
    </w:rPr>
  </w:style>
  <w:style w:type="paragraph" w:customStyle="1" w:styleId="xl78">
    <w:name w:val="xl78"/>
    <w:basedOn w:val="Normal"/>
    <w:rsid w:val="003D3E7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a-ES"/>
    </w:rPr>
  </w:style>
  <w:style w:type="paragraph" w:customStyle="1" w:styleId="xl79">
    <w:name w:val="xl79"/>
    <w:basedOn w:val="Normal"/>
    <w:rsid w:val="003D3E7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a-ES"/>
    </w:rPr>
  </w:style>
  <w:style w:type="paragraph" w:customStyle="1" w:styleId="xl80">
    <w:name w:val="xl80"/>
    <w:basedOn w:val="Normal"/>
    <w:rsid w:val="003D3E7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81">
    <w:name w:val="xl81"/>
    <w:basedOn w:val="Normal"/>
    <w:rsid w:val="003D3E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ca-ES"/>
    </w:rPr>
  </w:style>
  <w:style w:type="paragraph" w:customStyle="1" w:styleId="xl82">
    <w:name w:val="xl82"/>
    <w:basedOn w:val="Normal"/>
    <w:rsid w:val="003D3E76"/>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ca-ES"/>
    </w:rPr>
  </w:style>
  <w:style w:type="paragraph" w:customStyle="1" w:styleId="xl83">
    <w:name w:val="xl83"/>
    <w:basedOn w:val="Normal"/>
    <w:rsid w:val="003D3E7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ca-ES"/>
    </w:rPr>
  </w:style>
  <w:style w:type="paragraph" w:customStyle="1" w:styleId="xl84">
    <w:name w:val="xl84"/>
    <w:basedOn w:val="Normal"/>
    <w:rsid w:val="003D3E76"/>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ca-ES"/>
    </w:rPr>
  </w:style>
  <w:style w:type="paragraph" w:customStyle="1" w:styleId="xl85">
    <w:name w:val="xl85"/>
    <w:basedOn w:val="Normal"/>
    <w:rsid w:val="003D3E7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ca-ES"/>
    </w:rPr>
  </w:style>
  <w:style w:type="paragraph" w:customStyle="1" w:styleId="xl86">
    <w:name w:val="xl86"/>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a-ES"/>
    </w:rPr>
  </w:style>
  <w:style w:type="paragraph" w:customStyle="1" w:styleId="xl87">
    <w:name w:val="xl87"/>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ca-ES"/>
    </w:rPr>
  </w:style>
  <w:style w:type="paragraph" w:customStyle="1" w:styleId="xl88">
    <w:name w:val="xl88"/>
    <w:basedOn w:val="Normal"/>
    <w:rsid w:val="003D3E7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ca-ES"/>
    </w:rPr>
  </w:style>
  <w:style w:type="paragraph" w:customStyle="1" w:styleId="xl89">
    <w:name w:val="xl89"/>
    <w:basedOn w:val="Normal"/>
    <w:rsid w:val="003D3E7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ca-ES"/>
    </w:rPr>
  </w:style>
  <w:style w:type="paragraph" w:customStyle="1" w:styleId="xl90">
    <w:name w:val="xl90"/>
    <w:basedOn w:val="Normal"/>
    <w:rsid w:val="003D3E7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a-ES"/>
    </w:rPr>
  </w:style>
  <w:style w:type="paragraph" w:customStyle="1" w:styleId="xl91">
    <w:name w:val="xl91"/>
    <w:basedOn w:val="Normal"/>
    <w:rsid w:val="003D3E7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92">
    <w:name w:val="xl92"/>
    <w:basedOn w:val="Normal"/>
    <w:rsid w:val="003D3E7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93">
    <w:name w:val="xl93"/>
    <w:basedOn w:val="Normal"/>
    <w:rsid w:val="003D3E76"/>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a-ES"/>
    </w:rPr>
  </w:style>
  <w:style w:type="paragraph" w:customStyle="1" w:styleId="xl94">
    <w:name w:val="xl94"/>
    <w:basedOn w:val="Normal"/>
    <w:rsid w:val="003D3E76"/>
    <w:pPr>
      <w:spacing w:before="100" w:beforeAutospacing="1" w:after="100" w:afterAutospacing="1" w:line="240" w:lineRule="auto"/>
      <w:textAlignment w:val="center"/>
    </w:pPr>
    <w:rPr>
      <w:rFonts w:ascii="Times New Roman" w:eastAsia="Times New Roman" w:hAnsi="Times New Roman" w:cs="Times New Roman"/>
      <w:sz w:val="24"/>
      <w:szCs w:val="24"/>
      <w:lang w:eastAsia="ca-ES"/>
    </w:rPr>
  </w:style>
  <w:style w:type="paragraph" w:customStyle="1" w:styleId="xl95">
    <w:name w:val="xl95"/>
    <w:basedOn w:val="Normal"/>
    <w:rsid w:val="003D3E7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96">
    <w:name w:val="xl96"/>
    <w:basedOn w:val="Normal"/>
    <w:rsid w:val="003D3E7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a-ES"/>
    </w:rPr>
  </w:style>
  <w:style w:type="paragraph" w:customStyle="1" w:styleId="xl97">
    <w:name w:val="xl97"/>
    <w:basedOn w:val="Normal"/>
    <w:rsid w:val="003D3E7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a-ES"/>
    </w:rPr>
  </w:style>
  <w:style w:type="paragraph" w:customStyle="1" w:styleId="xl98">
    <w:name w:val="xl98"/>
    <w:basedOn w:val="Normal"/>
    <w:rsid w:val="003D3E7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99">
    <w:name w:val="xl99"/>
    <w:basedOn w:val="Normal"/>
    <w:rsid w:val="003D3E7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100">
    <w:name w:val="xl100"/>
    <w:basedOn w:val="Normal"/>
    <w:rsid w:val="003D3E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ca-ES"/>
    </w:rPr>
  </w:style>
  <w:style w:type="paragraph" w:customStyle="1" w:styleId="xl101">
    <w:name w:val="xl101"/>
    <w:basedOn w:val="Normal"/>
    <w:rsid w:val="003D3E7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ca-ES"/>
    </w:rPr>
  </w:style>
  <w:style w:type="paragraph" w:customStyle="1" w:styleId="xl102">
    <w:name w:val="xl102"/>
    <w:basedOn w:val="Normal"/>
    <w:rsid w:val="003D3E76"/>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24"/>
      <w:szCs w:val="24"/>
      <w:lang w:eastAsia="ca-ES"/>
    </w:rPr>
  </w:style>
  <w:style w:type="paragraph" w:customStyle="1" w:styleId="xl103">
    <w:name w:val="xl103"/>
    <w:basedOn w:val="Normal"/>
    <w:rsid w:val="003D3E76"/>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24"/>
      <w:szCs w:val="24"/>
      <w:lang w:eastAsia="ca-ES"/>
    </w:rPr>
  </w:style>
  <w:style w:type="paragraph" w:customStyle="1" w:styleId="xl104">
    <w:name w:val="xl104"/>
    <w:basedOn w:val="Normal"/>
    <w:rsid w:val="003D3E76"/>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a-ES"/>
    </w:rPr>
  </w:style>
  <w:style w:type="paragraph" w:customStyle="1" w:styleId="xl105">
    <w:name w:val="xl105"/>
    <w:basedOn w:val="Normal"/>
    <w:rsid w:val="003D3E76"/>
    <w:pPr>
      <w:pBdr>
        <w:top w:val="single" w:sz="8"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ca-ES"/>
    </w:rPr>
  </w:style>
  <w:style w:type="paragraph" w:customStyle="1" w:styleId="xl106">
    <w:name w:val="xl106"/>
    <w:basedOn w:val="Normal"/>
    <w:rsid w:val="003D3E76"/>
    <w:pPr>
      <w:pBdr>
        <w:left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ca-ES"/>
    </w:rPr>
  </w:style>
  <w:style w:type="paragraph" w:customStyle="1" w:styleId="xl107">
    <w:name w:val="xl107"/>
    <w:basedOn w:val="Normal"/>
    <w:rsid w:val="003D3E76"/>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ca-ES"/>
    </w:rPr>
  </w:style>
  <w:style w:type="paragraph" w:customStyle="1" w:styleId="xl108">
    <w:name w:val="xl108"/>
    <w:basedOn w:val="Normal"/>
    <w:rsid w:val="003D3E7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ca-ES"/>
    </w:rPr>
  </w:style>
  <w:style w:type="paragraph" w:customStyle="1" w:styleId="xl109">
    <w:name w:val="xl109"/>
    <w:basedOn w:val="Normal"/>
    <w:rsid w:val="003D3E7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4472C4"/>
      <w:sz w:val="24"/>
      <w:szCs w:val="24"/>
      <w:lang w:eastAsia="ca-ES"/>
    </w:rPr>
  </w:style>
  <w:style w:type="paragraph" w:customStyle="1" w:styleId="xl110">
    <w:name w:val="xl110"/>
    <w:basedOn w:val="Normal"/>
    <w:rsid w:val="003D3E76"/>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111">
    <w:name w:val="xl111"/>
    <w:basedOn w:val="Normal"/>
    <w:rsid w:val="003D3E76"/>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112">
    <w:name w:val="xl112"/>
    <w:basedOn w:val="Normal"/>
    <w:rsid w:val="003D3E7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a-ES"/>
    </w:rPr>
  </w:style>
  <w:style w:type="paragraph" w:customStyle="1" w:styleId="xl113">
    <w:name w:val="xl113"/>
    <w:basedOn w:val="Normal"/>
    <w:rsid w:val="003D3E7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ca-ES"/>
    </w:rPr>
  </w:style>
  <w:style w:type="paragraph" w:customStyle="1" w:styleId="xl114">
    <w:name w:val="xl114"/>
    <w:basedOn w:val="Normal"/>
    <w:rsid w:val="003D3E7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a-ES"/>
    </w:rPr>
  </w:style>
  <w:style w:type="paragraph" w:customStyle="1" w:styleId="xl115">
    <w:name w:val="xl115"/>
    <w:basedOn w:val="Normal"/>
    <w:rsid w:val="003D3E7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a-ES"/>
    </w:rPr>
  </w:style>
  <w:style w:type="paragraph" w:customStyle="1" w:styleId="xl116">
    <w:name w:val="xl116"/>
    <w:basedOn w:val="Normal"/>
    <w:rsid w:val="003D3E7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a-ES"/>
    </w:rPr>
  </w:style>
  <w:style w:type="paragraph" w:customStyle="1" w:styleId="xl117">
    <w:name w:val="xl117"/>
    <w:basedOn w:val="Normal"/>
    <w:rsid w:val="003D3E7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ca-ES"/>
    </w:rPr>
  </w:style>
  <w:style w:type="paragraph" w:customStyle="1" w:styleId="xl118">
    <w:name w:val="xl118"/>
    <w:basedOn w:val="Normal"/>
    <w:rsid w:val="003D3E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ca-ES"/>
    </w:rPr>
  </w:style>
  <w:style w:type="paragraph" w:customStyle="1" w:styleId="xl119">
    <w:name w:val="xl119"/>
    <w:basedOn w:val="Normal"/>
    <w:rsid w:val="003D3E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ca-ES"/>
    </w:rPr>
  </w:style>
  <w:style w:type="paragraph" w:customStyle="1" w:styleId="xl120">
    <w:name w:val="xl120"/>
    <w:basedOn w:val="Normal"/>
    <w:rsid w:val="003D3E7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21">
    <w:name w:val="xl121"/>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22">
    <w:name w:val="xl122"/>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23">
    <w:name w:val="xl123"/>
    <w:basedOn w:val="Normal"/>
    <w:rsid w:val="003D3E7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24">
    <w:name w:val="xl124"/>
    <w:basedOn w:val="Normal"/>
    <w:rsid w:val="003D3E7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a-ES"/>
    </w:rPr>
  </w:style>
  <w:style w:type="paragraph" w:customStyle="1" w:styleId="xl125">
    <w:name w:val="xl125"/>
    <w:basedOn w:val="Normal"/>
    <w:rsid w:val="003D3E7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a-ES"/>
    </w:rPr>
  </w:style>
  <w:style w:type="paragraph" w:customStyle="1" w:styleId="xl126">
    <w:name w:val="xl126"/>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i/>
      <w:iCs/>
      <w:color w:val="4472C4"/>
      <w:sz w:val="24"/>
      <w:szCs w:val="24"/>
      <w:lang w:eastAsia="ca-ES"/>
    </w:rPr>
  </w:style>
  <w:style w:type="paragraph" w:customStyle="1" w:styleId="xl127">
    <w:name w:val="xl127"/>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i/>
      <w:iCs/>
      <w:color w:val="4472C4"/>
      <w:sz w:val="24"/>
      <w:szCs w:val="24"/>
      <w:lang w:eastAsia="ca-ES"/>
    </w:rPr>
  </w:style>
  <w:style w:type="paragraph" w:customStyle="1" w:styleId="xl128">
    <w:name w:val="xl128"/>
    <w:basedOn w:val="Normal"/>
    <w:rsid w:val="003D3E76"/>
    <w:pPr>
      <w:spacing w:before="100" w:beforeAutospacing="1" w:after="100" w:afterAutospacing="1" w:line="240" w:lineRule="auto"/>
      <w:textAlignment w:val="center"/>
    </w:pPr>
    <w:rPr>
      <w:rFonts w:ascii="Calibri" w:eastAsia="Times New Roman" w:hAnsi="Calibri" w:cs="Calibri"/>
      <w:i/>
      <w:iCs/>
      <w:color w:val="4472C4"/>
      <w:sz w:val="24"/>
      <w:szCs w:val="24"/>
      <w:lang w:eastAsia="ca-ES"/>
    </w:rPr>
  </w:style>
  <w:style w:type="paragraph" w:customStyle="1" w:styleId="xl129">
    <w:name w:val="xl129"/>
    <w:basedOn w:val="Normal"/>
    <w:rsid w:val="003D3E76"/>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ca-ES"/>
    </w:rPr>
  </w:style>
  <w:style w:type="paragraph" w:customStyle="1" w:styleId="xl130">
    <w:name w:val="xl130"/>
    <w:basedOn w:val="Normal"/>
    <w:rsid w:val="003D3E7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31">
    <w:name w:val="xl131"/>
    <w:basedOn w:val="Normal"/>
    <w:rsid w:val="003D3E76"/>
    <w:pPr>
      <w:pBdr>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32">
    <w:name w:val="xl132"/>
    <w:basedOn w:val="Normal"/>
    <w:rsid w:val="003D3E7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33">
    <w:name w:val="xl133"/>
    <w:basedOn w:val="Normal"/>
    <w:rsid w:val="003D3E7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ca-ES"/>
    </w:rPr>
  </w:style>
  <w:style w:type="paragraph" w:customStyle="1" w:styleId="xl134">
    <w:name w:val="xl134"/>
    <w:basedOn w:val="Normal"/>
    <w:rsid w:val="003D3E7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Calibri" w:eastAsia="Times New Roman" w:hAnsi="Calibri" w:cs="Calibri"/>
      <w:i/>
      <w:iCs/>
      <w:color w:val="4472C4"/>
      <w:sz w:val="24"/>
      <w:szCs w:val="24"/>
      <w:lang w:eastAsia="ca-ES"/>
    </w:rPr>
  </w:style>
  <w:style w:type="paragraph" w:customStyle="1" w:styleId="xl135">
    <w:name w:val="xl135"/>
    <w:basedOn w:val="Normal"/>
    <w:rsid w:val="003D3E7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ca-ES"/>
    </w:rPr>
  </w:style>
  <w:style w:type="paragraph" w:customStyle="1" w:styleId="xl136">
    <w:name w:val="xl136"/>
    <w:basedOn w:val="Normal"/>
    <w:rsid w:val="003D3E76"/>
    <w:pPr>
      <w:pBdr>
        <w:left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ca-ES"/>
    </w:rPr>
  </w:style>
  <w:style w:type="paragraph" w:customStyle="1" w:styleId="xl137">
    <w:name w:val="xl137"/>
    <w:basedOn w:val="Normal"/>
    <w:rsid w:val="003D3E7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ca-ES"/>
    </w:rPr>
  </w:style>
  <w:style w:type="paragraph" w:customStyle="1" w:styleId="xl138">
    <w:name w:val="xl138"/>
    <w:basedOn w:val="Normal"/>
    <w:rsid w:val="003D3E76"/>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39">
    <w:name w:val="xl139"/>
    <w:basedOn w:val="Normal"/>
    <w:rsid w:val="003D3E76"/>
    <w:pPr>
      <w:pBdr>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40">
    <w:name w:val="xl140"/>
    <w:basedOn w:val="Normal"/>
    <w:rsid w:val="003D3E7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41">
    <w:name w:val="xl141"/>
    <w:basedOn w:val="Normal"/>
    <w:rsid w:val="003D3E76"/>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42">
    <w:name w:val="xl142"/>
    <w:basedOn w:val="Normal"/>
    <w:rsid w:val="003D3E76"/>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43">
    <w:name w:val="xl143"/>
    <w:basedOn w:val="Normal"/>
    <w:rsid w:val="003D3E7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44">
    <w:name w:val="xl144"/>
    <w:basedOn w:val="Normal"/>
    <w:rsid w:val="003D3E7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45">
    <w:name w:val="xl145"/>
    <w:basedOn w:val="Normal"/>
    <w:rsid w:val="003D3E7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46">
    <w:name w:val="xl146"/>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ca-ES"/>
    </w:rPr>
  </w:style>
  <w:style w:type="paragraph" w:customStyle="1" w:styleId="xl147">
    <w:name w:val="xl147"/>
    <w:basedOn w:val="Normal"/>
    <w:rsid w:val="003D3E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148">
    <w:name w:val="xl148"/>
    <w:basedOn w:val="Normal"/>
    <w:rsid w:val="003D3E76"/>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149">
    <w:name w:val="xl149"/>
    <w:basedOn w:val="Normal"/>
    <w:rsid w:val="003D3E76"/>
    <w:pPr>
      <w:pBdr>
        <w:top w:val="single" w:sz="4" w:space="0" w:color="auto"/>
        <w:left w:val="single" w:sz="4" w:space="0" w:color="auto"/>
        <w:bottom w:val="single" w:sz="4" w:space="0" w:color="auto"/>
        <w:right w:val="single" w:sz="4" w:space="0" w:color="auto"/>
      </w:pBdr>
      <w:shd w:val="clear" w:color="000000" w:fill="FF3300"/>
      <w:spacing w:before="100" w:beforeAutospacing="1" w:after="100" w:afterAutospacing="1" w:line="240" w:lineRule="auto"/>
    </w:pPr>
    <w:rPr>
      <w:rFonts w:ascii="Calibri" w:eastAsia="Times New Roman" w:hAnsi="Calibri" w:cs="Calibri"/>
      <w:sz w:val="24"/>
      <w:szCs w:val="24"/>
      <w:lang w:eastAsia="ca-ES"/>
    </w:rPr>
  </w:style>
  <w:style w:type="paragraph" w:customStyle="1" w:styleId="xl150">
    <w:name w:val="xl150"/>
    <w:basedOn w:val="Normal"/>
    <w:rsid w:val="003D3E76"/>
    <w:pPr>
      <w:pBdr>
        <w:top w:val="single" w:sz="4" w:space="0" w:color="auto"/>
        <w:left w:val="single" w:sz="4" w:space="0" w:color="auto"/>
        <w:bottom w:val="single" w:sz="4" w:space="0" w:color="auto"/>
        <w:right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151">
    <w:name w:val="xl151"/>
    <w:basedOn w:val="Normal"/>
    <w:rsid w:val="003D3E7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152">
    <w:name w:val="xl152"/>
    <w:basedOn w:val="Normal"/>
    <w:rsid w:val="003D3E76"/>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153">
    <w:name w:val="xl153"/>
    <w:basedOn w:val="Normal"/>
    <w:rsid w:val="003D3E76"/>
    <w:pPr>
      <w:pBdr>
        <w:top w:val="single" w:sz="8"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154">
    <w:name w:val="xl154"/>
    <w:basedOn w:val="Normal"/>
    <w:rsid w:val="003D3E7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155">
    <w:name w:val="xl155"/>
    <w:basedOn w:val="Normal"/>
    <w:rsid w:val="003D3E7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Calibri" w:eastAsia="Times New Roman" w:hAnsi="Calibri" w:cs="Calibri"/>
      <w:sz w:val="24"/>
      <w:szCs w:val="24"/>
      <w:lang w:eastAsia="ca-ES"/>
    </w:rPr>
  </w:style>
  <w:style w:type="paragraph" w:customStyle="1" w:styleId="xl156">
    <w:name w:val="xl156"/>
    <w:basedOn w:val="Normal"/>
    <w:rsid w:val="003D3E7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xl157">
    <w:name w:val="xl157"/>
    <w:basedOn w:val="Normal"/>
    <w:rsid w:val="003D3E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a-ES"/>
    </w:rPr>
  </w:style>
  <w:style w:type="paragraph" w:customStyle="1" w:styleId="xl158">
    <w:name w:val="xl158"/>
    <w:basedOn w:val="Normal"/>
    <w:rsid w:val="003D3E7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Calibri"/>
      <w:color w:val="FF0000"/>
      <w:sz w:val="24"/>
      <w:szCs w:val="24"/>
      <w:lang w:eastAsia="ca-ES"/>
    </w:rPr>
  </w:style>
  <w:style w:type="paragraph" w:customStyle="1" w:styleId="xl159">
    <w:name w:val="xl159"/>
    <w:basedOn w:val="Normal"/>
    <w:rsid w:val="003D3E76"/>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ca-ES"/>
    </w:rPr>
  </w:style>
  <w:style w:type="paragraph" w:styleId="Revisi">
    <w:name w:val="Revision"/>
    <w:hidden/>
    <w:uiPriority w:val="99"/>
    <w:semiHidden/>
    <w:rsid w:val="000571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45966">
      <w:bodyDiv w:val="1"/>
      <w:marLeft w:val="0"/>
      <w:marRight w:val="0"/>
      <w:marTop w:val="0"/>
      <w:marBottom w:val="0"/>
      <w:divBdr>
        <w:top w:val="none" w:sz="0" w:space="0" w:color="auto"/>
        <w:left w:val="none" w:sz="0" w:space="0" w:color="auto"/>
        <w:bottom w:val="none" w:sz="0" w:space="0" w:color="auto"/>
        <w:right w:val="none" w:sz="0" w:space="0" w:color="auto"/>
      </w:divBdr>
      <w:divsChild>
        <w:div w:id="155189754">
          <w:blockQuote w:val="1"/>
          <w:marLeft w:val="720"/>
          <w:marRight w:val="720"/>
          <w:marTop w:val="100"/>
          <w:marBottom w:val="100"/>
          <w:divBdr>
            <w:top w:val="none" w:sz="0" w:space="0" w:color="auto"/>
            <w:left w:val="none" w:sz="0" w:space="0" w:color="auto"/>
            <w:bottom w:val="none" w:sz="0" w:space="0" w:color="auto"/>
            <w:right w:val="none" w:sz="0" w:space="0" w:color="auto"/>
          </w:divBdr>
        </w:div>
        <w:div w:id="992678226">
          <w:marLeft w:val="0"/>
          <w:marRight w:val="0"/>
          <w:marTop w:val="0"/>
          <w:marBottom w:val="0"/>
          <w:divBdr>
            <w:top w:val="none" w:sz="0" w:space="0" w:color="auto"/>
            <w:left w:val="none" w:sz="0" w:space="0" w:color="auto"/>
            <w:bottom w:val="none" w:sz="0" w:space="0" w:color="auto"/>
            <w:right w:val="none" w:sz="0" w:space="0" w:color="auto"/>
          </w:divBdr>
          <w:divsChild>
            <w:div w:id="24622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0231">
      <w:bodyDiv w:val="1"/>
      <w:marLeft w:val="0"/>
      <w:marRight w:val="0"/>
      <w:marTop w:val="0"/>
      <w:marBottom w:val="0"/>
      <w:divBdr>
        <w:top w:val="none" w:sz="0" w:space="0" w:color="auto"/>
        <w:left w:val="none" w:sz="0" w:space="0" w:color="auto"/>
        <w:bottom w:val="none" w:sz="0" w:space="0" w:color="auto"/>
        <w:right w:val="none" w:sz="0" w:space="0" w:color="auto"/>
      </w:divBdr>
    </w:div>
    <w:div w:id="48769645">
      <w:bodyDiv w:val="1"/>
      <w:marLeft w:val="0"/>
      <w:marRight w:val="0"/>
      <w:marTop w:val="0"/>
      <w:marBottom w:val="0"/>
      <w:divBdr>
        <w:top w:val="none" w:sz="0" w:space="0" w:color="auto"/>
        <w:left w:val="none" w:sz="0" w:space="0" w:color="auto"/>
        <w:bottom w:val="none" w:sz="0" w:space="0" w:color="auto"/>
        <w:right w:val="none" w:sz="0" w:space="0" w:color="auto"/>
      </w:divBdr>
    </w:div>
    <w:div w:id="90857522">
      <w:bodyDiv w:val="1"/>
      <w:marLeft w:val="0"/>
      <w:marRight w:val="0"/>
      <w:marTop w:val="0"/>
      <w:marBottom w:val="0"/>
      <w:divBdr>
        <w:top w:val="none" w:sz="0" w:space="0" w:color="auto"/>
        <w:left w:val="none" w:sz="0" w:space="0" w:color="auto"/>
        <w:bottom w:val="none" w:sz="0" w:space="0" w:color="auto"/>
        <w:right w:val="none" w:sz="0" w:space="0" w:color="auto"/>
      </w:divBdr>
    </w:div>
    <w:div w:id="111288052">
      <w:bodyDiv w:val="1"/>
      <w:marLeft w:val="0"/>
      <w:marRight w:val="0"/>
      <w:marTop w:val="0"/>
      <w:marBottom w:val="0"/>
      <w:divBdr>
        <w:top w:val="none" w:sz="0" w:space="0" w:color="auto"/>
        <w:left w:val="none" w:sz="0" w:space="0" w:color="auto"/>
        <w:bottom w:val="none" w:sz="0" w:space="0" w:color="auto"/>
        <w:right w:val="none" w:sz="0" w:space="0" w:color="auto"/>
      </w:divBdr>
    </w:div>
    <w:div w:id="117994700">
      <w:bodyDiv w:val="1"/>
      <w:marLeft w:val="0"/>
      <w:marRight w:val="0"/>
      <w:marTop w:val="0"/>
      <w:marBottom w:val="0"/>
      <w:divBdr>
        <w:top w:val="none" w:sz="0" w:space="0" w:color="auto"/>
        <w:left w:val="none" w:sz="0" w:space="0" w:color="auto"/>
        <w:bottom w:val="none" w:sz="0" w:space="0" w:color="auto"/>
        <w:right w:val="none" w:sz="0" w:space="0" w:color="auto"/>
      </w:divBdr>
      <w:divsChild>
        <w:div w:id="2139911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008012">
      <w:bodyDiv w:val="1"/>
      <w:marLeft w:val="0"/>
      <w:marRight w:val="0"/>
      <w:marTop w:val="0"/>
      <w:marBottom w:val="0"/>
      <w:divBdr>
        <w:top w:val="none" w:sz="0" w:space="0" w:color="auto"/>
        <w:left w:val="none" w:sz="0" w:space="0" w:color="auto"/>
        <w:bottom w:val="none" w:sz="0" w:space="0" w:color="auto"/>
        <w:right w:val="none" w:sz="0" w:space="0" w:color="auto"/>
      </w:divBdr>
    </w:div>
    <w:div w:id="152112191">
      <w:bodyDiv w:val="1"/>
      <w:marLeft w:val="0"/>
      <w:marRight w:val="0"/>
      <w:marTop w:val="0"/>
      <w:marBottom w:val="0"/>
      <w:divBdr>
        <w:top w:val="none" w:sz="0" w:space="0" w:color="auto"/>
        <w:left w:val="none" w:sz="0" w:space="0" w:color="auto"/>
        <w:bottom w:val="none" w:sz="0" w:space="0" w:color="auto"/>
        <w:right w:val="none" w:sz="0" w:space="0" w:color="auto"/>
      </w:divBdr>
    </w:div>
    <w:div w:id="169684651">
      <w:bodyDiv w:val="1"/>
      <w:marLeft w:val="0"/>
      <w:marRight w:val="0"/>
      <w:marTop w:val="0"/>
      <w:marBottom w:val="0"/>
      <w:divBdr>
        <w:top w:val="none" w:sz="0" w:space="0" w:color="auto"/>
        <w:left w:val="none" w:sz="0" w:space="0" w:color="auto"/>
        <w:bottom w:val="none" w:sz="0" w:space="0" w:color="auto"/>
        <w:right w:val="none" w:sz="0" w:space="0" w:color="auto"/>
      </w:divBdr>
    </w:div>
    <w:div w:id="189077255">
      <w:bodyDiv w:val="1"/>
      <w:marLeft w:val="0"/>
      <w:marRight w:val="0"/>
      <w:marTop w:val="0"/>
      <w:marBottom w:val="0"/>
      <w:divBdr>
        <w:top w:val="none" w:sz="0" w:space="0" w:color="auto"/>
        <w:left w:val="none" w:sz="0" w:space="0" w:color="auto"/>
        <w:bottom w:val="none" w:sz="0" w:space="0" w:color="auto"/>
        <w:right w:val="none" w:sz="0" w:space="0" w:color="auto"/>
      </w:divBdr>
      <w:divsChild>
        <w:div w:id="2025932829">
          <w:marLeft w:val="0"/>
          <w:marRight w:val="0"/>
          <w:marTop w:val="0"/>
          <w:marBottom w:val="0"/>
          <w:divBdr>
            <w:top w:val="none" w:sz="0" w:space="0" w:color="auto"/>
            <w:left w:val="none" w:sz="0" w:space="0" w:color="auto"/>
            <w:bottom w:val="none" w:sz="0" w:space="0" w:color="auto"/>
            <w:right w:val="none" w:sz="0" w:space="0" w:color="auto"/>
          </w:divBdr>
          <w:divsChild>
            <w:div w:id="17036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66161">
      <w:bodyDiv w:val="1"/>
      <w:marLeft w:val="0"/>
      <w:marRight w:val="0"/>
      <w:marTop w:val="0"/>
      <w:marBottom w:val="0"/>
      <w:divBdr>
        <w:top w:val="none" w:sz="0" w:space="0" w:color="auto"/>
        <w:left w:val="none" w:sz="0" w:space="0" w:color="auto"/>
        <w:bottom w:val="none" w:sz="0" w:space="0" w:color="auto"/>
        <w:right w:val="none" w:sz="0" w:space="0" w:color="auto"/>
      </w:divBdr>
    </w:div>
    <w:div w:id="213739823">
      <w:bodyDiv w:val="1"/>
      <w:marLeft w:val="0"/>
      <w:marRight w:val="0"/>
      <w:marTop w:val="0"/>
      <w:marBottom w:val="0"/>
      <w:divBdr>
        <w:top w:val="none" w:sz="0" w:space="0" w:color="auto"/>
        <w:left w:val="none" w:sz="0" w:space="0" w:color="auto"/>
        <w:bottom w:val="none" w:sz="0" w:space="0" w:color="auto"/>
        <w:right w:val="none" w:sz="0" w:space="0" w:color="auto"/>
      </w:divBdr>
    </w:div>
    <w:div w:id="231626273">
      <w:bodyDiv w:val="1"/>
      <w:marLeft w:val="0"/>
      <w:marRight w:val="0"/>
      <w:marTop w:val="0"/>
      <w:marBottom w:val="0"/>
      <w:divBdr>
        <w:top w:val="none" w:sz="0" w:space="0" w:color="auto"/>
        <w:left w:val="none" w:sz="0" w:space="0" w:color="auto"/>
        <w:bottom w:val="none" w:sz="0" w:space="0" w:color="auto"/>
        <w:right w:val="none" w:sz="0" w:space="0" w:color="auto"/>
      </w:divBdr>
      <w:divsChild>
        <w:div w:id="1291009112">
          <w:marLeft w:val="0"/>
          <w:marRight w:val="0"/>
          <w:marTop w:val="0"/>
          <w:marBottom w:val="0"/>
          <w:divBdr>
            <w:top w:val="none" w:sz="0" w:space="0" w:color="auto"/>
            <w:left w:val="none" w:sz="0" w:space="0" w:color="auto"/>
            <w:bottom w:val="none" w:sz="0" w:space="0" w:color="auto"/>
            <w:right w:val="none" w:sz="0" w:space="0" w:color="auto"/>
          </w:divBdr>
          <w:divsChild>
            <w:div w:id="138243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4085">
      <w:bodyDiv w:val="1"/>
      <w:marLeft w:val="0"/>
      <w:marRight w:val="0"/>
      <w:marTop w:val="0"/>
      <w:marBottom w:val="0"/>
      <w:divBdr>
        <w:top w:val="none" w:sz="0" w:space="0" w:color="auto"/>
        <w:left w:val="none" w:sz="0" w:space="0" w:color="auto"/>
        <w:bottom w:val="none" w:sz="0" w:space="0" w:color="auto"/>
        <w:right w:val="none" w:sz="0" w:space="0" w:color="auto"/>
      </w:divBdr>
    </w:div>
    <w:div w:id="250546381">
      <w:bodyDiv w:val="1"/>
      <w:marLeft w:val="0"/>
      <w:marRight w:val="0"/>
      <w:marTop w:val="0"/>
      <w:marBottom w:val="0"/>
      <w:divBdr>
        <w:top w:val="none" w:sz="0" w:space="0" w:color="auto"/>
        <w:left w:val="none" w:sz="0" w:space="0" w:color="auto"/>
        <w:bottom w:val="none" w:sz="0" w:space="0" w:color="auto"/>
        <w:right w:val="none" w:sz="0" w:space="0" w:color="auto"/>
      </w:divBdr>
    </w:div>
    <w:div w:id="263848606">
      <w:bodyDiv w:val="1"/>
      <w:marLeft w:val="0"/>
      <w:marRight w:val="0"/>
      <w:marTop w:val="0"/>
      <w:marBottom w:val="0"/>
      <w:divBdr>
        <w:top w:val="none" w:sz="0" w:space="0" w:color="auto"/>
        <w:left w:val="none" w:sz="0" w:space="0" w:color="auto"/>
        <w:bottom w:val="none" w:sz="0" w:space="0" w:color="auto"/>
        <w:right w:val="none" w:sz="0" w:space="0" w:color="auto"/>
      </w:divBdr>
    </w:div>
    <w:div w:id="269629458">
      <w:bodyDiv w:val="1"/>
      <w:marLeft w:val="0"/>
      <w:marRight w:val="0"/>
      <w:marTop w:val="0"/>
      <w:marBottom w:val="0"/>
      <w:divBdr>
        <w:top w:val="none" w:sz="0" w:space="0" w:color="auto"/>
        <w:left w:val="none" w:sz="0" w:space="0" w:color="auto"/>
        <w:bottom w:val="none" w:sz="0" w:space="0" w:color="auto"/>
        <w:right w:val="none" w:sz="0" w:space="0" w:color="auto"/>
      </w:divBdr>
    </w:div>
    <w:div w:id="272249820">
      <w:bodyDiv w:val="1"/>
      <w:marLeft w:val="0"/>
      <w:marRight w:val="0"/>
      <w:marTop w:val="0"/>
      <w:marBottom w:val="0"/>
      <w:divBdr>
        <w:top w:val="none" w:sz="0" w:space="0" w:color="auto"/>
        <w:left w:val="none" w:sz="0" w:space="0" w:color="auto"/>
        <w:bottom w:val="none" w:sz="0" w:space="0" w:color="auto"/>
        <w:right w:val="none" w:sz="0" w:space="0" w:color="auto"/>
      </w:divBdr>
    </w:div>
    <w:div w:id="343868640">
      <w:bodyDiv w:val="1"/>
      <w:marLeft w:val="0"/>
      <w:marRight w:val="0"/>
      <w:marTop w:val="0"/>
      <w:marBottom w:val="0"/>
      <w:divBdr>
        <w:top w:val="none" w:sz="0" w:space="0" w:color="auto"/>
        <w:left w:val="none" w:sz="0" w:space="0" w:color="auto"/>
        <w:bottom w:val="none" w:sz="0" w:space="0" w:color="auto"/>
        <w:right w:val="none" w:sz="0" w:space="0" w:color="auto"/>
      </w:divBdr>
      <w:divsChild>
        <w:div w:id="886335948">
          <w:marLeft w:val="0"/>
          <w:marRight w:val="0"/>
          <w:marTop w:val="0"/>
          <w:marBottom w:val="0"/>
          <w:divBdr>
            <w:top w:val="none" w:sz="0" w:space="0" w:color="auto"/>
            <w:left w:val="none" w:sz="0" w:space="0" w:color="auto"/>
            <w:bottom w:val="none" w:sz="0" w:space="0" w:color="auto"/>
            <w:right w:val="none" w:sz="0" w:space="0" w:color="auto"/>
          </w:divBdr>
          <w:divsChild>
            <w:div w:id="16907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3676">
      <w:bodyDiv w:val="1"/>
      <w:marLeft w:val="0"/>
      <w:marRight w:val="0"/>
      <w:marTop w:val="0"/>
      <w:marBottom w:val="0"/>
      <w:divBdr>
        <w:top w:val="none" w:sz="0" w:space="0" w:color="auto"/>
        <w:left w:val="none" w:sz="0" w:space="0" w:color="auto"/>
        <w:bottom w:val="none" w:sz="0" w:space="0" w:color="auto"/>
        <w:right w:val="none" w:sz="0" w:space="0" w:color="auto"/>
      </w:divBdr>
    </w:div>
    <w:div w:id="407113680">
      <w:bodyDiv w:val="1"/>
      <w:marLeft w:val="0"/>
      <w:marRight w:val="0"/>
      <w:marTop w:val="0"/>
      <w:marBottom w:val="0"/>
      <w:divBdr>
        <w:top w:val="none" w:sz="0" w:space="0" w:color="auto"/>
        <w:left w:val="none" w:sz="0" w:space="0" w:color="auto"/>
        <w:bottom w:val="none" w:sz="0" w:space="0" w:color="auto"/>
        <w:right w:val="none" w:sz="0" w:space="0" w:color="auto"/>
      </w:divBdr>
    </w:div>
    <w:div w:id="502742454">
      <w:bodyDiv w:val="1"/>
      <w:marLeft w:val="0"/>
      <w:marRight w:val="0"/>
      <w:marTop w:val="0"/>
      <w:marBottom w:val="0"/>
      <w:divBdr>
        <w:top w:val="none" w:sz="0" w:space="0" w:color="auto"/>
        <w:left w:val="none" w:sz="0" w:space="0" w:color="auto"/>
        <w:bottom w:val="none" w:sz="0" w:space="0" w:color="auto"/>
        <w:right w:val="none" w:sz="0" w:space="0" w:color="auto"/>
      </w:divBdr>
    </w:div>
    <w:div w:id="506599077">
      <w:bodyDiv w:val="1"/>
      <w:marLeft w:val="0"/>
      <w:marRight w:val="0"/>
      <w:marTop w:val="0"/>
      <w:marBottom w:val="0"/>
      <w:divBdr>
        <w:top w:val="none" w:sz="0" w:space="0" w:color="auto"/>
        <w:left w:val="none" w:sz="0" w:space="0" w:color="auto"/>
        <w:bottom w:val="none" w:sz="0" w:space="0" w:color="auto"/>
        <w:right w:val="none" w:sz="0" w:space="0" w:color="auto"/>
      </w:divBdr>
      <w:divsChild>
        <w:div w:id="194999924">
          <w:marLeft w:val="0"/>
          <w:marRight w:val="0"/>
          <w:marTop w:val="0"/>
          <w:marBottom w:val="0"/>
          <w:divBdr>
            <w:top w:val="none" w:sz="0" w:space="0" w:color="auto"/>
            <w:left w:val="none" w:sz="0" w:space="0" w:color="auto"/>
            <w:bottom w:val="none" w:sz="0" w:space="0" w:color="auto"/>
            <w:right w:val="none" w:sz="0" w:space="0" w:color="auto"/>
          </w:divBdr>
          <w:divsChild>
            <w:div w:id="1879395410">
              <w:marLeft w:val="0"/>
              <w:marRight w:val="0"/>
              <w:marTop w:val="0"/>
              <w:marBottom w:val="0"/>
              <w:divBdr>
                <w:top w:val="none" w:sz="0" w:space="0" w:color="auto"/>
                <w:left w:val="none" w:sz="0" w:space="0" w:color="auto"/>
                <w:bottom w:val="none" w:sz="0" w:space="0" w:color="auto"/>
                <w:right w:val="none" w:sz="0" w:space="0" w:color="auto"/>
              </w:divBdr>
              <w:divsChild>
                <w:div w:id="2062553082">
                  <w:marLeft w:val="0"/>
                  <w:marRight w:val="0"/>
                  <w:marTop w:val="0"/>
                  <w:marBottom w:val="0"/>
                  <w:divBdr>
                    <w:top w:val="none" w:sz="0" w:space="0" w:color="auto"/>
                    <w:left w:val="none" w:sz="0" w:space="0" w:color="auto"/>
                    <w:bottom w:val="none" w:sz="0" w:space="0" w:color="auto"/>
                    <w:right w:val="none" w:sz="0" w:space="0" w:color="auto"/>
                  </w:divBdr>
                  <w:divsChild>
                    <w:div w:id="612636984">
                      <w:marLeft w:val="0"/>
                      <w:marRight w:val="0"/>
                      <w:marTop w:val="0"/>
                      <w:marBottom w:val="0"/>
                      <w:divBdr>
                        <w:top w:val="none" w:sz="0" w:space="0" w:color="auto"/>
                        <w:left w:val="none" w:sz="0" w:space="0" w:color="auto"/>
                        <w:bottom w:val="none" w:sz="0" w:space="0" w:color="auto"/>
                        <w:right w:val="none" w:sz="0" w:space="0" w:color="auto"/>
                      </w:divBdr>
                      <w:divsChild>
                        <w:div w:id="93587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019382">
          <w:marLeft w:val="0"/>
          <w:marRight w:val="0"/>
          <w:marTop w:val="0"/>
          <w:marBottom w:val="0"/>
          <w:divBdr>
            <w:top w:val="none" w:sz="0" w:space="0" w:color="auto"/>
            <w:left w:val="none" w:sz="0" w:space="0" w:color="auto"/>
            <w:bottom w:val="none" w:sz="0" w:space="0" w:color="auto"/>
            <w:right w:val="none" w:sz="0" w:space="0" w:color="auto"/>
          </w:divBdr>
          <w:divsChild>
            <w:div w:id="989676333">
              <w:marLeft w:val="0"/>
              <w:marRight w:val="0"/>
              <w:marTop w:val="0"/>
              <w:marBottom w:val="0"/>
              <w:divBdr>
                <w:top w:val="none" w:sz="0" w:space="0" w:color="auto"/>
                <w:left w:val="none" w:sz="0" w:space="0" w:color="auto"/>
                <w:bottom w:val="none" w:sz="0" w:space="0" w:color="auto"/>
                <w:right w:val="none" w:sz="0" w:space="0" w:color="auto"/>
              </w:divBdr>
              <w:divsChild>
                <w:div w:id="1893154361">
                  <w:marLeft w:val="0"/>
                  <w:marRight w:val="0"/>
                  <w:marTop w:val="0"/>
                  <w:marBottom w:val="0"/>
                  <w:divBdr>
                    <w:top w:val="none" w:sz="0" w:space="0" w:color="auto"/>
                    <w:left w:val="none" w:sz="0" w:space="0" w:color="auto"/>
                    <w:bottom w:val="none" w:sz="0" w:space="0" w:color="auto"/>
                    <w:right w:val="none" w:sz="0" w:space="0" w:color="auto"/>
                  </w:divBdr>
                  <w:divsChild>
                    <w:div w:id="1423333582">
                      <w:marLeft w:val="0"/>
                      <w:marRight w:val="0"/>
                      <w:marTop w:val="0"/>
                      <w:marBottom w:val="0"/>
                      <w:divBdr>
                        <w:top w:val="none" w:sz="0" w:space="0" w:color="auto"/>
                        <w:left w:val="none" w:sz="0" w:space="0" w:color="auto"/>
                        <w:bottom w:val="none" w:sz="0" w:space="0" w:color="auto"/>
                        <w:right w:val="none" w:sz="0" w:space="0" w:color="auto"/>
                      </w:divBdr>
                      <w:divsChild>
                        <w:div w:id="333800520">
                          <w:marLeft w:val="0"/>
                          <w:marRight w:val="0"/>
                          <w:marTop w:val="0"/>
                          <w:marBottom w:val="0"/>
                          <w:divBdr>
                            <w:top w:val="none" w:sz="0" w:space="0" w:color="auto"/>
                            <w:left w:val="none" w:sz="0" w:space="0" w:color="auto"/>
                            <w:bottom w:val="none" w:sz="0" w:space="0" w:color="auto"/>
                            <w:right w:val="none" w:sz="0" w:space="0" w:color="auto"/>
                          </w:divBdr>
                          <w:divsChild>
                            <w:div w:id="183684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15304">
      <w:bodyDiv w:val="1"/>
      <w:marLeft w:val="0"/>
      <w:marRight w:val="0"/>
      <w:marTop w:val="0"/>
      <w:marBottom w:val="0"/>
      <w:divBdr>
        <w:top w:val="none" w:sz="0" w:space="0" w:color="auto"/>
        <w:left w:val="none" w:sz="0" w:space="0" w:color="auto"/>
        <w:bottom w:val="none" w:sz="0" w:space="0" w:color="auto"/>
        <w:right w:val="none" w:sz="0" w:space="0" w:color="auto"/>
      </w:divBdr>
    </w:div>
    <w:div w:id="549928031">
      <w:bodyDiv w:val="1"/>
      <w:marLeft w:val="0"/>
      <w:marRight w:val="0"/>
      <w:marTop w:val="0"/>
      <w:marBottom w:val="0"/>
      <w:divBdr>
        <w:top w:val="none" w:sz="0" w:space="0" w:color="auto"/>
        <w:left w:val="none" w:sz="0" w:space="0" w:color="auto"/>
        <w:bottom w:val="none" w:sz="0" w:space="0" w:color="auto"/>
        <w:right w:val="none" w:sz="0" w:space="0" w:color="auto"/>
      </w:divBdr>
    </w:div>
    <w:div w:id="554044728">
      <w:bodyDiv w:val="1"/>
      <w:marLeft w:val="0"/>
      <w:marRight w:val="0"/>
      <w:marTop w:val="0"/>
      <w:marBottom w:val="0"/>
      <w:divBdr>
        <w:top w:val="none" w:sz="0" w:space="0" w:color="auto"/>
        <w:left w:val="none" w:sz="0" w:space="0" w:color="auto"/>
        <w:bottom w:val="none" w:sz="0" w:space="0" w:color="auto"/>
        <w:right w:val="none" w:sz="0" w:space="0" w:color="auto"/>
      </w:divBdr>
    </w:div>
    <w:div w:id="594674260">
      <w:bodyDiv w:val="1"/>
      <w:marLeft w:val="0"/>
      <w:marRight w:val="0"/>
      <w:marTop w:val="0"/>
      <w:marBottom w:val="0"/>
      <w:divBdr>
        <w:top w:val="none" w:sz="0" w:space="0" w:color="auto"/>
        <w:left w:val="none" w:sz="0" w:space="0" w:color="auto"/>
        <w:bottom w:val="none" w:sz="0" w:space="0" w:color="auto"/>
        <w:right w:val="none" w:sz="0" w:space="0" w:color="auto"/>
      </w:divBdr>
      <w:divsChild>
        <w:div w:id="207375693">
          <w:marLeft w:val="0"/>
          <w:marRight w:val="0"/>
          <w:marTop w:val="0"/>
          <w:marBottom w:val="0"/>
          <w:divBdr>
            <w:top w:val="none" w:sz="0" w:space="0" w:color="auto"/>
            <w:left w:val="none" w:sz="0" w:space="0" w:color="auto"/>
            <w:bottom w:val="none" w:sz="0" w:space="0" w:color="auto"/>
            <w:right w:val="none" w:sz="0" w:space="0" w:color="auto"/>
          </w:divBdr>
          <w:divsChild>
            <w:div w:id="18285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0662">
      <w:bodyDiv w:val="1"/>
      <w:marLeft w:val="0"/>
      <w:marRight w:val="0"/>
      <w:marTop w:val="0"/>
      <w:marBottom w:val="0"/>
      <w:divBdr>
        <w:top w:val="none" w:sz="0" w:space="0" w:color="auto"/>
        <w:left w:val="none" w:sz="0" w:space="0" w:color="auto"/>
        <w:bottom w:val="none" w:sz="0" w:space="0" w:color="auto"/>
        <w:right w:val="none" w:sz="0" w:space="0" w:color="auto"/>
      </w:divBdr>
    </w:div>
    <w:div w:id="644428890">
      <w:bodyDiv w:val="1"/>
      <w:marLeft w:val="0"/>
      <w:marRight w:val="0"/>
      <w:marTop w:val="0"/>
      <w:marBottom w:val="0"/>
      <w:divBdr>
        <w:top w:val="none" w:sz="0" w:space="0" w:color="auto"/>
        <w:left w:val="none" w:sz="0" w:space="0" w:color="auto"/>
        <w:bottom w:val="none" w:sz="0" w:space="0" w:color="auto"/>
        <w:right w:val="none" w:sz="0" w:space="0" w:color="auto"/>
      </w:divBdr>
      <w:divsChild>
        <w:div w:id="2045865519">
          <w:marLeft w:val="0"/>
          <w:marRight w:val="0"/>
          <w:marTop w:val="0"/>
          <w:marBottom w:val="0"/>
          <w:divBdr>
            <w:top w:val="none" w:sz="0" w:space="0" w:color="auto"/>
            <w:left w:val="none" w:sz="0" w:space="0" w:color="auto"/>
            <w:bottom w:val="none" w:sz="0" w:space="0" w:color="auto"/>
            <w:right w:val="none" w:sz="0" w:space="0" w:color="auto"/>
          </w:divBdr>
          <w:divsChild>
            <w:div w:id="154339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80258">
      <w:bodyDiv w:val="1"/>
      <w:marLeft w:val="0"/>
      <w:marRight w:val="0"/>
      <w:marTop w:val="0"/>
      <w:marBottom w:val="0"/>
      <w:divBdr>
        <w:top w:val="none" w:sz="0" w:space="0" w:color="auto"/>
        <w:left w:val="none" w:sz="0" w:space="0" w:color="auto"/>
        <w:bottom w:val="none" w:sz="0" w:space="0" w:color="auto"/>
        <w:right w:val="none" w:sz="0" w:space="0" w:color="auto"/>
      </w:divBdr>
    </w:div>
    <w:div w:id="673725446">
      <w:bodyDiv w:val="1"/>
      <w:marLeft w:val="0"/>
      <w:marRight w:val="0"/>
      <w:marTop w:val="0"/>
      <w:marBottom w:val="0"/>
      <w:divBdr>
        <w:top w:val="none" w:sz="0" w:space="0" w:color="auto"/>
        <w:left w:val="none" w:sz="0" w:space="0" w:color="auto"/>
        <w:bottom w:val="none" w:sz="0" w:space="0" w:color="auto"/>
        <w:right w:val="none" w:sz="0" w:space="0" w:color="auto"/>
      </w:divBdr>
    </w:div>
    <w:div w:id="683089222">
      <w:bodyDiv w:val="1"/>
      <w:marLeft w:val="0"/>
      <w:marRight w:val="0"/>
      <w:marTop w:val="0"/>
      <w:marBottom w:val="0"/>
      <w:divBdr>
        <w:top w:val="none" w:sz="0" w:space="0" w:color="auto"/>
        <w:left w:val="none" w:sz="0" w:space="0" w:color="auto"/>
        <w:bottom w:val="none" w:sz="0" w:space="0" w:color="auto"/>
        <w:right w:val="none" w:sz="0" w:space="0" w:color="auto"/>
      </w:divBdr>
    </w:div>
    <w:div w:id="783117997">
      <w:bodyDiv w:val="1"/>
      <w:marLeft w:val="0"/>
      <w:marRight w:val="0"/>
      <w:marTop w:val="0"/>
      <w:marBottom w:val="0"/>
      <w:divBdr>
        <w:top w:val="none" w:sz="0" w:space="0" w:color="auto"/>
        <w:left w:val="none" w:sz="0" w:space="0" w:color="auto"/>
        <w:bottom w:val="none" w:sz="0" w:space="0" w:color="auto"/>
        <w:right w:val="none" w:sz="0" w:space="0" w:color="auto"/>
      </w:divBdr>
    </w:div>
    <w:div w:id="854153586">
      <w:bodyDiv w:val="1"/>
      <w:marLeft w:val="0"/>
      <w:marRight w:val="0"/>
      <w:marTop w:val="0"/>
      <w:marBottom w:val="0"/>
      <w:divBdr>
        <w:top w:val="none" w:sz="0" w:space="0" w:color="auto"/>
        <w:left w:val="none" w:sz="0" w:space="0" w:color="auto"/>
        <w:bottom w:val="none" w:sz="0" w:space="0" w:color="auto"/>
        <w:right w:val="none" w:sz="0" w:space="0" w:color="auto"/>
      </w:divBdr>
    </w:div>
    <w:div w:id="875696136">
      <w:bodyDiv w:val="1"/>
      <w:marLeft w:val="0"/>
      <w:marRight w:val="0"/>
      <w:marTop w:val="0"/>
      <w:marBottom w:val="0"/>
      <w:divBdr>
        <w:top w:val="none" w:sz="0" w:space="0" w:color="auto"/>
        <w:left w:val="none" w:sz="0" w:space="0" w:color="auto"/>
        <w:bottom w:val="none" w:sz="0" w:space="0" w:color="auto"/>
        <w:right w:val="none" w:sz="0" w:space="0" w:color="auto"/>
      </w:divBdr>
      <w:divsChild>
        <w:div w:id="1162188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06237">
          <w:marLeft w:val="0"/>
          <w:marRight w:val="0"/>
          <w:marTop w:val="0"/>
          <w:marBottom w:val="0"/>
          <w:divBdr>
            <w:top w:val="none" w:sz="0" w:space="0" w:color="auto"/>
            <w:left w:val="none" w:sz="0" w:space="0" w:color="auto"/>
            <w:bottom w:val="none" w:sz="0" w:space="0" w:color="auto"/>
            <w:right w:val="none" w:sz="0" w:space="0" w:color="auto"/>
          </w:divBdr>
          <w:divsChild>
            <w:div w:id="174583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166809">
      <w:bodyDiv w:val="1"/>
      <w:marLeft w:val="0"/>
      <w:marRight w:val="0"/>
      <w:marTop w:val="0"/>
      <w:marBottom w:val="0"/>
      <w:divBdr>
        <w:top w:val="none" w:sz="0" w:space="0" w:color="auto"/>
        <w:left w:val="none" w:sz="0" w:space="0" w:color="auto"/>
        <w:bottom w:val="none" w:sz="0" w:space="0" w:color="auto"/>
        <w:right w:val="none" w:sz="0" w:space="0" w:color="auto"/>
      </w:divBdr>
    </w:div>
    <w:div w:id="912660861">
      <w:bodyDiv w:val="1"/>
      <w:marLeft w:val="0"/>
      <w:marRight w:val="0"/>
      <w:marTop w:val="0"/>
      <w:marBottom w:val="0"/>
      <w:divBdr>
        <w:top w:val="none" w:sz="0" w:space="0" w:color="auto"/>
        <w:left w:val="none" w:sz="0" w:space="0" w:color="auto"/>
        <w:bottom w:val="none" w:sz="0" w:space="0" w:color="auto"/>
        <w:right w:val="none" w:sz="0" w:space="0" w:color="auto"/>
      </w:divBdr>
      <w:divsChild>
        <w:div w:id="777598801">
          <w:marLeft w:val="0"/>
          <w:marRight w:val="0"/>
          <w:marTop w:val="0"/>
          <w:marBottom w:val="0"/>
          <w:divBdr>
            <w:top w:val="none" w:sz="0" w:space="0" w:color="auto"/>
            <w:left w:val="none" w:sz="0" w:space="0" w:color="auto"/>
            <w:bottom w:val="none" w:sz="0" w:space="0" w:color="auto"/>
            <w:right w:val="none" w:sz="0" w:space="0" w:color="auto"/>
          </w:divBdr>
          <w:divsChild>
            <w:div w:id="635066982">
              <w:marLeft w:val="0"/>
              <w:marRight w:val="0"/>
              <w:marTop w:val="0"/>
              <w:marBottom w:val="0"/>
              <w:divBdr>
                <w:top w:val="none" w:sz="0" w:space="0" w:color="auto"/>
                <w:left w:val="none" w:sz="0" w:space="0" w:color="auto"/>
                <w:bottom w:val="none" w:sz="0" w:space="0" w:color="auto"/>
                <w:right w:val="none" w:sz="0" w:space="0" w:color="auto"/>
              </w:divBdr>
              <w:divsChild>
                <w:div w:id="1673603936">
                  <w:marLeft w:val="0"/>
                  <w:marRight w:val="0"/>
                  <w:marTop w:val="0"/>
                  <w:marBottom w:val="0"/>
                  <w:divBdr>
                    <w:top w:val="none" w:sz="0" w:space="0" w:color="auto"/>
                    <w:left w:val="none" w:sz="0" w:space="0" w:color="auto"/>
                    <w:bottom w:val="none" w:sz="0" w:space="0" w:color="auto"/>
                    <w:right w:val="none" w:sz="0" w:space="0" w:color="auto"/>
                  </w:divBdr>
                  <w:divsChild>
                    <w:div w:id="320543902">
                      <w:marLeft w:val="0"/>
                      <w:marRight w:val="0"/>
                      <w:marTop w:val="0"/>
                      <w:marBottom w:val="0"/>
                      <w:divBdr>
                        <w:top w:val="none" w:sz="0" w:space="0" w:color="auto"/>
                        <w:left w:val="none" w:sz="0" w:space="0" w:color="auto"/>
                        <w:bottom w:val="none" w:sz="0" w:space="0" w:color="auto"/>
                        <w:right w:val="none" w:sz="0" w:space="0" w:color="auto"/>
                      </w:divBdr>
                      <w:divsChild>
                        <w:div w:id="3585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126068">
          <w:marLeft w:val="0"/>
          <w:marRight w:val="0"/>
          <w:marTop w:val="0"/>
          <w:marBottom w:val="0"/>
          <w:divBdr>
            <w:top w:val="none" w:sz="0" w:space="0" w:color="auto"/>
            <w:left w:val="none" w:sz="0" w:space="0" w:color="auto"/>
            <w:bottom w:val="none" w:sz="0" w:space="0" w:color="auto"/>
            <w:right w:val="none" w:sz="0" w:space="0" w:color="auto"/>
          </w:divBdr>
          <w:divsChild>
            <w:div w:id="1945140345">
              <w:marLeft w:val="0"/>
              <w:marRight w:val="0"/>
              <w:marTop w:val="0"/>
              <w:marBottom w:val="0"/>
              <w:divBdr>
                <w:top w:val="none" w:sz="0" w:space="0" w:color="auto"/>
                <w:left w:val="none" w:sz="0" w:space="0" w:color="auto"/>
                <w:bottom w:val="none" w:sz="0" w:space="0" w:color="auto"/>
                <w:right w:val="none" w:sz="0" w:space="0" w:color="auto"/>
              </w:divBdr>
              <w:divsChild>
                <w:div w:id="89738498">
                  <w:marLeft w:val="0"/>
                  <w:marRight w:val="0"/>
                  <w:marTop w:val="0"/>
                  <w:marBottom w:val="0"/>
                  <w:divBdr>
                    <w:top w:val="none" w:sz="0" w:space="0" w:color="auto"/>
                    <w:left w:val="none" w:sz="0" w:space="0" w:color="auto"/>
                    <w:bottom w:val="none" w:sz="0" w:space="0" w:color="auto"/>
                    <w:right w:val="none" w:sz="0" w:space="0" w:color="auto"/>
                  </w:divBdr>
                  <w:divsChild>
                    <w:div w:id="1663124792">
                      <w:marLeft w:val="0"/>
                      <w:marRight w:val="0"/>
                      <w:marTop w:val="0"/>
                      <w:marBottom w:val="0"/>
                      <w:divBdr>
                        <w:top w:val="none" w:sz="0" w:space="0" w:color="auto"/>
                        <w:left w:val="none" w:sz="0" w:space="0" w:color="auto"/>
                        <w:bottom w:val="none" w:sz="0" w:space="0" w:color="auto"/>
                        <w:right w:val="none" w:sz="0" w:space="0" w:color="auto"/>
                      </w:divBdr>
                      <w:divsChild>
                        <w:div w:id="1116103359">
                          <w:marLeft w:val="0"/>
                          <w:marRight w:val="0"/>
                          <w:marTop w:val="0"/>
                          <w:marBottom w:val="0"/>
                          <w:divBdr>
                            <w:top w:val="none" w:sz="0" w:space="0" w:color="auto"/>
                            <w:left w:val="none" w:sz="0" w:space="0" w:color="auto"/>
                            <w:bottom w:val="none" w:sz="0" w:space="0" w:color="auto"/>
                            <w:right w:val="none" w:sz="0" w:space="0" w:color="auto"/>
                          </w:divBdr>
                          <w:divsChild>
                            <w:div w:id="71913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053519">
      <w:bodyDiv w:val="1"/>
      <w:marLeft w:val="0"/>
      <w:marRight w:val="0"/>
      <w:marTop w:val="0"/>
      <w:marBottom w:val="0"/>
      <w:divBdr>
        <w:top w:val="none" w:sz="0" w:space="0" w:color="auto"/>
        <w:left w:val="none" w:sz="0" w:space="0" w:color="auto"/>
        <w:bottom w:val="none" w:sz="0" w:space="0" w:color="auto"/>
        <w:right w:val="none" w:sz="0" w:space="0" w:color="auto"/>
      </w:divBdr>
      <w:divsChild>
        <w:div w:id="6639701">
          <w:marLeft w:val="0"/>
          <w:marRight w:val="0"/>
          <w:marTop w:val="0"/>
          <w:marBottom w:val="0"/>
          <w:divBdr>
            <w:top w:val="none" w:sz="0" w:space="0" w:color="auto"/>
            <w:left w:val="none" w:sz="0" w:space="0" w:color="auto"/>
            <w:bottom w:val="none" w:sz="0" w:space="0" w:color="auto"/>
            <w:right w:val="none" w:sz="0" w:space="0" w:color="auto"/>
          </w:divBdr>
          <w:divsChild>
            <w:div w:id="224530465">
              <w:marLeft w:val="0"/>
              <w:marRight w:val="0"/>
              <w:marTop w:val="0"/>
              <w:marBottom w:val="0"/>
              <w:divBdr>
                <w:top w:val="none" w:sz="0" w:space="0" w:color="auto"/>
                <w:left w:val="none" w:sz="0" w:space="0" w:color="auto"/>
                <w:bottom w:val="none" w:sz="0" w:space="0" w:color="auto"/>
                <w:right w:val="none" w:sz="0" w:space="0" w:color="auto"/>
              </w:divBdr>
            </w:div>
            <w:div w:id="569968113">
              <w:marLeft w:val="0"/>
              <w:marRight w:val="0"/>
              <w:marTop w:val="0"/>
              <w:marBottom w:val="0"/>
              <w:divBdr>
                <w:top w:val="none" w:sz="0" w:space="0" w:color="auto"/>
                <w:left w:val="none" w:sz="0" w:space="0" w:color="auto"/>
                <w:bottom w:val="none" w:sz="0" w:space="0" w:color="auto"/>
                <w:right w:val="none" w:sz="0" w:space="0" w:color="auto"/>
              </w:divBdr>
            </w:div>
            <w:div w:id="1075391883">
              <w:marLeft w:val="0"/>
              <w:marRight w:val="0"/>
              <w:marTop w:val="0"/>
              <w:marBottom w:val="0"/>
              <w:divBdr>
                <w:top w:val="none" w:sz="0" w:space="0" w:color="auto"/>
                <w:left w:val="none" w:sz="0" w:space="0" w:color="auto"/>
                <w:bottom w:val="none" w:sz="0" w:space="0" w:color="auto"/>
                <w:right w:val="none" w:sz="0" w:space="0" w:color="auto"/>
              </w:divBdr>
            </w:div>
            <w:div w:id="1139424060">
              <w:marLeft w:val="0"/>
              <w:marRight w:val="0"/>
              <w:marTop w:val="0"/>
              <w:marBottom w:val="0"/>
              <w:divBdr>
                <w:top w:val="none" w:sz="0" w:space="0" w:color="auto"/>
                <w:left w:val="none" w:sz="0" w:space="0" w:color="auto"/>
                <w:bottom w:val="none" w:sz="0" w:space="0" w:color="auto"/>
                <w:right w:val="none" w:sz="0" w:space="0" w:color="auto"/>
              </w:divBdr>
            </w:div>
            <w:div w:id="1143735403">
              <w:marLeft w:val="0"/>
              <w:marRight w:val="0"/>
              <w:marTop w:val="0"/>
              <w:marBottom w:val="0"/>
              <w:divBdr>
                <w:top w:val="none" w:sz="0" w:space="0" w:color="auto"/>
                <w:left w:val="none" w:sz="0" w:space="0" w:color="auto"/>
                <w:bottom w:val="none" w:sz="0" w:space="0" w:color="auto"/>
                <w:right w:val="none" w:sz="0" w:space="0" w:color="auto"/>
              </w:divBdr>
            </w:div>
            <w:div w:id="1364597304">
              <w:marLeft w:val="0"/>
              <w:marRight w:val="0"/>
              <w:marTop w:val="0"/>
              <w:marBottom w:val="0"/>
              <w:divBdr>
                <w:top w:val="none" w:sz="0" w:space="0" w:color="auto"/>
                <w:left w:val="none" w:sz="0" w:space="0" w:color="auto"/>
                <w:bottom w:val="none" w:sz="0" w:space="0" w:color="auto"/>
                <w:right w:val="none" w:sz="0" w:space="0" w:color="auto"/>
              </w:divBdr>
            </w:div>
            <w:div w:id="1514294874">
              <w:marLeft w:val="0"/>
              <w:marRight w:val="0"/>
              <w:marTop w:val="0"/>
              <w:marBottom w:val="0"/>
              <w:divBdr>
                <w:top w:val="none" w:sz="0" w:space="0" w:color="auto"/>
                <w:left w:val="none" w:sz="0" w:space="0" w:color="auto"/>
                <w:bottom w:val="none" w:sz="0" w:space="0" w:color="auto"/>
                <w:right w:val="none" w:sz="0" w:space="0" w:color="auto"/>
              </w:divBdr>
            </w:div>
            <w:div w:id="1674801602">
              <w:marLeft w:val="0"/>
              <w:marRight w:val="0"/>
              <w:marTop w:val="0"/>
              <w:marBottom w:val="0"/>
              <w:divBdr>
                <w:top w:val="none" w:sz="0" w:space="0" w:color="auto"/>
                <w:left w:val="none" w:sz="0" w:space="0" w:color="auto"/>
                <w:bottom w:val="none" w:sz="0" w:space="0" w:color="auto"/>
                <w:right w:val="none" w:sz="0" w:space="0" w:color="auto"/>
              </w:divBdr>
            </w:div>
            <w:div w:id="2116556621">
              <w:marLeft w:val="0"/>
              <w:marRight w:val="0"/>
              <w:marTop w:val="0"/>
              <w:marBottom w:val="0"/>
              <w:divBdr>
                <w:top w:val="none" w:sz="0" w:space="0" w:color="auto"/>
                <w:left w:val="none" w:sz="0" w:space="0" w:color="auto"/>
                <w:bottom w:val="none" w:sz="0" w:space="0" w:color="auto"/>
                <w:right w:val="none" w:sz="0" w:space="0" w:color="auto"/>
              </w:divBdr>
            </w:div>
            <w:div w:id="2143038049">
              <w:marLeft w:val="0"/>
              <w:marRight w:val="0"/>
              <w:marTop w:val="0"/>
              <w:marBottom w:val="0"/>
              <w:divBdr>
                <w:top w:val="none" w:sz="0" w:space="0" w:color="auto"/>
                <w:left w:val="none" w:sz="0" w:space="0" w:color="auto"/>
                <w:bottom w:val="none" w:sz="0" w:space="0" w:color="auto"/>
                <w:right w:val="none" w:sz="0" w:space="0" w:color="auto"/>
              </w:divBdr>
            </w:div>
          </w:divsChild>
        </w:div>
        <w:div w:id="781340949">
          <w:marLeft w:val="0"/>
          <w:marRight w:val="0"/>
          <w:marTop w:val="0"/>
          <w:marBottom w:val="0"/>
          <w:divBdr>
            <w:top w:val="none" w:sz="0" w:space="0" w:color="auto"/>
            <w:left w:val="none" w:sz="0" w:space="0" w:color="auto"/>
            <w:bottom w:val="none" w:sz="0" w:space="0" w:color="auto"/>
            <w:right w:val="none" w:sz="0" w:space="0" w:color="auto"/>
          </w:divBdr>
        </w:div>
        <w:div w:id="996493635">
          <w:marLeft w:val="0"/>
          <w:marRight w:val="0"/>
          <w:marTop w:val="0"/>
          <w:marBottom w:val="0"/>
          <w:divBdr>
            <w:top w:val="none" w:sz="0" w:space="0" w:color="auto"/>
            <w:left w:val="none" w:sz="0" w:space="0" w:color="auto"/>
            <w:bottom w:val="none" w:sz="0" w:space="0" w:color="auto"/>
            <w:right w:val="none" w:sz="0" w:space="0" w:color="auto"/>
          </w:divBdr>
          <w:divsChild>
            <w:div w:id="75517108">
              <w:marLeft w:val="0"/>
              <w:marRight w:val="0"/>
              <w:marTop w:val="0"/>
              <w:marBottom w:val="0"/>
              <w:divBdr>
                <w:top w:val="none" w:sz="0" w:space="0" w:color="auto"/>
                <w:left w:val="none" w:sz="0" w:space="0" w:color="auto"/>
                <w:bottom w:val="none" w:sz="0" w:space="0" w:color="auto"/>
                <w:right w:val="none" w:sz="0" w:space="0" w:color="auto"/>
              </w:divBdr>
            </w:div>
            <w:div w:id="467868135">
              <w:marLeft w:val="0"/>
              <w:marRight w:val="0"/>
              <w:marTop w:val="0"/>
              <w:marBottom w:val="0"/>
              <w:divBdr>
                <w:top w:val="none" w:sz="0" w:space="0" w:color="auto"/>
                <w:left w:val="none" w:sz="0" w:space="0" w:color="auto"/>
                <w:bottom w:val="none" w:sz="0" w:space="0" w:color="auto"/>
                <w:right w:val="none" w:sz="0" w:space="0" w:color="auto"/>
              </w:divBdr>
            </w:div>
            <w:div w:id="516770372">
              <w:marLeft w:val="0"/>
              <w:marRight w:val="0"/>
              <w:marTop w:val="0"/>
              <w:marBottom w:val="0"/>
              <w:divBdr>
                <w:top w:val="none" w:sz="0" w:space="0" w:color="auto"/>
                <w:left w:val="none" w:sz="0" w:space="0" w:color="auto"/>
                <w:bottom w:val="none" w:sz="0" w:space="0" w:color="auto"/>
                <w:right w:val="none" w:sz="0" w:space="0" w:color="auto"/>
              </w:divBdr>
            </w:div>
            <w:div w:id="564608525">
              <w:marLeft w:val="0"/>
              <w:marRight w:val="0"/>
              <w:marTop w:val="0"/>
              <w:marBottom w:val="0"/>
              <w:divBdr>
                <w:top w:val="none" w:sz="0" w:space="0" w:color="auto"/>
                <w:left w:val="none" w:sz="0" w:space="0" w:color="auto"/>
                <w:bottom w:val="none" w:sz="0" w:space="0" w:color="auto"/>
                <w:right w:val="none" w:sz="0" w:space="0" w:color="auto"/>
              </w:divBdr>
            </w:div>
            <w:div w:id="648367923">
              <w:marLeft w:val="0"/>
              <w:marRight w:val="0"/>
              <w:marTop w:val="0"/>
              <w:marBottom w:val="0"/>
              <w:divBdr>
                <w:top w:val="none" w:sz="0" w:space="0" w:color="auto"/>
                <w:left w:val="none" w:sz="0" w:space="0" w:color="auto"/>
                <w:bottom w:val="none" w:sz="0" w:space="0" w:color="auto"/>
                <w:right w:val="none" w:sz="0" w:space="0" w:color="auto"/>
              </w:divBdr>
            </w:div>
            <w:div w:id="699553779">
              <w:marLeft w:val="0"/>
              <w:marRight w:val="0"/>
              <w:marTop w:val="0"/>
              <w:marBottom w:val="0"/>
              <w:divBdr>
                <w:top w:val="none" w:sz="0" w:space="0" w:color="auto"/>
                <w:left w:val="none" w:sz="0" w:space="0" w:color="auto"/>
                <w:bottom w:val="none" w:sz="0" w:space="0" w:color="auto"/>
                <w:right w:val="none" w:sz="0" w:space="0" w:color="auto"/>
              </w:divBdr>
            </w:div>
            <w:div w:id="811950277">
              <w:marLeft w:val="0"/>
              <w:marRight w:val="0"/>
              <w:marTop w:val="0"/>
              <w:marBottom w:val="0"/>
              <w:divBdr>
                <w:top w:val="none" w:sz="0" w:space="0" w:color="auto"/>
                <w:left w:val="none" w:sz="0" w:space="0" w:color="auto"/>
                <w:bottom w:val="none" w:sz="0" w:space="0" w:color="auto"/>
                <w:right w:val="none" w:sz="0" w:space="0" w:color="auto"/>
              </w:divBdr>
            </w:div>
            <w:div w:id="1334647109">
              <w:marLeft w:val="0"/>
              <w:marRight w:val="0"/>
              <w:marTop w:val="0"/>
              <w:marBottom w:val="0"/>
              <w:divBdr>
                <w:top w:val="none" w:sz="0" w:space="0" w:color="auto"/>
                <w:left w:val="none" w:sz="0" w:space="0" w:color="auto"/>
                <w:bottom w:val="none" w:sz="0" w:space="0" w:color="auto"/>
                <w:right w:val="none" w:sz="0" w:space="0" w:color="auto"/>
              </w:divBdr>
            </w:div>
            <w:div w:id="1407531340">
              <w:marLeft w:val="0"/>
              <w:marRight w:val="0"/>
              <w:marTop w:val="0"/>
              <w:marBottom w:val="0"/>
              <w:divBdr>
                <w:top w:val="none" w:sz="0" w:space="0" w:color="auto"/>
                <w:left w:val="none" w:sz="0" w:space="0" w:color="auto"/>
                <w:bottom w:val="none" w:sz="0" w:space="0" w:color="auto"/>
                <w:right w:val="none" w:sz="0" w:space="0" w:color="auto"/>
              </w:divBdr>
            </w:div>
            <w:div w:id="1408378319">
              <w:marLeft w:val="0"/>
              <w:marRight w:val="0"/>
              <w:marTop w:val="0"/>
              <w:marBottom w:val="0"/>
              <w:divBdr>
                <w:top w:val="none" w:sz="0" w:space="0" w:color="auto"/>
                <w:left w:val="none" w:sz="0" w:space="0" w:color="auto"/>
                <w:bottom w:val="none" w:sz="0" w:space="0" w:color="auto"/>
                <w:right w:val="none" w:sz="0" w:space="0" w:color="auto"/>
              </w:divBdr>
            </w:div>
            <w:div w:id="1504054312">
              <w:marLeft w:val="0"/>
              <w:marRight w:val="0"/>
              <w:marTop w:val="0"/>
              <w:marBottom w:val="0"/>
              <w:divBdr>
                <w:top w:val="none" w:sz="0" w:space="0" w:color="auto"/>
                <w:left w:val="none" w:sz="0" w:space="0" w:color="auto"/>
                <w:bottom w:val="none" w:sz="0" w:space="0" w:color="auto"/>
                <w:right w:val="none" w:sz="0" w:space="0" w:color="auto"/>
              </w:divBdr>
            </w:div>
            <w:div w:id="1614827400">
              <w:marLeft w:val="0"/>
              <w:marRight w:val="0"/>
              <w:marTop w:val="0"/>
              <w:marBottom w:val="0"/>
              <w:divBdr>
                <w:top w:val="none" w:sz="0" w:space="0" w:color="auto"/>
                <w:left w:val="none" w:sz="0" w:space="0" w:color="auto"/>
                <w:bottom w:val="none" w:sz="0" w:space="0" w:color="auto"/>
                <w:right w:val="none" w:sz="0" w:space="0" w:color="auto"/>
              </w:divBdr>
            </w:div>
            <w:div w:id="1837309026">
              <w:marLeft w:val="0"/>
              <w:marRight w:val="0"/>
              <w:marTop w:val="0"/>
              <w:marBottom w:val="0"/>
              <w:divBdr>
                <w:top w:val="none" w:sz="0" w:space="0" w:color="auto"/>
                <w:left w:val="none" w:sz="0" w:space="0" w:color="auto"/>
                <w:bottom w:val="none" w:sz="0" w:space="0" w:color="auto"/>
                <w:right w:val="none" w:sz="0" w:space="0" w:color="auto"/>
              </w:divBdr>
            </w:div>
            <w:div w:id="1846894902">
              <w:marLeft w:val="0"/>
              <w:marRight w:val="0"/>
              <w:marTop w:val="0"/>
              <w:marBottom w:val="0"/>
              <w:divBdr>
                <w:top w:val="none" w:sz="0" w:space="0" w:color="auto"/>
                <w:left w:val="none" w:sz="0" w:space="0" w:color="auto"/>
                <w:bottom w:val="none" w:sz="0" w:space="0" w:color="auto"/>
                <w:right w:val="none" w:sz="0" w:space="0" w:color="auto"/>
              </w:divBdr>
            </w:div>
            <w:div w:id="1859007711">
              <w:marLeft w:val="0"/>
              <w:marRight w:val="0"/>
              <w:marTop w:val="0"/>
              <w:marBottom w:val="0"/>
              <w:divBdr>
                <w:top w:val="none" w:sz="0" w:space="0" w:color="auto"/>
                <w:left w:val="none" w:sz="0" w:space="0" w:color="auto"/>
                <w:bottom w:val="none" w:sz="0" w:space="0" w:color="auto"/>
                <w:right w:val="none" w:sz="0" w:space="0" w:color="auto"/>
              </w:divBdr>
            </w:div>
            <w:div w:id="1948001149">
              <w:marLeft w:val="0"/>
              <w:marRight w:val="0"/>
              <w:marTop w:val="0"/>
              <w:marBottom w:val="0"/>
              <w:divBdr>
                <w:top w:val="none" w:sz="0" w:space="0" w:color="auto"/>
                <w:left w:val="none" w:sz="0" w:space="0" w:color="auto"/>
                <w:bottom w:val="none" w:sz="0" w:space="0" w:color="auto"/>
                <w:right w:val="none" w:sz="0" w:space="0" w:color="auto"/>
              </w:divBdr>
            </w:div>
            <w:div w:id="2029671844">
              <w:marLeft w:val="0"/>
              <w:marRight w:val="0"/>
              <w:marTop w:val="0"/>
              <w:marBottom w:val="0"/>
              <w:divBdr>
                <w:top w:val="none" w:sz="0" w:space="0" w:color="auto"/>
                <w:left w:val="none" w:sz="0" w:space="0" w:color="auto"/>
                <w:bottom w:val="none" w:sz="0" w:space="0" w:color="auto"/>
                <w:right w:val="none" w:sz="0" w:space="0" w:color="auto"/>
              </w:divBdr>
            </w:div>
            <w:div w:id="2037388679">
              <w:marLeft w:val="0"/>
              <w:marRight w:val="0"/>
              <w:marTop w:val="0"/>
              <w:marBottom w:val="0"/>
              <w:divBdr>
                <w:top w:val="none" w:sz="0" w:space="0" w:color="auto"/>
                <w:left w:val="none" w:sz="0" w:space="0" w:color="auto"/>
                <w:bottom w:val="none" w:sz="0" w:space="0" w:color="auto"/>
                <w:right w:val="none" w:sz="0" w:space="0" w:color="auto"/>
              </w:divBdr>
            </w:div>
            <w:div w:id="2056003834">
              <w:marLeft w:val="0"/>
              <w:marRight w:val="0"/>
              <w:marTop w:val="0"/>
              <w:marBottom w:val="0"/>
              <w:divBdr>
                <w:top w:val="none" w:sz="0" w:space="0" w:color="auto"/>
                <w:left w:val="none" w:sz="0" w:space="0" w:color="auto"/>
                <w:bottom w:val="none" w:sz="0" w:space="0" w:color="auto"/>
                <w:right w:val="none" w:sz="0" w:space="0" w:color="auto"/>
              </w:divBdr>
            </w:div>
            <w:div w:id="209357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229028">
      <w:bodyDiv w:val="1"/>
      <w:marLeft w:val="0"/>
      <w:marRight w:val="0"/>
      <w:marTop w:val="0"/>
      <w:marBottom w:val="0"/>
      <w:divBdr>
        <w:top w:val="none" w:sz="0" w:space="0" w:color="auto"/>
        <w:left w:val="none" w:sz="0" w:space="0" w:color="auto"/>
        <w:bottom w:val="none" w:sz="0" w:space="0" w:color="auto"/>
        <w:right w:val="none" w:sz="0" w:space="0" w:color="auto"/>
      </w:divBdr>
    </w:div>
    <w:div w:id="1093552610">
      <w:bodyDiv w:val="1"/>
      <w:marLeft w:val="0"/>
      <w:marRight w:val="0"/>
      <w:marTop w:val="0"/>
      <w:marBottom w:val="0"/>
      <w:divBdr>
        <w:top w:val="none" w:sz="0" w:space="0" w:color="auto"/>
        <w:left w:val="none" w:sz="0" w:space="0" w:color="auto"/>
        <w:bottom w:val="none" w:sz="0" w:space="0" w:color="auto"/>
        <w:right w:val="none" w:sz="0" w:space="0" w:color="auto"/>
      </w:divBdr>
    </w:div>
    <w:div w:id="1097597226">
      <w:bodyDiv w:val="1"/>
      <w:marLeft w:val="0"/>
      <w:marRight w:val="0"/>
      <w:marTop w:val="0"/>
      <w:marBottom w:val="0"/>
      <w:divBdr>
        <w:top w:val="none" w:sz="0" w:space="0" w:color="auto"/>
        <w:left w:val="none" w:sz="0" w:space="0" w:color="auto"/>
        <w:bottom w:val="none" w:sz="0" w:space="0" w:color="auto"/>
        <w:right w:val="none" w:sz="0" w:space="0" w:color="auto"/>
      </w:divBdr>
    </w:div>
    <w:div w:id="1111898517">
      <w:bodyDiv w:val="1"/>
      <w:marLeft w:val="0"/>
      <w:marRight w:val="0"/>
      <w:marTop w:val="0"/>
      <w:marBottom w:val="0"/>
      <w:divBdr>
        <w:top w:val="none" w:sz="0" w:space="0" w:color="auto"/>
        <w:left w:val="none" w:sz="0" w:space="0" w:color="auto"/>
        <w:bottom w:val="none" w:sz="0" w:space="0" w:color="auto"/>
        <w:right w:val="none" w:sz="0" w:space="0" w:color="auto"/>
      </w:divBdr>
    </w:div>
    <w:div w:id="1113981719">
      <w:bodyDiv w:val="1"/>
      <w:marLeft w:val="0"/>
      <w:marRight w:val="0"/>
      <w:marTop w:val="0"/>
      <w:marBottom w:val="0"/>
      <w:divBdr>
        <w:top w:val="none" w:sz="0" w:space="0" w:color="auto"/>
        <w:left w:val="none" w:sz="0" w:space="0" w:color="auto"/>
        <w:bottom w:val="none" w:sz="0" w:space="0" w:color="auto"/>
        <w:right w:val="none" w:sz="0" w:space="0" w:color="auto"/>
      </w:divBdr>
    </w:div>
    <w:div w:id="1205871404">
      <w:bodyDiv w:val="1"/>
      <w:marLeft w:val="0"/>
      <w:marRight w:val="0"/>
      <w:marTop w:val="0"/>
      <w:marBottom w:val="0"/>
      <w:divBdr>
        <w:top w:val="none" w:sz="0" w:space="0" w:color="auto"/>
        <w:left w:val="none" w:sz="0" w:space="0" w:color="auto"/>
        <w:bottom w:val="none" w:sz="0" w:space="0" w:color="auto"/>
        <w:right w:val="none" w:sz="0" w:space="0" w:color="auto"/>
      </w:divBdr>
    </w:div>
    <w:div w:id="1218512879">
      <w:bodyDiv w:val="1"/>
      <w:marLeft w:val="0"/>
      <w:marRight w:val="0"/>
      <w:marTop w:val="0"/>
      <w:marBottom w:val="0"/>
      <w:divBdr>
        <w:top w:val="none" w:sz="0" w:space="0" w:color="auto"/>
        <w:left w:val="none" w:sz="0" w:space="0" w:color="auto"/>
        <w:bottom w:val="none" w:sz="0" w:space="0" w:color="auto"/>
        <w:right w:val="none" w:sz="0" w:space="0" w:color="auto"/>
      </w:divBdr>
    </w:div>
    <w:div w:id="1317998249">
      <w:bodyDiv w:val="1"/>
      <w:marLeft w:val="0"/>
      <w:marRight w:val="0"/>
      <w:marTop w:val="0"/>
      <w:marBottom w:val="0"/>
      <w:divBdr>
        <w:top w:val="none" w:sz="0" w:space="0" w:color="auto"/>
        <w:left w:val="none" w:sz="0" w:space="0" w:color="auto"/>
        <w:bottom w:val="none" w:sz="0" w:space="0" w:color="auto"/>
        <w:right w:val="none" w:sz="0" w:space="0" w:color="auto"/>
      </w:divBdr>
    </w:div>
    <w:div w:id="1332173314">
      <w:bodyDiv w:val="1"/>
      <w:marLeft w:val="0"/>
      <w:marRight w:val="0"/>
      <w:marTop w:val="0"/>
      <w:marBottom w:val="0"/>
      <w:divBdr>
        <w:top w:val="none" w:sz="0" w:space="0" w:color="auto"/>
        <w:left w:val="none" w:sz="0" w:space="0" w:color="auto"/>
        <w:bottom w:val="none" w:sz="0" w:space="0" w:color="auto"/>
        <w:right w:val="none" w:sz="0" w:space="0" w:color="auto"/>
      </w:divBdr>
    </w:div>
    <w:div w:id="1335841226">
      <w:bodyDiv w:val="1"/>
      <w:marLeft w:val="0"/>
      <w:marRight w:val="0"/>
      <w:marTop w:val="0"/>
      <w:marBottom w:val="0"/>
      <w:divBdr>
        <w:top w:val="none" w:sz="0" w:space="0" w:color="auto"/>
        <w:left w:val="none" w:sz="0" w:space="0" w:color="auto"/>
        <w:bottom w:val="none" w:sz="0" w:space="0" w:color="auto"/>
        <w:right w:val="none" w:sz="0" w:space="0" w:color="auto"/>
      </w:divBdr>
    </w:div>
    <w:div w:id="1345205059">
      <w:bodyDiv w:val="1"/>
      <w:marLeft w:val="0"/>
      <w:marRight w:val="0"/>
      <w:marTop w:val="0"/>
      <w:marBottom w:val="0"/>
      <w:divBdr>
        <w:top w:val="none" w:sz="0" w:space="0" w:color="auto"/>
        <w:left w:val="none" w:sz="0" w:space="0" w:color="auto"/>
        <w:bottom w:val="none" w:sz="0" w:space="0" w:color="auto"/>
        <w:right w:val="none" w:sz="0" w:space="0" w:color="auto"/>
      </w:divBdr>
      <w:divsChild>
        <w:div w:id="964771556">
          <w:marLeft w:val="0"/>
          <w:marRight w:val="0"/>
          <w:marTop w:val="0"/>
          <w:marBottom w:val="0"/>
          <w:divBdr>
            <w:top w:val="none" w:sz="0" w:space="0" w:color="auto"/>
            <w:left w:val="none" w:sz="0" w:space="0" w:color="auto"/>
            <w:bottom w:val="none" w:sz="0" w:space="0" w:color="auto"/>
            <w:right w:val="none" w:sz="0" w:space="0" w:color="auto"/>
          </w:divBdr>
          <w:divsChild>
            <w:div w:id="869490246">
              <w:marLeft w:val="0"/>
              <w:marRight w:val="0"/>
              <w:marTop w:val="0"/>
              <w:marBottom w:val="0"/>
              <w:divBdr>
                <w:top w:val="none" w:sz="0" w:space="0" w:color="auto"/>
                <w:left w:val="none" w:sz="0" w:space="0" w:color="auto"/>
                <w:bottom w:val="none" w:sz="0" w:space="0" w:color="auto"/>
                <w:right w:val="none" w:sz="0" w:space="0" w:color="auto"/>
              </w:divBdr>
              <w:divsChild>
                <w:div w:id="1987319260">
                  <w:marLeft w:val="0"/>
                  <w:marRight w:val="0"/>
                  <w:marTop w:val="0"/>
                  <w:marBottom w:val="0"/>
                  <w:divBdr>
                    <w:top w:val="none" w:sz="0" w:space="0" w:color="auto"/>
                    <w:left w:val="none" w:sz="0" w:space="0" w:color="auto"/>
                    <w:bottom w:val="none" w:sz="0" w:space="0" w:color="auto"/>
                    <w:right w:val="none" w:sz="0" w:space="0" w:color="auto"/>
                  </w:divBdr>
                  <w:divsChild>
                    <w:div w:id="1998193944">
                      <w:marLeft w:val="0"/>
                      <w:marRight w:val="0"/>
                      <w:marTop w:val="0"/>
                      <w:marBottom w:val="0"/>
                      <w:divBdr>
                        <w:top w:val="none" w:sz="0" w:space="0" w:color="auto"/>
                        <w:left w:val="none" w:sz="0" w:space="0" w:color="auto"/>
                        <w:bottom w:val="none" w:sz="0" w:space="0" w:color="auto"/>
                        <w:right w:val="none" w:sz="0" w:space="0" w:color="auto"/>
                      </w:divBdr>
                      <w:divsChild>
                        <w:div w:id="94516431">
                          <w:marLeft w:val="0"/>
                          <w:marRight w:val="0"/>
                          <w:marTop w:val="0"/>
                          <w:marBottom w:val="0"/>
                          <w:divBdr>
                            <w:top w:val="none" w:sz="0" w:space="0" w:color="auto"/>
                            <w:left w:val="none" w:sz="0" w:space="0" w:color="auto"/>
                            <w:bottom w:val="none" w:sz="0" w:space="0" w:color="auto"/>
                            <w:right w:val="none" w:sz="0" w:space="0" w:color="auto"/>
                          </w:divBdr>
                          <w:divsChild>
                            <w:div w:id="190948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569453">
      <w:bodyDiv w:val="1"/>
      <w:marLeft w:val="0"/>
      <w:marRight w:val="0"/>
      <w:marTop w:val="0"/>
      <w:marBottom w:val="0"/>
      <w:divBdr>
        <w:top w:val="none" w:sz="0" w:space="0" w:color="auto"/>
        <w:left w:val="none" w:sz="0" w:space="0" w:color="auto"/>
        <w:bottom w:val="none" w:sz="0" w:space="0" w:color="auto"/>
        <w:right w:val="none" w:sz="0" w:space="0" w:color="auto"/>
      </w:divBdr>
    </w:div>
    <w:div w:id="1381899090">
      <w:bodyDiv w:val="1"/>
      <w:marLeft w:val="0"/>
      <w:marRight w:val="0"/>
      <w:marTop w:val="0"/>
      <w:marBottom w:val="0"/>
      <w:divBdr>
        <w:top w:val="none" w:sz="0" w:space="0" w:color="auto"/>
        <w:left w:val="none" w:sz="0" w:space="0" w:color="auto"/>
        <w:bottom w:val="none" w:sz="0" w:space="0" w:color="auto"/>
        <w:right w:val="none" w:sz="0" w:space="0" w:color="auto"/>
      </w:divBdr>
    </w:div>
    <w:div w:id="1411152845">
      <w:bodyDiv w:val="1"/>
      <w:marLeft w:val="0"/>
      <w:marRight w:val="0"/>
      <w:marTop w:val="0"/>
      <w:marBottom w:val="0"/>
      <w:divBdr>
        <w:top w:val="none" w:sz="0" w:space="0" w:color="auto"/>
        <w:left w:val="none" w:sz="0" w:space="0" w:color="auto"/>
        <w:bottom w:val="none" w:sz="0" w:space="0" w:color="auto"/>
        <w:right w:val="none" w:sz="0" w:space="0" w:color="auto"/>
      </w:divBdr>
    </w:div>
    <w:div w:id="1458139659">
      <w:bodyDiv w:val="1"/>
      <w:marLeft w:val="0"/>
      <w:marRight w:val="0"/>
      <w:marTop w:val="0"/>
      <w:marBottom w:val="0"/>
      <w:divBdr>
        <w:top w:val="none" w:sz="0" w:space="0" w:color="auto"/>
        <w:left w:val="none" w:sz="0" w:space="0" w:color="auto"/>
        <w:bottom w:val="none" w:sz="0" w:space="0" w:color="auto"/>
        <w:right w:val="none" w:sz="0" w:space="0" w:color="auto"/>
      </w:divBdr>
    </w:div>
    <w:div w:id="1482888088">
      <w:bodyDiv w:val="1"/>
      <w:marLeft w:val="0"/>
      <w:marRight w:val="0"/>
      <w:marTop w:val="0"/>
      <w:marBottom w:val="0"/>
      <w:divBdr>
        <w:top w:val="none" w:sz="0" w:space="0" w:color="auto"/>
        <w:left w:val="none" w:sz="0" w:space="0" w:color="auto"/>
        <w:bottom w:val="none" w:sz="0" w:space="0" w:color="auto"/>
        <w:right w:val="none" w:sz="0" w:space="0" w:color="auto"/>
      </w:divBdr>
    </w:div>
    <w:div w:id="1610044044">
      <w:bodyDiv w:val="1"/>
      <w:marLeft w:val="0"/>
      <w:marRight w:val="0"/>
      <w:marTop w:val="0"/>
      <w:marBottom w:val="0"/>
      <w:divBdr>
        <w:top w:val="none" w:sz="0" w:space="0" w:color="auto"/>
        <w:left w:val="none" w:sz="0" w:space="0" w:color="auto"/>
        <w:bottom w:val="none" w:sz="0" w:space="0" w:color="auto"/>
        <w:right w:val="none" w:sz="0" w:space="0" w:color="auto"/>
      </w:divBdr>
    </w:div>
    <w:div w:id="1637564883">
      <w:bodyDiv w:val="1"/>
      <w:marLeft w:val="0"/>
      <w:marRight w:val="0"/>
      <w:marTop w:val="0"/>
      <w:marBottom w:val="0"/>
      <w:divBdr>
        <w:top w:val="none" w:sz="0" w:space="0" w:color="auto"/>
        <w:left w:val="none" w:sz="0" w:space="0" w:color="auto"/>
        <w:bottom w:val="none" w:sz="0" w:space="0" w:color="auto"/>
        <w:right w:val="none" w:sz="0" w:space="0" w:color="auto"/>
      </w:divBdr>
    </w:div>
    <w:div w:id="1687977479">
      <w:bodyDiv w:val="1"/>
      <w:marLeft w:val="0"/>
      <w:marRight w:val="0"/>
      <w:marTop w:val="0"/>
      <w:marBottom w:val="0"/>
      <w:divBdr>
        <w:top w:val="none" w:sz="0" w:space="0" w:color="auto"/>
        <w:left w:val="none" w:sz="0" w:space="0" w:color="auto"/>
        <w:bottom w:val="none" w:sz="0" w:space="0" w:color="auto"/>
        <w:right w:val="none" w:sz="0" w:space="0" w:color="auto"/>
      </w:divBdr>
      <w:divsChild>
        <w:div w:id="1336608954">
          <w:marLeft w:val="0"/>
          <w:marRight w:val="0"/>
          <w:marTop w:val="0"/>
          <w:marBottom w:val="0"/>
          <w:divBdr>
            <w:top w:val="none" w:sz="0" w:space="0" w:color="auto"/>
            <w:left w:val="none" w:sz="0" w:space="0" w:color="auto"/>
            <w:bottom w:val="none" w:sz="0" w:space="0" w:color="auto"/>
            <w:right w:val="none" w:sz="0" w:space="0" w:color="auto"/>
          </w:divBdr>
          <w:divsChild>
            <w:div w:id="100816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09132">
      <w:bodyDiv w:val="1"/>
      <w:marLeft w:val="0"/>
      <w:marRight w:val="0"/>
      <w:marTop w:val="0"/>
      <w:marBottom w:val="0"/>
      <w:divBdr>
        <w:top w:val="none" w:sz="0" w:space="0" w:color="auto"/>
        <w:left w:val="none" w:sz="0" w:space="0" w:color="auto"/>
        <w:bottom w:val="none" w:sz="0" w:space="0" w:color="auto"/>
        <w:right w:val="none" w:sz="0" w:space="0" w:color="auto"/>
      </w:divBdr>
    </w:div>
    <w:div w:id="1743018482">
      <w:bodyDiv w:val="1"/>
      <w:marLeft w:val="0"/>
      <w:marRight w:val="0"/>
      <w:marTop w:val="0"/>
      <w:marBottom w:val="0"/>
      <w:divBdr>
        <w:top w:val="none" w:sz="0" w:space="0" w:color="auto"/>
        <w:left w:val="none" w:sz="0" w:space="0" w:color="auto"/>
        <w:bottom w:val="none" w:sz="0" w:space="0" w:color="auto"/>
        <w:right w:val="none" w:sz="0" w:space="0" w:color="auto"/>
      </w:divBdr>
    </w:div>
    <w:div w:id="1755054093">
      <w:bodyDiv w:val="1"/>
      <w:marLeft w:val="0"/>
      <w:marRight w:val="0"/>
      <w:marTop w:val="0"/>
      <w:marBottom w:val="0"/>
      <w:divBdr>
        <w:top w:val="none" w:sz="0" w:space="0" w:color="auto"/>
        <w:left w:val="none" w:sz="0" w:space="0" w:color="auto"/>
        <w:bottom w:val="none" w:sz="0" w:space="0" w:color="auto"/>
        <w:right w:val="none" w:sz="0" w:space="0" w:color="auto"/>
      </w:divBdr>
    </w:div>
    <w:div w:id="1757244935">
      <w:bodyDiv w:val="1"/>
      <w:marLeft w:val="0"/>
      <w:marRight w:val="0"/>
      <w:marTop w:val="0"/>
      <w:marBottom w:val="0"/>
      <w:divBdr>
        <w:top w:val="none" w:sz="0" w:space="0" w:color="auto"/>
        <w:left w:val="none" w:sz="0" w:space="0" w:color="auto"/>
        <w:bottom w:val="none" w:sz="0" w:space="0" w:color="auto"/>
        <w:right w:val="none" w:sz="0" w:space="0" w:color="auto"/>
      </w:divBdr>
    </w:div>
    <w:div w:id="1765295645">
      <w:bodyDiv w:val="1"/>
      <w:marLeft w:val="0"/>
      <w:marRight w:val="0"/>
      <w:marTop w:val="0"/>
      <w:marBottom w:val="0"/>
      <w:divBdr>
        <w:top w:val="none" w:sz="0" w:space="0" w:color="auto"/>
        <w:left w:val="none" w:sz="0" w:space="0" w:color="auto"/>
        <w:bottom w:val="none" w:sz="0" w:space="0" w:color="auto"/>
        <w:right w:val="none" w:sz="0" w:space="0" w:color="auto"/>
      </w:divBdr>
      <w:divsChild>
        <w:div w:id="90904453">
          <w:marLeft w:val="0"/>
          <w:marRight w:val="0"/>
          <w:marTop w:val="0"/>
          <w:marBottom w:val="0"/>
          <w:divBdr>
            <w:top w:val="none" w:sz="0" w:space="0" w:color="auto"/>
            <w:left w:val="none" w:sz="0" w:space="0" w:color="auto"/>
            <w:bottom w:val="none" w:sz="0" w:space="0" w:color="auto"/>
            <w:right w:val="none" w:sz="0" w:space="0" w:color="auto"/>
          </w:divBdr>
          <w:divsChild>
            <w:div w:id="2060782252">
              <w:marLeft w:val="0"/>
              <w:marRight w:val="0"/>
              <w:marTop w:val="0"/>
              <w:marBottom w:val="0"/>
              <w:divBdr>
                <w:top w:val="none" w:sz="0" w:space="0" w:color="auto"/>
                <w:left w:val="none" w:sz="0" w:space="0" w:color="auto"/>
                <w:bottom w:val="none" w:sz="0" w:space="0" w:color="auto"/>
                <w:right w:val="none" w:sz="0" w:space="0" w:color="auto"/>
              </w:divBdr>
              <w:divsChild>
                <w:div w:id="1572471981">
                  <w:marLeft w:val="0"/>
                  <w:marRight w:val="0"/>
                  <w:marTop w:val="0"/>
                  <w:marBottom w:val="0"/>
                  <w:divBdr>
                    <w:top w:val="none" w:sz="0" w:space="0" w:color="auto"/>
                    <w:left w:val="none" w:sz="0" w:space="0" w:color="auto"/>
                    <w:bottom w:val="none" w:sz="0" w:space="0" w:color="auto"/>
                    <w:right w:val="none" w:sz="0" w:space="0" w:color="auto"/>
                  </w:divBdr>
                  <w:divsChild>
                    <w:div w:id="372660182">
                      <w:marLeft w:val="0"/>
                      <w:marRight w:val="0"/>
                      <w:marTop w:val="0"/>
                      <w:marBottom w:val="0"/>
                      <w:divBdr>
                        <w:top w:val="none" w:sz="0" w:space="0" w:color="auto"/>
                        <w:left w:val="none" w:sz="0" w:space="0" w:color="auto"/>
                        <w:bottom w:val="none" w:sz="0" w:space="0" w:color="auto"/>
                        <w:right w:val="none" w:sz="0" w:space="0" w:color="auto"/>
                      </w:divBdr>
                      <w:divsChild>
                        <w:div w:id="1872376155">
                          <w:marLeft w:val="0"/>
                          <w:marRight w:val="0"/>
                          <w:marTop w:val="0"/>
                          <w:marBottom w:val="0"/>
                          <w:divBdr>
                            <w:top w:val="none" w:sz="0" w:space="0" w:color="auto"/>
                            <w:left w:val="none" w:sz="0" w:space="0" w:color="auto"/>
                            <w:bottom w:val="none" w:sz="0" w:space="0" w:color="auto"/>
                            <w:right w:val="none" w:sz="0" w:space="0" w:color="auto"/>
                          </w:divBdr>
                          <w:divsChild>
                            <w:div w:id="21461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679375">
      <w:bodyDiv w:val="1"/>
      <w:marLeft w:val="0"/>
      <w:marRight w:val="0"/>
      <w:marTop w:val="0"/>
      <w:marBottom w:val="0"/>
      <w:divBdr>
        <w:top w:val="none" w:sz="0" w:space="0" w:color="auto"/>
        <w:left w:val="none" w:sz="0" w:space="0" w:color="auto"/>
        <w:bottom w:val="none" w:sz="0" w:space="0" w:color="auto"/>
        <w:right w:val="none" w:sz="0" w:space="0" w:color="auto"/>
      </w:divBdr>
    </w:div>
    <w:div w:id="1806580356">
      <w:bodyDiv w:val="1"/>
      <w:marLeft w:val="0"/>
      <w:marRight w:val="0"/>
      <w:marTop w:val="0"/>
      <w:marBottom w:val="0"/>
      <w:divBdr>
        <w:top w:val="none" w:sz="0" w:space="0" w:color="auto"/>
        <w:left w:val="none" w:sz="0" w:space="0" w:color="auto"/>
        <w:bottom w:val="none" w:sz="0" w:space="0" w:color="auto"/>
        <w:right w:val="none" w:sz="0" w:space="0" w:color="auto"/>
      </w:divBdr>
    </w:div>
    <w:div w:id="1827085140">
      <w:bodyDiv w:val="1"/>
      <w:marLeft w:val="0"/>
      <w:marRight w:val="0"/>
      <w:marTop w:val="0"/>
      <w:marBottom w:val="0"/>
      <w:divBdr>
        <w:top w:val="none" w:sz="0" w:space="0" w:color="auto"/>
        <w:left w:val="none" w:sz="0" w:space="0" w:color="auto"/>
        <w:bottom w:val="none" w:sz="0" w:space="0" w:color="auto"/>
        <w:right w:val="none" w:sz="0" w:space="0" w:color="auto"/>
      </w:divBdr>
    </w:div>
    <w:div w:id="1893540017">
      <w:bodyDiv w:val="1"/>
      <w:marLeft w:val="0"/>
      <w:marRight w:val="0"/>
      <w:marTop w:val="0"/>
      <w:marBottom w:val="0"/>
      <w:divBdr>
        <w:top w:val="none" w:sz="0" w:space="0" w:color="auto"/>
        <w:left w:val="none" w:sz="0" w:space="0" w:color="auto"/>
        <w:bottom w:val="none" w:sz="0" w:space="0" w:color="auto"/>
        <w:right w:val="none" w:sz="0" w:space="0" w:color="auto"/>
      </w:divBdr>
    </w:div>
    <w:div w:id="1923299247">
      <w:bodyDiv w:val="1"/>
      <w:marLeft w:val="0"/>
      <w:marRight w:val="0"/>
      <w:marTop w:val="0"/>
      <w:marBottom w:val="0"/>
      <w:divBdr>
        <w:top w:val="none" w:sz="0" w:space="0" w:color="auto"/>
        <w:left w:val="none" w:sz="0" w:space="0" w:color="auto"/>
        <w:bottom w:val="none" w:sz="0" w:space="0" w:color="auto"/>
        <w:right w:val="none" w:sz="0" w:space="0" w:color="auto"/>
      </w:divBdr>
    </w:div>
    <w:div w:id="1933313229">
      <w:bodyDiv w:val="1"/>
      <w:marLeft w:val="0"/>
      <w:marRight w:val="0"/>
      <w:marTop w:val="0"/>
      <w:marBottom w:val="0"/>
      <w:divBdr>
        <w:top w:val="none" w:sz="0" w:space="0" w:color="auto"/>
        <w:left w:val="none" w:sz="0" w:space="0" w:color="auto"/>
        <w:bottom w:val="none" w:sz="0" w:space="0" w:color="auto"/>
        <w:right w:val="none" w:sz="0" w:space="0" w:color="auto"/>
      </w:divBdr>
    </w:div>
    <w:div w:id="1935898137">
      <w:bodyDiv w:val="1"/>
      <w:marLeft w:val="0"/>
      <w:marRight w:val="0"/>
      <w:marTop w:val="0"/>
      <w:marBottom w:val="0"/>
      <w:divBdr>
        <w:top w:val="none" w:sz="0" w:space="0" w:color="auto"/>
        <w:left w:val="none" w:sz="0" w:space="0" w:color="auto"/>
        <w:bottom w:val="none" w:sz="0" w:space="0" w:color="auto"/>
        <w:right w:val="none" w:sz="0" w:space="0" w:color="auto"/>
      </w:divBdr>
      <w:divsChild>
        <w:div w:id="257913376">
          <w:marLeft w:val="0"/>
          <w:marRight w:val="0"/>
          <w:marTop w:val="0"/>
          <w:marBottom w:val="0"/>
          <w:divBdr>
            <w:top w:val="none" w:sz="0" w:space="0" w:color="auto"/>
            <w:left w:val="none" w:sz="0" w:space="0" w:color="auto"/>
            <w:bottom w:val="none" w:sz="0" w:space="0" w:color="auto"/>
            <w:right w:val="none" w:sz="0" w:space="0" w:color="auto"/>
          </w:divBdr>
          <w:divsChild>
            <w:div w:id="1132482242">
              <w:marLeft w:val="0"/>
              <w:marRight w:val="0"/>
              <w:marTop w:val="0"/>
              <w:marBottom w:val="0"/>
              <w:divBdr>
                <w:top w:val="none" w:sz="0" w:space="0" w:color="auto"/>
                <w:left w:val="none" w:sz="0" w:space="0" w:color="auto"/>
                <w:bottom w:val="none" w:sz="0" w:space="0" w:color="auto"/>
                <w:right w:val="none" w:sz="0" w:space="0" w:color="auto"/>
              </w:divBdr>
              <w:divsChild>
                <w:div w:id="943147872">
                  <w:marLeft w:val="0"/>
                  <w:marRight w:val="0"/>
                  <w:marTop w:val="0"/>
                  <w:marBottom w:val="0"/>
                  <w:divBdr>
                    <w:top w:val="none" w:sz="0" w:space="0" w:color="auto"/>
                    <w:left w:val="none" w:sz="0" w:space="0" w:color="auto"/>
                    <w:bottom w:val="none" w:sz="0" w:space="0" w:color="auto"/>
                    <w:right w:val="none" w:sz="0" w:space="0" w:color="auto"/>
                  </w:divBdr>
                  <w:divsChild>
                    <w:div w:id="138610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801121">
          <w:marLeft w:val="0"/>
          <w:marRight w:val="0"/>
          <w:marTop w:val="0"/>
          <w:marBottom w:val="0"/>
          <w:divBdr>
            <w:top w:val="none" w:sz="0" w:space="0" w:color="auto"/>
            <w:left w:val="none" w:sz="0" w:space="0" w:color="auto"/>
            <w:bottom w:val="none" w:sz="0" w:space="0" w:color="auto"/>
            <w:right w:val="none" w:sz="0" w:space="0" w:color="auto"/>
          </w:divBdr>
          <w:divsChild>
            <w:div w:id="1389258984">
              <w:marLeft w:val="0"/>
              <w:marRight w:val="0"/>
              <w:marTop w:val="0"/>
              <w:marBottom w:val="0"/>
              <w:divBdr>
                <w:top w:val="none" w:sz="0" w:space="0" w:color="auto"/>
                <w:left w:val="none" w:sz="0" w:space="0" w:color="auto"/>
                <w:bottom w:val="none" w:sz="0" w:space="0" w:color="auto"/>
                <w:right w:val="none" w:sz="0" w:space="0" w:color="auto"/>
              </w:divBdr>
              <w:divsChild>
                <w:div w:id="2042583625">
                  <w:marLeft w:val="0"/>
                  <w:marRight w:val="0"/>
                  <w:marTop w:val="0"/>
                  <w:marBottom w:val="0"/>
                  <w:divBdr>
                    <w:top w:val="none" w:sz="0" w:space="0" w:color="auto"/>
                    <w:left w:val="none" w:sz="0" w:space="0" w:color="auto"/>
                    <w:bottom w:val="none" w:sz="0" w:space="0" w:color="auto"/>
                    <w:right w:val="none" w:sz="0" w:space="0" w:color="auto"/>
                  </w:divBdr>
                  <w:divsChild>
                    <w:div w:id="13470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970955">
      <w:bodyDiv w:val="1"/>
      <w:marLeft w:val="0"/>
      <w:marRight w:val="0"/>
      <w:marTop w:val="0"/>
      <w:marBottom w:val="0"/>
      <w:divBdr>
        <w:top w:val="none" w:sz="0" w:space="0" w:color="auto"/>
        <w:left w:val="none" w:sz="0" w:space="0" w:color="auto"/>
        <w:bottom w:val="none" w:sz="0" w:space="0" w:color="auto"/>
        <w:right w:val="none" w:sz="0" w:space="0" w:color="auto"/>
      </w:divBdr>
      <w:divsChild>
        <w:div w:id="381952415">
          <w:marLeft w:val="0"/>
          <w:marRight w:val="0"/>
          <w:marTop w:val="0"/>
          <w:marBottom w:val="0"/>
          <w:divBdr>
            <w:top w:val="none" w:sz="0" w:space="0" w:color="auto"/>
            <w:left w:val="none" w:sz="0" w:space="0" w:color="auto"/>
            <w:bottom w:val="none" w:sz="0" w:space="0" w:color="auto"/>
            <w:right w:val="none" w:sz="0" w:space="0" w:color="auto"/>
          </w:divBdr>
          <w:divsChild>
            <w:div w:id="1729449706">
              <w:marLeft w:val="0"/>
              <w:marRight w:val="0"/>
              <w:marTop w:val="0"/>
              <w:marBottom w:val="0"/>
              <w:divBdr>
                <w:top w:val="none" w:sz="0" w:space="0" w:color="auto"/>
                <w:left w:val="none" w:sz="0" w:space="0" w:color="auto"/>
                <w:bottom w:val="none" w:sz="0" w:space="0" w:color="auto"/>
                <w:right w:val="none" w:sz="0" w:space="0" w:color="auto"/>
              </w:divBdr>
              <w:divsChild>
                <w:div w:id="569312203">
                  <w:marLeft w:val="0"/>
                  <w:marRight w:val="0"/>
                  <w:marTop w:val="0"/>
                  <w:marBottom w:val="0"/>
                  <w:divBdr>
                    <w:top w:val="none" w:sz="0" w:space="0" w:color="auto"/>
                    <w:left w:val="none" w:sz="0" w:space="0" w:color="auto"/>
                    <w:bottom w:val="none" w:sz="0" w:space="0" w:color="auto"/>
                    <w:right w:val="none" w:sz="0" w:space="0" w:color="auto"/>
                  </w:divBdr>
                  <w:divsChild>
                    <w:div w:id="1745028617">
                      <w:marLeft w:val="0"/>
                      <w:marRight w:val="0"/>
                      <w:marTop w:val="0"/>
                      <w:marBottom w:val="0"/>
                      <w:divBdr>
                        <w:top w:val="none" w:sz="0" w:space="0" w:color="auto"/>
                        <w:left w:val="none" w:sz="0" w:space="0" w:color="auto"/>
                        <w:bottom w:val="none" w:sz="0" w:space="0" w:color="auto"/>
                        <w:right w:val="none" w:sz="0" w:space="0" w:color="auto"/>
                      </w:divBdr>
                      <w:divsChild>
                        <w:div w:id="695694637">
                          <w:marLeft w:val="0"/>
                          <w:marRight w:val="0"/>
                          <w:marTop w:val="0"/>
                          <w:marBottom w:val="0"/>
                          <w:divBdr>
                            <w:top w:val="none" w:sz="0" w:space="0" w:color="auto"/>
                            <w:left w:val="none" w:sz="0" w:space="0" w:color="auto"/>
                            <w:bottom w:val="none" w:sz="0" w:space="0" w:color="auto"/>
                            <w:right w:val="none" w:sz="0" w:space="0" w:color="auto"/>
                          </w:divBdr>
                          <w:divsChild>
                            <w:div w:id="80959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925199">
                  <w:marLeft w:val="0"/>
                  <w:marRight w:val="0"/>
                  <w:marTop w:val="0"/>
                  <w:marBottom w:val="0"/>
                  <w:divBdr>
                    <w:top w:val="none" w:sz="0" w:space="0" w:color="auto"/>
                    <w:left w:val="none" w:sz="0" w:space="0" w:color="auto"/>
                    <w:bottom w:val="none" w:sz="0" w:space="0" w:color="auto"/>
                    <w:right w:val="none" w:sz="0" w:space="0" w:color="auto"/>
                  </w:divBdr>
                  <w:divsChild>
                    <w:div w:id="1140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211440">
      <w:bodyDiv w:val="1"/>
      <w:marLeft w:val="0"/>
      <w:marRight w:val="0"/>
      <w:marTop w:val="0"/>
      <w:marBottom w:val="0"/>
      <w:divBdr>
        <w:top w:val="none" w:sz="0" w:space="0" w:color="auto"/>
        <w:left w:val="none" w:sz="0" w:space="0" w:color="auto"/>
        <w:bottom w:val="none" w:sz="0" w:space="0" w:color="auto"/>
        <w:right w:val="none" w:sz="0" w:space="0" w:color="auto"/>
      </w:divBdr>
    </w:div>
    <w:div w:id="1987128974">
      <w:bodyDiv w:val="1"/>
      <w:marLeft w:val="0"/>
      <w:marRight w:val="0"/>
      <w:marTop w:val="0"/>
      <w:marBottom w:val="0"/>
      <w:divBdr>
        <w:top w:val="none" w:sz="0" w:space="0" w:color="auto"/>
        <w:left w:val="none" w:sz="0" w:space="0" w:color="auto"/>
        <w:bottom w:val="none" w:sz="0" w:space="0" w:color="auto"/>
        <w:right w:val="none" w:sz="0" w:space="0" w:color="auto"/>
      </w:divBdr>
    </w:div>
    <w:div w:id="2001156546">
      <w:bodyDiv w:val="1"/>
      <w:marLeft w:val="0"/>
      <w:marRight w:val="0"/>
      <w:marTop w:val="0"/>
      <w:marBottom w:val="0"/>
      <w:divBdr>
        <w:top w:val="none" w:sz="0" w:space="0" w:color="auto"/>
        <w:left w:val="none" w:sz="0" w:space="0" w:color="auto"/>
        <w:bottom w:val="none" w:sz="0" w:space="0" w:color="auto"/>
        <w:right w:val="none" w:sz="0" w:space="0" w:color="auto"/>
      </w:divBdr>
    </w:div>
    <w:div w:id="2017731375">
      <w:bodyDiv w:val="1"/>
      <w:marLeft w:val="0"/>
      <w:marRight w:val="0"/>
      <w:marTop w:val="0"/>
      <w:marBottom w:val="0"/>
      <w:divBdr>
        <w:top w:val="none" w:sz="0" w:space="0" w:color="auto"/>
        <w:left w:val="none" w:sz="0" w:space="0" w:color="auto"/>
        <w:bottom w:val="none" w:sz="0" w:space="0" w:color="auto"/>
        <w:right w:val="none" w:sz="0" w:space="0" w:color="auto"/>
      </w:divBdr>
    </w:div>
    <w:div w:id="2036927942">
      <w:bodyDiv w:val="1"/>
      <w:marLeft w:val="0"/>
      <w:marRight w:val="0"/>
      <w:marTop w:val="0"/>
      <w:marBottom w:val="0"/>
      <w:divBdr>
        <w:top w:val="none" w:sz="0" w:space="0" w:color="auto"/>
        <w:left w:val="none" w:sz="0" w:space="0" w:color="auto"/>
        <w:bottom w:val="none" w:sz="0" w:space="0" w:color="auto"/>
        <w:right w:val="none" w:sz="0" w:space="0" w:color="auto"/>
      </w:divBdr>
    </w:div>
    <w:div w:id="2053386817">
      <w:bodyDiv w:val="1"/>
      <w:marLeft w:val="0"/>
      <w:marRight w:val="0"/>
      <w:marTop w:val="0"/>
      <w:marBottom w:val="0"/>
      <w:divBdr>
        <w:top w:val="none" w:sz="0" w:space="0" w:color="auto"/>
        <w:left w:val="none" w:sz="0" w:space="0" w:color="auto"/>
        <w:bottom w:val="none" w:sz="0" w:space="0" w:color="auto"/>
        <w:right w:val="none" w:sz="0" w:space="0" w:color="auto"/>
      </w:divBdr>
    </w:div>
    <w:div w:id="2059357617">
      <w:bodyDiv w:val="1"/>
      <w:marLeft w:val="0"/>
      <w:marRight w:val="0"/>
      <w:marTop w:val="0"/>
      <w:marBottom w:val="0"/>
      <w:divBdr>
        <w:top w:val="none" w:sz="0" w:space="0" w:color="auto"/>
        <w:left w:val="none" w:sz="0" w:space="0" w:color="auto"/>
        <w:bottom w:val="none" w:sz="0" w:space="0" w:color="auto"/>
        <w:right w:val="none" w:sz="0" w:space="0" w:color="auto"/>
      </w:divBdr>
    </w:div>
    <w:div w:id="2090421067">
      <w:bodyDiv w:val="1"/>
      <w:marLeft w:val="0"/>
      <w:marRight w:val="0"/>
      <w:marTop w:val="0"/>
      <w:marBottom w:val="0"/>
      <w:divBdr>
        <w:top w:val="none" w:sz="0" w:space="0" w:color="auto"/>
        <w:left w:val="none" w:sz="0" w:space="0" w:color="auto"/>
        <w:bottom w:val="none" w:sz="0" w:space="0" w:color="auto"/>
        <w:right w:val="none" w:sz="0" w:space="0" w:color="auto"/>
      </w:divBdr>
      <w:divsChild>
        <w:div w:id="978651473">
          <w:marLeft w:val="0"/>
          <w:marRight w:val="0"/>
          <w:marTop w:val="0"/>
          <w:marBottom w:val="0"/>
          <w:divBdr>
            <w:top w:val="none" w:sz="0" w:space="0" w:color="auto"/>
            <w:left w:val="none" w:sz="0" w:space="0" w:color="auto"/>
            <w:bottom w:val="none" w:sz="0" w:space="0" w:color="auto"/>
            <w:right w:val="none" w:sz="0" w:space="0" w:color="auto"/>
          </w:divBdr>
          <w:divsChild>
            <w:div w:id="1495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488993">
      <w:bodyDiv w:val="1"/>
      <w:marLeft w:val="0"/>
      <w:marRight w:val="0"/>
      <w:marTop w:val="0"/>
      <w:marBottom w:val="0"/>
      <w:divBdr>
        <w:top w:val="none" w:sz="0" w:space="0" w:color="auto"/>
        <w:left w:val="none" w:sz="0" w:space="0" w:color="auto"/>
        <w:bottom w:val="none" w:sz="0" w:space="0" w:color="auto"/>
        <w:right w:val="none" w:sz="0" w:space="0" w:color="auto"/>
      </w:divBdr>
      <w:divsChild>
        <w:div w:id="257561558">
          <w:marLeft w:val="0"/>
          <w:marRight w:val="0"/>
          <w:marTop w:val="0"/>
          <w:marBottom w:val="0"/>
          <w:divBdr>
            <w:top w:val="none" w:sz="0" w:space="0" w:color="auto"/>
            <w:left w:val="none" w:sz="0" w:space="0" w:color="auto"/>
            <w:bottom w:val="none" w:sz="0" w:space="0" w:color="auto"/>
            <w:right w:val="none" w:sz="0" w:space="0" w:color="auto"/>
          </w:divBdr>
          <w:divsChild>
            <w:div w:id="11241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26155">
      <w:bodyDiv w:val="1"/>
      <w:marLeft w:val="0"/>
      <w:marRight w:val="0"/>
      <w:marTop w:val="0"/>
      <w:marBottom w:val="0"/>
      <w:divBdr>
        <w:top w:val="none" w:sz="0" w:space="0" w:color="auto"/>
        <w:left w:val="none" w:sz="0" w:space="0" w:color="auto"/>
        <w:bottom w:val="none" w:sz="0" w:space="0" w:color="auto"/>
        <w:right w:val="none" w:sz="0" w:space="0" w:color="auto"/>
      </w:divBdr>
    </w:div>
    <w:div w:id="214492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FE4F03AD7941B4C93735DD3600361FA" ma:contentTypeVersion="4" ma:contentTypeDescription="Crear nuevo documento." ma:contentTypeScope="" ma:versionID="1f212c60a8fd187eba343a613201b39c">
  <xsd:schema xmlns:xsd="http://www.w3.org/2001/XMLSchema" xmlns:xs="http://www.w3.org/2001/XMLSchema" xmlns:p="http://schemas.microsoft.com/office/2006/metadata/properties" xmlns:ns2="4e749269-84f7-404c-876a-457ace3db5ac" targetNamespace="http://schemas.microsoft.com/office/2006/metadata/properties" ma:root="true" ma:fieldsID="2536cf460ca4ff41ebc2b54bd06707bd" ns2:_="">
    <xsd:import namespace="4e749269-84f7-404c-876a-457ace3db5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49269-84f7-404c-876a-457ace3db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D4845-7955-4E1F-B6A2-7E67120A275E}">
  <ds:schemaRefs>
    <ds:schemaRef ds:uri="http://schemas.microsoft.com/sharepoint/v3/contenttype/forms"/>
  </ds:schemaRefs>
</ds:datastoreItem>
</file>

<file path=customXml/itemProps2.xml><?xml version="1.0" encoding="utf-8"?>
<ds:datastoreItem xmlns:ds="http://schemas.openxmlformats.org/officeDocument/2006/customXml" ds:itemID="{1774A207-C434-49E3-B457-E9AEE116B2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19B6B3-16D7-438C-A773-A3D61449E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49269-84f7-404c-876a-457ace3db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3D8404-7F37-4710-B9E2-D746DE5B3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9</Pages>
  <Words>2143</Words>
  <Characters>12218</Characters>
  <Application>Microsoft Office Word</Application>
  <DocSecurity>0</DocSecurity>
  <Lines>101</Lines>
  <Paragraphs>28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Escrig Olmedo</dc:creator>
  <cp:keywords/>
  <dc:description/>
  <cp:lastModifiedBy>Elena Escrig Olmedo</cp:lastModifiedBy>
  <cp:revision>7</cp:revision>
  <dcterms:created xsi:type="dcterms:W3CDTF">2025-12-19T08:29:00Z</dcterms:created>
  <dcterms:modified xsi:type="dcterms:W3CDTF">2025-12-19T11:10:00Z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0x0101002FE4F03AD7941B4C93735DD3600361FA</vt:lpwstr>
  </property>
  <property fmtid="{D5CDD505-2E9C-101B-9397-08002B2CF9AE}" pid="3" name="GrammarlyDocumentId">
    <vt:lpwstr>756ba01c8493fbdbdef5f727a6e4d7b1f0f698153cda6d6b9314e9f6f62bfa8f</vt:lpwstr>
  </property>
</Properties>
</file>