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5BFE6">
      <w:pPr>
        <w:jc w:val="center"/>
        <w:rPr>
          <w:rFonts w:eastAsiaTheme="minorEastAsia"/>
          <w:b/>
          <w:bCs/>
          <w:sz w:val="28"/>
          <w:szCs w:val="28"/>
          <w14:ligatures w14:val="standardContextual"/>
        </w:rPr>
      </w:pPr>
      <w:bookmarkStart w:id="0" w:name="OLE_LINK16"/>
      <w:bookmarkStart w:id="1" w:name="_Hlk195212798"/>
      <w:r>
        <w:rPr>
          <w:b/>
          <w:bCs/>
          <w:sz w:val="28"/>
          <w:szCs w:val="28"/>
        </w:rPr>
        <w:t>Supplementary Materials for</w:t>
      </w:r>
    </w:p>
    <w:bookmarkEnd w:id="0"/>
    <w:p w14:paraId="2E13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2" w:name="_Hlk191293696"/>
      <w:r>
        <w:rPr>
          <w:rFonts w:hint="default" w:ascii="Times New Roman" w:hAnsi="Times New Roman" w:cs="Times New Roman"/>
          <w:b/>
          <w:bCs/>
          <w:sz w:val="28"/>
          <w:szCs w:val="28"/>
        </w:rPr>
        <w:t>Mechanism by which NCOA4 promotes osteoarthritis progression through iron overload-induced mitochondrial dysfunction in chondrocytes</w:t>
      </w:r>
    </w:p>
    <w:p w14:paraId="1BF9215D">
      <w:pPr>
        <w:widowControl/>
        <w:spacing w:line="480" w:lineRule="auto"/>
        <w:rPr>
          <w:b/>
          <w:bCs/>
          <w:shd w:val="clear" w:color="auto" w:fill="FFFFFF"/>
        </w:rPr>
      </w:pPr>
      <w:r>
        <w:rPr>
          <w:rFonts w:hint="eastAsia"/>
          <w:b/>
          <w:bCs/>
          <w:kern w:val="0"/>
          <w:lang w:val="en-US" w:eastAsia="zh-CN"/>
        </w:rPr>
        <w:t>Youliang</w:t>
      </w:r>
      <w:r>
        <w:rPr>
          <w:b/>
          <w:bCs/>
          <w:kern w:val="0"/>
        </w:rPr>
        <w:t xml:space="preserve"> L</w:t>
      </w:r>
      <w:r>
        <w:rPr>
          <w:rFonts w:hint="eastAsia"/>
          <w:b/>
          <w:bCs/>
          <w:kern w:val="0"/>
        </w:rPr>
        <w:t>i</w:t>
      </w:r>
      <w:r>
        <w:rPr>
          <w:b/>
          <w:bCs/>
          <w:kern w:val="0"/>
        </w:rPr>
        <w:t xml:space="preserve"> </w:t>
      </w:r>
      <w:r>
        <w:rPr>
          <w:rFonts w:hint="eastAsia"/>
          <w:b/>
          <w:bCs/>
          <w:kern w:val="0"/>
          <w:vertAlign w:val="superscript"/>
        </w:rPr>
        <w:t>1</w:t>
      </w:r>
      <w:r>
        <w:rPr>
          <w:rFonts w:cs="Arial"/>
          <w:vertAlign w:val="superscript"/>
        </w:rPr>
        <w:t>#</w:t>
      </w:r>
      <w:r>
        <w:rPr>
          <w:b/>
          <w:bCs/>
          <w:kern w:val="0"/>
        </w:rPr>
        <w:t xml:space="preserve">, </w:t>
      </w:r>
      <w:r>
        <w:rPr>
          <w:rFonts w:hint="eastAsia"/>
          <w:b/>
          <w:bCs/>
          <w:kern w:val="0"/>
          <w:lang w:val="en-US" w:eastAsia="zh-CN"/>
        </w:rPr>
        <w:t>Lin Gao</w:t>
      </w:r>
      <w:r>
        <w:rPr>
          <w:b/>
          <w:bCs/>
          <w:kern w:val="0"/>
        </w:rPr>
        <w:t xml:space="preserve"> </w:t>
      </w:r>
      <w:r>
        <w:rPr>
          <w:rFonts w:hint="eastAsia"/>
          <w:b/>
          <w:bCs/>
          <w:kern w:val="0"/>
          <w:vertAlign w:val="superscript"/>
          <w:lang w:val="en-US" w:eastAsia="zh-CN"/>
        </w:rPr>
        <w:t>2</w:t>
      </w:r>
      <w:r>
        <w:rPr>
          <w:rFonts w:cs="Arial"/>
          <w:vertAlign w:val="superscript"/>
        </w:rPr>
        <w:t>#</w:t>
      </w:r>
      <w:r>
        <w:rPr>
          <w:b/>
          <w:bCs/>
          <w:kern w:val="0"/>
        </w:rPr>
        <w:t xml:space="preserve">, </w:t>
      </w:r>
      <w:r>
        <w:rPr>
          <w:rFonts w:hint="eastAsia"/>
          <w:b/>
          <w:bCs/>
          <w:kern w:val="0"/>
          <w:lang w:val="en-US" w:eastAsia="zh-CN"/>
        </w:rPr>
        <w:t>Xingbang Niu</w:t>
      </w:r>
      <w:r>
        <w:rPr>
          <w:b/>
          <w:bCs/>
          <w:kern w:val="0"/>
          <w:vertAlign w:val="superscript"/>
        </w:rPr>
        <w:t xml:space="preserve"> </w:t>
      </w:r>
      <w:r>
        <w:rPr>
          <w:rFonts w:hint="eastAsia"/>
          <w:b/>
          <w:bCs/>
          <w:kern w:val="0"/>
          <w:vertAlign w:val="superscript"/>
          <w:lang w:val="en-US" w:eastAsia="zh-CN"/>
        </w:rPr>
        <w:t>3</w:t>
      </w:r>
      <w:r>
        <w:rPr>
          <w:b/>
          <w:bCs/>
          <w:kern w:val="0"/>
        </w:rPr>
        <w:t xml:space="preserve">, </w:t>
      </w:r>
      <w:r>
        <w:rPr>
          <w:rFonts w:hint="eastAsia"/>
          <w:b/>
          <w:bCs/>
          <w:kern w:val="0"/>
          <w:lang w:val="en-US" w:eastAsia="zh-CN"/>
        </w:rPr>
        <w:t>Tao Wu</w:t>
      </w:r>
      <w:r>
        <w:rPr>
          <w:b/>
          <w:bCs/>
          <w:kern w:val="0"/>
          <w:vertAlign w:val="superscript"/>
        </w:rPr>
        <w:t xml:space="preserve"> </w:t>
      </w:r>
      <w:r>
        <w:rPr>
          <w:rFonts w:hint="eastAsia"/>
          <w:b/>
          <w:bCs/>
          <w:kern w:val="0"/>
          <w:vertAlign w:val="superscript"/>
          <w:lang w:val="en-US" w:eastAsia="zh-CN"/>
        </w:rPr>
        <w:t>3</w:t>
      </w:r>
      <w:r>
        <w:rPr>
          <w:b/>
          <w:bCs/>
          <w:kern w:val="0"/>
        </w:rPr>
        <w:t xml:space="preserve">, </w:t>
      </w:r>
      <w:r>
        <w:rPr>
          <w:rFonts w:hint="eastAsia"/>
          <w:b/>
          <w:bCs/>
          <w:kern w:val="0"/>
          <w:lang w:val="en-US" w:eastAsia="zh-CN"/>
        </w:rPr>
        <w:t>Kewen Li</w:t>
      </w:r>
      <w:r>
        <w:rPr>
          <w:rFonts w:hint="eastAsia"/>
          <w:b/>
          <w:bCs/>
          <w:kern w:val="0"/>
          <w:vertAlign w:val="superscript"/>
          <w:lang w:val="en-US" w:eastAsia="zh-CN"/>
        </w:rPr>
        <w:t>3</w:t>
      </w:r>
      <w:r>
        <w:rPr>
          <w:b/>
          <w:bCs/>
          <w:kern w:val="0"/>
        </w:rPr>
        <w:t xml:space="preserve">, </w:t>
      </w:r>
      <w:r>
        <w:rPr>
          <w:rFonts w:hint="eastAsia"/>
          <w:b/>
          <w:bCs/>
          <w:kern w:val="0"/>
          <w:lang w:val="en-US" w:eastAsia="zh-CN"/>
        </w:rPr>
        <w:t>Chao Li</w:t>
      </w:r>
      <w:r>
        <w:rPr>
          <w:rFonts w:hint="eastAsia"/>
          <w:b/>
          <w:bCs/>
          <w:kern w:val="0"/>
          <w:vertAlign w:val="superscript"/>
        </w:rPr>
        <w:t>1</w:t>
      </w:r>
      <w:r>
        <w:rPr>
          <w:kern w:val="0"/>
          <w:vertAlign w:val="superscript"/>
        </w:rPr>
        <w:t>*</w:t>
      </w:r>
    </w:p>
    <w:bookmarkEnd w:id="2"/>
    <w:p w14:paraId="3F81A1D6">
      <w:pPr>
        <w:spacing w:line="480" w:lineRule="auto"/>
        <w:rPr>
          <w:b/>
          <w:bCs/>
          <w:i/>
          <w:iCs/>
        </w:rPr>
      </w:pPr>
      <w:r>
        <w:rPr>
          <w:rFonts w:hint="eastAsia"/>
          <w:b/>
          <w:bCs/>
          <w:kern w:val="0"/>
          <w:vertAlign w:val="superscript"/>
        </w:rPr>
        <w:t>1</w:t>
      </w:r>
      <w:r>
        <w:rPr>
          <w:b/>
          <w:bCs/>
          <w:i/>
          <w:iCs/>
        </w:rPr>
        <w:t xml:space="preserve"> </w:t>
      </w:r>
      <w:r>
        <w:rPr>
          <w:rFonts w:hint="eastAsia"/>
          <w:b/>
          <w:bCs/>
          <w:i/>
          <w:iCs/>
        </w:rPr>
        <w:t>Department of Joint Surgery Qinghai University Affiliated Hospital，Postal Code，810000，</w:t>
      </w:r>
      <w:r>
        <w:rPr>
          <w:b/>
          <w:bCs/>
          <w:i/>
          <w:iCs/>
        </w:rPr>
        <w:t>China</w:t>
      </w:r>
    </w:p>
    <w:p w14:paraId="6B2A594B">
      <w:pPr>
        <w:spacing w:line="480" w:lineRule="auto"/>
        <w:rPr>
          <w:b/>
          <w:bCs/>
          <w:i/>
          <w:iCs/>
        </w:rPr>
      </w:pPr>
      <w:r>
        <w:rPr>
          <w:rFonts w:hint="eastAsia"/>
          <w:b/>
          <w:bCs/>
          <w:i/>
          <w:iCs/>
          <w:vertAlign w:val="superscript"/>
        </w:rPr>
        <w:t>2</w:t>
      </w:r>
      <w:r>
        <w:rPr>
          <w:rFonts w:hint="eastAsia"/>
          <w:b/>
          <w:bCs/>
          <w:i/>
          <w:iCs/>
        </w:rPr>
        <w:t>Department of Orthopedics Graduate School of Clinical Medicine Qinghai University，Postal Code，810000,</w:t>
      </w:r>
      <w:r>
        <w:rPr>
          <w:b/>
          <w:bCs/>
          <w:i/>
          <w:iCs/>
        </w:rPr>
        <w:t xml:space="preserve"> China</w:t>
      </w:r>
    </w:p>
    <w:p w14:paraId="26CD92D8">
      <w:pPr>
        <w:spacing w:line="480" w:lineRule="auto"/>
        <w:rPr>
          <w:b/>
          <w:bCs/>
          <w:i/>
          <w:iCs/>
        </w:rPr>
      </w:pPr>
      <w:r>
        <w:rPr>
          <w:rFonts w:hint="eastAsia"/>
          <w:b/>
          <w:bCs/>
          <w:kern w:val="0"/>
          <w:vertAlign w:val="superscript"/>
          <w:lang w:val="en-US" w:eastAsia="zh-CN"/>
        </w:rPr>
        <w:t>3</w:t>
      </w:r>
      <w:r>
        <w:rPr>
          <w:rFonts w:hint="eastAsia"/>
          <w:b/>
          <w:bCs/>
          <w:i/>
          <w:iCs/>
        </w:rPr>
        <w:t>Joint Surgery Departmen</w:t>
      </w:r>
      <w:bookmarkStart w:id="12" w:name="_GoBack"/>
      <w:bookmarkEnd w:id="12"/>
      <w:r>
        <w:rPr>
          <w:rFonts w:hint="eastAsia"/>
          <w:b/>
          <w:bCs/>
          <w:i/>
          <w:iCs/>
        </w:rPr>
        <w:t>t Central Laboratory Qinghai University Affiliated Hospital，Postal Code，810000，China</w:t>
      </w:r>
    </w:p>
    <w:p w14:paraId="52B0882F">
      <w:pPr>
        <w:spacing w:line="480" w:lineRule="auto"/>
        <w:rPr>
          <w:rFonts w:eastAsia="黑体"/>
          <w:b/>
        </w:rPr>
      </w:pPr>
      <w:r>
        <w:rPr>
          <w:rFonts w:eastAsia="黑体"/>
          <w:b/>
          <w:bCs/>
        </w:rPr>
        <w:t>*Correspondence</w:t>
      </w:r>
      <w:r>
        <w:rPr>
          <w:rFonts w:hint="eastAsia" w:eastAsia="黑体"/>
          <w:b/>
          <w:bCs/>
        </w:rPr>
        <w:t xml:space="preserve"> authors.</w:t>
      </w:r>
    </w:p>
    <w:p w14:paraId="59654951">
      <w:pPr>
        <w:spacing w:line="480" w:lineRule="auto"/>
        <w:rPr>
          <w:rFonts w:eastAsia="黑体"/>
        </w:rPr>
      </w:pPr>
      <w:r>
        <w:rPr>
          <w:rFonts w:eastAsia="黑体"/>
          <w:b/>
          <w:i/>
          <w:iCs/>
        </w:rPr>
        <w:t>E-mail addresses</w:t>
      </w:r>
      <w:r>
        <w:rPr>
          <w:b/>
          <w:bCs/>
          <w:i/>
          <w:iCs/>
        </w:rPr>
        <w:t>:</w:t>
      </w:r>
      <w:r>
        <w:rPr>
          <w:b/>
          <w:bCs/>
        </w:rPr>
        <w:t xml:space="preserve"> </w:t>
      </w:r>
      <w:r>
        <w:rPr>
          <w:rFonts w:hint="eastAsia" w:eastAsia="黑体"/>
          <w:b/>
          <w:i/>
          <w:iCs/>
        </w:rPr>
        <w:t xml:space="preserve">15500520003@163.com 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  <w:kern w:val="0"/>
          <w:lang w:val="en-US" w:eastAsia="zh-CN"/>
        </w:rPr>
        <w:t>Chao Li</w:t>
      </w:r>
      <w:r>
        <w:rPr>
          <w:rFonts w:hint="eastAsia"/>
          <w:b/>
          <w:bCs/>
        </w:rPr>
        <w:t>).</w:t>
      </w:r>
    </w:p>
    <w:p w14:paraId="1DBA84E4">
      <w:pPr>
        <w:spacing w:line="480" w:lineRule="auto"/>
        <w:rPr>
          <w:rFonts w:eastAsia="黑体"/>
          <w:b/>
          <w:bCs/>
        </w:rPr>
      </w:pPr>
      <w:r>
        <w:rPr>
          <w:rFonts w:hint="eastAsia" w:eastAsia="黑体"/>
          <w:b/>
          <w:bCs/>
          <w:vertAlign w:val="superscript"/>
        </w:rPr>
        <w:t>#</w:t>
      </w:r>
      <w:r>
        <w:rPr>
          <w:rFonts w:eastAsia="黑体"/>
          <w:b/>
          <w:bCs/>
        </w:rPr>
        <w:t xml:space="preserve"> These authors make equal contributions to this work.</w:t>
      </w:r>
    </w:p>
    <w:p w14:paraId="1788D7DA">
      <w:pPr>
        <w:widowControl/>
        <w:spacing w:line="480" w:lineRule="auto"/>
        <w:jc w:val="left"/>
        <w:rPr>
          <w:rFonts w:ascii="Times New Roman Regular" w:hAnsi="Times New Roman Regular" w:cs="Times New Roman Regular"/>
          <w:b/>
          <w:bCs/>
          <w:shd w:val="clear" w:color="auto" w:fill="FFFFFF"/>
        </w:rPr>
      </w:pPr>
      <w:r>
        <w:rPr>
          <w:rFonts w:ascii="Times New Roman Regular" w:hAnsi="Times New Roman Regular" w:cs="Times New Roman Regular"/>
          <w:b/>
          <w:bCs/>
          <w:shd w:val="clear" w:color="auto" w:fill="FFFFFF"/>
        </w:rPr>
        <w:br w:type="page"/>
      </w:r>
      <w:bookmarkEnd w:id="1"/>
    </w:p>
    <w:p w14:paraId="693207A9">
      <w:pPr>
        <w:outlineLvl w:val="0"/>
        <w:rPr>
          <w:b/>
          <w:bCs/>
          <w:sz w:val="28"/>
          <w:szCs w:val="28"/>
        </w:rPr>
      </w:pPr>
      <w:bookmarkStart w:id="3" w:name="_Toc32096817"/>
      <w:bookmarkStart w:id="4" w:name="_Toc32096766"/>
      <w:bookmarkStart w:id="5" w:name="_Toc32097755"/>
      <w:bookmarkStart w:id="6" w:name="_Toc32096807"/>
      <w:bookmarkStart w:id="7" w:name="_Toc47107805"/>
      <w:bookmarkStart w:id="8" w:name="_Hlk189321831"/>
      <w:r>
        <w:rPr>
          <w:b/>
          <w:bCs/>
          <w:sz w:val="28"/>
          <w:szCs w:val="28"/>
        </w:rPr>
        <w:t xml:space="preserve">Supplementary </w:t>
      </w:r>
      <w:r>
        <w:rPr>
          <w:rFonts w:hint="eastAsia"/>
          <w:b/>
          <w:bCs/>
          <w:sz w:val="28"/>
          <w:szCs w:val="28"/>
        </w:rPr>
        <w:t>Materials and M</w:t>
      </w:r>
      <w:r>
        <w:rPr>
          <w:b/>
          <w:bCs/>
          <w:sz w:val="28"/>
          <w:szCs w:val="28"/>
        </w:rPr>
        <w:t>ethod</w:t>
      </w:r>
      <w:r>
        <w:rPr>
          <w:rFonts w:hint="eastAsia"/>
          <w:b/>
          <w:bCs/>
          <w:sz w:val="28"/>
          <w:szCs w:val="28"/>
        </w:rPr>
        <w:t>s</w:t>
      </w:r>
      <w:bookmarkEnd w:id="3"/>
      <w:bookmarkEnd w:id="4"/>
      <w:bookmarkEnd w:id="5"/>
      <w:bookmarkEnd w:id="6"/>
      <w:bookmarkEnd w:id="7"/>
    </w:p>
    <w:bookmarkEnd w:id="8"/>
    <w:p w14:paraId="47CAA8B0">
      <w:pPr>
        <w:widowControl/>
        <w:spacing w:line="360" w:lineRule="auto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9" w:name="_Hlk191501942"/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Method</w:t>
      </w:r>
      <w:r>
        <w:rPr>
          <w:rFonts w:hint="eastAsia"/>
          <w:b/>
          <w:bCs/>
          <w:sz w:val="28"/>
          <w:szCs w:val="28"/>
          <w:lang w:val="en-US" w:eastAsia="zh-CN"/>
        </w:rPr>
        <w:t>s</w:t>
      </w:r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S1 </w:t>
      </w:r>
    </w:p>
    <w:bookmarkEnd w:id="9"/>
    <w:p w14:paraId="44B65602">
      <w:pPr>
        <w:spacing w:line="360" w:lineRule="auto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Gait Behavior Analysis Standards</w:t>
      </w:r>
    </w:p>
    <w:p w14:paraId="6F054561">
      <w:pPr>
        <w:spacing w:line="360" w:lineRule="auto"/>
        <w:ind w:firstLine="480" w:firstLineChars="200"/>
        <w:rPr>
          <w:rFonts w:ascii="Times New Roman Regular" w:hAnsi="Times New Roman Regular" w:cs="Times New Roman Regular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Rats continuously walked on an electric treadmill for 20 seconds. When a rat refused to exercise on the treadmill, it was scored as 0 points; if the rat completed 30% of the running distance within the 20-second test period and exhibited significant gait disturbance, it was scored as 1 point; completing 60% of the running distance with moderate gait abnormalities was scored as 2 points; Rats completing 90% of the distance with only mild gait incoordination were scored as 3 points; Rats successfully completing the entire distance with normal gait were scored as 4 points.</w:t>
      </w:r>
      <w:r>
        <w:rPr>
          <w:rFonts w:ascii="Times New Roman Regular" w:hAnsi="Times New Roman Regular" w:cs="Times New Roman Regular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</w:p>
    <w:p w14:paraId="3843865C">
      <w:pPr>
        <w:spacing w:line="360" w:lineRule="auto"/>
        <w:jc w:val="left"/>
        <w:rPr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10" w:name="_Hlk195281267"/>
      <w:bookmarkStart w:id="11" w:name="_Hlk189321868"/>
      <w:r>
        <w:rPr>
          <w:rFonts w:hint="eastAsia"/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ethod</w:t>
      </w:r>
      <w:bookmarkEnd w:id="10"/>
      <w:r>
        <w:rPr>
          <w:rFonts w:hint="eastAsia"/>
          <w:b/>
          <w:bCs/>
          <w:sz w:val="28"/>
          <w:szCs w:val="28"/>
          <w:lang w:val="en-US" w:eastAsia="zh-CN"/>
        </w:rPr>
        <w:t>s</w:t>
      </w:r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S</w:t>
      </w:r>
      <w:bookmarkEnd w:id="11"/>
      <w:r>
        <w:rPr>
          <w:rFonts w:hint="eastAsia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2 </w:t>
      </w:r>
    </w:p>
    <w:p w14:paraId="3B5F583A">
      <w:pPr>
        <w:widowControl/>
        <w:spacing w:line="360" w:lineRule="auto"/>
        <w:ind w:left="-120" w:leftChars="-50" w:right="120" w:rightChars="50" w:firstLine="480" w:firstLineChars="200"/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OARSI Scoring Criteria</w:t>
      </w:r>
    </w:p>
    <w:p w14:paraId="268CF3B9">
      <w:pPr>
        <w:widowControl/>
        <w:spacing w:line="360" w:lineRule="auto"/>
        <w:ind w:left="-120" w:leftChars="-50" w:right="120" w:rightChars="50" w:firstLine="480" w:firstLineChars="200"/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Pain: Assess the severity of pain, including pain during activity and at rest, as well as nighttime pain and worsening episodes. Scored on a 0-4 scale, where 0 indicates no pain and 4 indicates severe pain.</w:t>
      </w:r>
    </w:p>
    <w:p w14:paraId="2E2DC3E9">
      <w:pPr>
        <w:widowControl/>
        <w:spacing w:line="360" w:lineRule="auto"/>
        <w:ind w:left="-120" w:leftChars="-50" w:right="120" w:rightChars="50" w:firstLine="480" w:firstLineChars="200"/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Functional Impairment: Evaluate daily mobility, including walking. Scored on a 0-4 scale, where 0 indicates no functional impairment and 4 indicates complete loss of function.</w:t>
      </w:r>
    </w:p>
    <w:p w14:paraId="6DFF184C">
      <w:pPr>
        <w:widowControl/>
        <w:spacing w:line="360" w:lineRule="auto"/>
        <w:ind w:left="-120" w:leftChars="-50" w:right="120" w:rightChars="50" w:firstLine="480" w:firstLineChars="200"/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Joint Swelling: Assess the degree and extent of joint swelling. Scored 0-4, where 0 indicates no swelling and 4 indicates severe swelling.</w:t>
      </w:r>
    </w:p>
    <w:p w14:paraId="30943318">
      <w:pPr>
        <w:widowControl/>
        <w:spacing w:line="360" w:lineRule="auto"/>
        <w:ind w:left="-120" w:leftChars="-50" w:right="120" w:rightChars="50" w:firstLine="480" w:firstLineChars="200"/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Organic Changes: Assess joint appearance, including joint space narrowing and bone spurs. Scored 0-4, where 0 indicates no organic changes and 4 indicates severe organic changes.</w:t>
      </w:r>
    </w:p>
    <w:p w14:paraId="1B612322">
      <w:pPr>
        <w:widowControl/>
        <w:spacing w:line="360" w:lineRule="auto"/>
        <w:ind w:left="-120" w:leftChars="-50" w:right="120" w:rightChars="50"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14:textFill>
            <w14:solidFill>
              <w14:schemeClr w14:val="tx1"/>
            </w14:solidFill>
          </w14:textFill>
        </w:rPr>
        <w:t>Self-reported quality of life: Assess perceived quality of life, primarily focusing on physical impact. Scored 0–4, where 0 indicates no impact and 4 indicates severely impaired quality of life.</w:t>
      </w:r>
    </w:p>
    <w:sectPr>
      <w:footerReference r:id="rId5" w:type="default"/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7184191"/>
      <w:docPartObj>
        <w:docPartGallery w:val="autotext"/>
      </w:docPartObj>
    </w:sdtPr>
    <w:sdtContent>
      <w:p w14:paraId="01CFF01F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13B861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D3"/>
    <w:rsid w:val="00017F8C"/>
    <w:rsid w:val="00025DCE"/>
    <w:rsid w:val="00050D42"/>
    <w:rsid w:val="000B44C6"/>
    <w:rsid w:val="000F1835"/>
    <w:rsid w:val="0014121D"/>
    <w:rsid w:val="001A79DC"/>
    <w:rsid w:val="001B38B9"/>
    <w:rsid w:val="00211ED3"/>
    <w:rsid w:val="00217243"/>
    <w:rsid w:val="002278F4"/>
    <w:rsid w:val="00446CB3"/>
    <w:rsid w:val="0044763B"/>
    <w:rsid w:val="004570EC"/>
    <w:rsid w:val="0058013D"/>
    <w:rsid w:val="0058089F"/>
    <w:rsid w:val="00580FBF"/>
    <w:rsid w:val="0064351E"/>
    <w:rsid w:val="00747FFB"/>
    <w:rsid w:val="007A456F"/>
    <w:rsid w:val="007E22E4"/>
    <w:rsid w:val="00853804"/>
    <w:rsid w:val="009678BA"/>
    <w:rsid w:val="009705F2"/>
    <w:rsid w:val="009B2D16"/>
    <w:rsid w:val="009C0AE3"/>
    <w:rsid w:val="009F6B53"/>
    <w:rsid w:val="00AC52A7"/>
    <w:rsid w:val="00B15BAB"/>
    <w:rsid w:val="00C5177C"/>
    <w:rsid w:val="00C70DAF"/>
    <w:rsid w:val="00CC1642"/>
    <w:rsid w:val="00D37AE9"/>
    <w:rsid w:val="00DC39D0"/>
    <w:rsid w:val="00E21442"/>
    <w:rsid w:val="00F32D98"/>
    <w:rsid w:val="2FEF4CDB"/>
    <w:rsid w:val="3E846C23"/>
    <w:rsid w:val="41AC3749"/>
    <w:rsid w:val="556C3EBA"/>
    <w:rsid w:val="56AF2EEE"/>
    <w:rsid w:val="633A62DA"/>
    <w:rsid w:val="6C1B20C5"/>
    <w:rsid w:val="704716DB"/>
    <w:rsid w:val="78F80E88"/>
    <w:rsid w:val="7BF93319"/>
    <w:rsid w:val="7C8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line number"/>
    <w:basedOn w:val="17"/>
    <w:semiHidden/>
    <w:unhideWhenUsed/>
    <w:qFormat/>
    <w:uiPriority w:val="99"/>
  </w:style>
  <w:style w:type="character" w:customStyle="1" w:styleId="19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Heading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4 Char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Heading 5 Char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Heading 6 Char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Heading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Quote Char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5">
    <w:name w:val="Intense Quote Char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7"/>
    <w:link w:val="12"/>
    <w:qFormat/>
    <w:uiPriority w:val="99"/>
    <w:rPr>
      <w:sz w:val="18"/>
      <w:szCs w:val="18"/>
    </w:rPr>
  </w:style>
  <w:style w:type="character" w:customStyle="1" w:styleId="38">
    <w:name w:val="Footer Char"/>
    <w:basedOn w:val="17"/>
    <w:link w:val="11"/>
    <w:qFormat/>
    <w:uiPriority w:val="99"/>
    <w:rPr>
      <w:sz w:val="18"/>
      <w:szCs w:val="18"/>
    </w:rPr>
  </w:style>
  <w:style w:type="table" w:customStyle="1" w:styleId="39">
    <w:name w:val="网格型1"/>
    <w:basedOn w:val="15"/>
    <w:autoRedefine/>
    <w:qFormat/>
    <w:uiPriority w:val="39"/>
    <w:pPr>
      <w:spacing w:after="0" w:line="240" w:lineRule="auto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447E-D107-44DA-9E0C-BFBEEF7467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1920</Characters>
  <Lines>70</Lines>
  <Paragraphs>19</Paragraphs>
  <TotalTime>62</TotalTime>
  <ScaleCrop>false</ScaleCrop>
  <LinksUpToDate>false</LinksUpToDate>
  <CharactersWithSpaces>2231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2025-10-12T02:15:00Z</dcterms:created>
  <dc:creator>李 春霞</dc:creator>
  <cp:lastModifiedBy>誡  誡   誡</cp:lastModifiedBy>
  <cp:lastPrinted>2025-04-11T08:35:00Z</cp:lastPrinted>
  <dcterms:modified xsi:type="dcterms:W3CDTF">2026-01-08T10:55:43Z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97A38D11517B49769B006CF447CC2B88_13</vt:lpwstr>
  </property>
  <property fmtid="{D5CDD505-2E9C-101B-9397-08002B2CF9AE}" pid="4" name="KSOTemplateDocerSaveRecord">
    <vt:lpwstr>eyJoZGlkIjoiNDBkNDZiMmE4MDI2YTFjMzQ5MDBjYmFhZGYxZjFiNjkiLCJ1c2VySWQiOiI0NDE2ODE0MjgifQ==</vt:lpwstr>
  </property>
</Properties>
</file>