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bCs w:val="1"/>
          <w:sz w:val="24"/>
          <w:szCs w:val="24"/>
        </w:rPr>
      </w:pPr>
      <w:bookmarkStart w:colFirst="0" w:colLast="0" w:name="_t44s4cjps450"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60ywxnme92zj" w:id="1"/>
      <w:bookmarkEnd w:id="1"/>
      <w:r w:rsidDel="00000000" w:rsidR="00000000" w:rsidRPr="00000000">
        <w:rPr>
          <w:rFonts w:ascii="Times New Roman" w:cs="Times New Roman" w:eastAsia="Times New Roman" w:hAnsi="Times New Roman"/>
          <w:b w:val="1"/>
          <w:bCs w:val="1"/>
          <w:sz w:val="24"/>
          <w:szCs w:val="24"/>
          <w:rtl w:val="0"/>
        </w:rPr>
        <w:t xml:space="preserve">Methodological Transparency for Narrative Synthesis</w:t>
      </w:r>
    </w:p>
    <w:p w:rsidR="00000000" w:rsidDel="00000000" w:rsidP="00000000" w:rsidRDefault="00000000" w:rsidRPr="00000000" w14:paraId="00000003">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ih9o091i3d6l" w:id="2"/>
      <w:bookmarkEnd w:id="2"/>
      <w:r w:rsidDel="00000000" w:rsidR="00000000" w:rsidRPr="00000000">
        <w:rPr>
          <w:rFonts w:ascii="Times New Roman" w:cs="Times New Roman" w:eastAsia="Times New Roman" w:hAnsi="Times New Roman"/>
          <w:b w:val="1"/>
          <w:bCs w:val="1"/>
          <w:color w:val="000000"/>
          <w:sz w:val="24"/>
          <w:szCs w:val="24"/>
          <w:rtl w:val="0"/>
        </w:rPr>
        <w:t xml:space="preserve">Study Title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Work Twice as Hard to Look Normal”: Lived Workplace Experiences of Adults With ADHD Across Cultures</w:t>
      </w:r>
    </w:p>
    <w:p w:rsidR="00000000" w:rsidDel="00000000" w:rsidP="00000000" w:rsidRDefault="00000000" w:rsidRPr="00000000" w14:paraId="00000005">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1lu5p1u2o8kh" w:id="3"/>
      <w:bookmarkEnd w:id="3"/>
      <w:r w:rsidDel="00000000" w:rsidR="00000000" w:rsidRPr="00000000">
        <w:rPr>
          <w:rFonts w:ascii="Times New Roman" w:cs="Times New Roman" w:eastAsia="Times New Roman" w:hAnsi="Times New Roman"/>
          <w:b w:val="1"/>
          <w:bCs w:val="1"/>
          <w:sz w:val="24"/>
          <w:szCs w:val="24"/>
          <w:rtl w:val="0"/>
        </w:rPr>
        <w:t xml:space="preserve">1. Nature and Purpose of This Supplementary File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supplementary file is provided to enhance transparency and methodological rigor for the qualitative narrative synthesis reported in the main manuscript. As the study is interpretive and qualitative in nature, no primary data collection, participant recruitment, or bibliometric datasets were involved. Accordingly, this file documents the search strategy, inclusion and exclusion criteria, and narrative analytical framework used to synthesize first-person accounts of adult ADHD in workplace contexts.</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file is intended to enable readers, reviewers, and editors to assess the credibility, coherence, and traceability of the analytical process.</w:t>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idz2xr1l4xqu" w:id="4"/>
      <w:bookmarkEnd w:id="4"/>
      <w:r w:rsidDel="00000000" w:rsidR="00000000" w:rsidRPr="00000000">
        <w:rPr>
          <w:rFonts w:ascii="Times New Roman" w:cs="Times New Roman" w:eastAsia="Times New Roman" w:hAnsi="Times New Roman"/>
          <w:b w:val="1"/>
          <w:bCs w:val="1"/>
          <w:sz w:val="24"/>
          <w:szCs w:val="24"/>
          <w:rtl w:val="0"/>
        </w:rPr>
        <w:t xml:space="preserve">2. Study Design Overview</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employed a qualitative narrative synthesis design. Narrative synthesis is an established qualitative approach used to integrate and interpret findings from multiple qualitative sources while preserving meaning, context, and voice. The emphasis is on patterns of experience and meaning-making, rather than on aggregation, frequency counts, or bibliometric indicators.</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 of analysis in this study was narrative content (first-person accounts, quotations, and experiential descriptions), not individual participants or publication records.</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mwl8jx254en" w:id="5"/>
      <w:bookmarkEnd w:id="5"/>
      <w:r w:rsidDel="00000000" w:rsidR="00000000" w:rsidRPr="00000000">
        <w:rPr>
          <w:rFonts w:ascii="Times New Roman" w:cs="Times New Roman" w:eastAsia="Times New Roman" w:hAnsi="Times New Roman"/>
          <w:b w:val="1"/>
          <w:bCs w:val="1"/>
          <w:sz w:val="24"/>
          <w:szCs w:val="24"/>
          <w:rtl w:val="0"/>
        </w:rPr>
        <w:t xml:space="preserve">3. Data Sources</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Narrative materials were drawn exclusively from secondary, publicly available sources, including:</w:t>
      </w:r>
    </w:p>
    <w:p w:rsidR="00000000" w:rsidDel="00000000" w:rsidP="00000000" w:rsidRDefault="00000000" w:rsidRPr="00000000" w14:paraId="0000000D">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Peer-reviewed qualitative studies reporting first-person accounts of adults with ADHD in workplace or occupational contexts</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Autobiographical and reflexive narrative writings authored by adults with ADHD and published in academic or professional outlets</w:t>
      </w:r>
    </w:p>
    <w:p w:rsidR="00000000" w:rsidDel="00000000" w:rsidP="00000000" w:rsidRDefault="00000000" w:rsidRPr="00000000" w14:paraId="0000000F">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Experiential reports and qualitative syntheses explicitly foregrounding lived experience at work</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unpublished data, confidential materials, or restricted datasets were accessed.</w:t>
      </w:r>
    </w:p>
    <w:p w:rsidR="00000000" w:rsidDel="00000000" w:rsidP="00000000" w:rsidRDefault="00000000" w:rsidRPr="00000000" w14:paraId="00000011">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102ii8xkmqoe" w:id="6"/>
      <w:bookmarkEnd w:id="6"/>
      <w:r w:rsidDel="00000000" w:rsidR="00000000" w:rsidRPr="00000000">
        <w:rPr>
          <w:rFonts w:ascii="Times New Roman" w:cs="Times New Roman" w:eastAsia="Times New Roman" w:hAnsi="Times New Roman"/>
          <w:b w:val="1"/>
          <w:bCs w:val="1"/>
          <w:sz w:val="24"/>
          <w:szCs w:val="24"/>
          <w:rtl w:val="0"/>
        </w:rPr>
        <w:t xml:space="preserve">4. Search Strategy and Databases Consulted</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Targeted literature searches were conducted between 2023 and 2024 using the following databases and platforms:</w:t>
      </w:r>
    </w:p>
    <w:p w:rsidR="00000000" w:rsidDel="00000000" w:rsidP="00000000" w:rsidRDefault="00000000" w:rsidRPr="00000000" w14:paraId="00000013">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PsycINFO</w:t>
      </w:r>
    </w:p>
    <w:p w:rsidR="00000000" w:rsidDel="00000000" w:rsidP="00000000" w:rsidRDefault="00000000" w:rsidRPr="00000000" w14:paraId="00000014">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PubMed</w:t>
      </w:r>
    </w:p>
    <w:p w:rsidR="00000000" w:rsidDel="00000000" w:rsidP="00000000" w:rsidRDefault="00000000" w:rsidRPr="00000000" w14:paraId="00000015">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Scholar</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Searches were supplemented by </w:t>
      </w:r>
      <w:r w:rsidDel="00000000" w:rsidR="00000000" w:rsidRPr="00000000">
        <w:rPr>
          <w:rFonts w:ascii="Times New Roman" w:cs="Times New Roman" w:eastAsia="Times New Roman" w:hAnsi="Times New Roman"/>
          <w:sz w:val="24"/>
          <w:szCs w:val="24"/>
          <w:rtl w:val="0"/>
        </w:rPr>
        <w:t xml:space="preserve">manual reference list screening </w:t>
      </w:r>
      <w:r w:rsidDel="00000000" w:rsidR="00000000" w:rsidRPr="00000000">
        <w:rPr>
          <w:rFonts w:ascii="Times New Roman" w:cs="Times New Roman" w:eastAsia="Times New Roman" w:hAnsi="Times New Roman"/>
          <w:sz w:val="24"/>
          <w:szCs w:val="24"/>
          <w:rtl w:val="0"/>
        </w:rPr>
        <w:t xml:space="preserve">of key qualitative studies to identify additional relevant narrative sources.</w:t>
      </w:r>
    </w:p>
    <w:p w:rsidR="00000000" w:rsidDel="00000000" w:rsidP="00000000" w:rsidRDefault="00000000" w:rsidRPr="00000000" w14:paraId="00000017">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2c7o73w0og16" w:id="7"/>
      <w:bookmarkEnd w:id="7"/>
      <w:r w:rsidDel="00000000" w:rsidR="00000000" w:rsidRPr="00000000">
        <w:rPr>
          <w:rFonts w:ascii="Times New Roman" w:cs="Times New Roman" w:eastAsia="Times New Roman" w:hAnsi="Times New Roman"/>
          <w:b w:val="1"/>
          <w:bCs w:val="1"/>
          <w:color w:val="000000"/>
          <w:sz w:val="24"/>
          <w:szCs w:val="24"/>
          <w:rtl w:val="0"/>
        </w:rPr>
        <w:t xml:space="preserve">Example Search Strings</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terms were adapted slightly across databases. Representative search strings included:</w:t>
      </w:r>
    </w:p>
    <w:p w:rsidR="00000000" w:rsidDel="00000000" w:rsidP="00000000" w:rsidRDefault="00000000" w:rsidRPr="00000000" w14:paraId="00000019">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ADHD" AND "workplace experience" AND qualitative</w:t>
      </w:r>
    </w:p>
    <w:p w:rsidR="00000000" w:rsidDel="00000000" w:rsidP="00000000" w:rsidRDefault="00000000" w:rsidRPr="00000000" w14:paraId="0000001A">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"ADHD" AND "lived experience" AND work</w:t>
      </w:r>
    </w:p>
    <w:p w:rsidR="00000000" w:rsidDel="00000000" w:rsidP="00000000" w:rsidRDefault="00000000" w:rsidRPr="00000000" w14:paraId="0000001B">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"neurodiversity" AND "ADHD" AND employment AND narrative</w:t>
      </w:r>
    </w:p>
    <w:p w:rsidR="00000000" w:rsidDel="00000000" w:rsidP="00000000" w:rsidRDefault="00000000" w:rsidRPr="00000000" w14:paraId="0000001C">
      <w:pPr>
        <w:numPr>
          <w:ilvl w:val="0"/>
          <w:numId w:val="6"/>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deficit hyperactivity disorder" AND work AND qualitative</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Searches were restricted to</w:t>
      </w:r>
      <w:r w:rsidDel="00000000" w:rsidR="00000000" w:rsidRPr="00000000">
        <w:rPr>
          <w:rFonts w:ascii="Times New Roman" w:cs="Times New Roman" w:eastAsia="Times New Roman" w:hAnsi="Times New Roman"/>
          <w:sz w:val="24"/>
          <w:szCs w:val="24"/>
          <w:rtl w:val="0"/>
        </w:rPr>
        <w:t xml:space="preserve"> English-language publications.</w:t>
      </w:r>
    </w:p>
    <w:p w:rsidR="00000000" w:rsidDel="00000000" w:rsidP="00000000" w:rsidRDefault="00000000" w:rsidRPr="00000000" w14:paraId="0000001E">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7wqcl5lrgkyb" w:id="8"/>
      <w:bookmarkEnd w:id="8"/>
      <w:r w:rsidDel="00000000" w:rsidR="00000000" w:rsidRPr="00000000">
        <w:rPr>
          <w:rFonts w:ascii="Times New Roman" w:cs="Times New Roman" w:eastAsia="Times New Roman" w:hAnsi="Times New Roman"/>
          <w:b w:val="1"/>
          <w:bCs w:val="1"/>
          <w:sz w:val="24"/>
          <w:szCs w:val="24"/>
          <w:rtl w:val="0"/>
        </w:rPr>
        <w:t xml:space="preserve">5. Time Frame</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Publications from </w:t>
      </w:r>
      <w:r w:rsidDel="00000000" w:rsidR="00000000" w:rsidRPr="00000000">
        <w:rPr>
          <w:rFonts w:ascii="Times New Roman" w:cs="Times New Roman" w:eastAsia="Times New Roman" w:hAnsi="Times New Roman"/>
          <w:sz w:val="24"/>
          <w:szCs w:val="24"/>
          <w:rtl w:val="0"/>
        </w:rPr>
        <w:t xml:space="preserve">2000 to 2024 </w:t>
      </w:r>
      <w:r w:rsidDel="00000000" w:rsidR="00000000" w:rsidRPr="00000000">
        <w:rPr>
          <w:rFonts w:ascii="Times New Roman" w:cs="Times New Roman" w:eastAsia="Times New Roman" w:hAnsi="Times New Roman"/>
          <w:sz w:val="24"/>
          <w:szCs w:val="24"/>
          <w:rtl w:val="0"/>
        </w:rPr>
        <w:t xml:space="preserve">were considered. This time frame was selected to capture contemporary conceptualizations of adult ADHD while allowing sufficient depth of qualitative literature.</w:t>
      </w:r>
    </w:p>
    <w:p w:rsidR="00000000" w:rsidDel="00000000" w:rsidP="00000000" w:rsidRDefault="00000000" w:rsidRPr="00000000" w14:paraId="00000020">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yvsyvj73jpb8" w:id="9"/>
      <w:bookmarkEnd w:id="9"/>
      <w:r w:rsidDel="00000000" w:rsidR="00000000" w:rsidRPr="00000000">
        <w:rPr>
          <w:rFonts w:ascii="Times New Roman" w:cs="Times New Roman" w:eastAsia="Times New Roman" w:hAnsi="Times New Roman"/>
          <w:b w:val="1"/>
          <w:bCs w:val="1"/>
          <w:sz w:val="24"/>
          <w:szCs w:val="24"/>
          <w:rtl w:val="0"/>
        </w:rPr>
        <w:t xml:space="preserve">6. Inclusion Criteria</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Narrative sources were included if they met all of the following criteria:</w:t>
      </w:r>
    </w:p>
    <w:p w:rsidR="00000000" w:rsidDel="00000000" w:rsidP="00000000" w:rsidRDefault="00000000" w:rsidRPr="00000000" w14:paraId="00000022">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Authored by adults (18 years or older) with a self-reported or clinically diagnosed ADHD</w:t>
      </w:r>
    </w:p>
    <w:p w:rsidR="00000000" w:rsidDel="00000000" w:rsidP="00000000" w:rsidRDefault="00000000" w:rsidRPr="00000000" w14:paraId="00000023">
      <w:pPr>
        <w:numPr>
          <w:ilvl w:val="0"/>
          <w:numId w:val="5"/>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Explicit focus on workplace, employment, or occupational experiences</w:t>
      </w:r>
    </w:p>
    <w:p w:rsidR="00000000" w:rsidDel="00000000" w:rsidP="00000000" w:rsidRDefault="00000000" w:rsidRPr="00000000" w14:paraId="00000024">
      <w:pPr>
        <w:numPr>
          <w:ilvl w:val="0"/>
          <w:numId w:val="5"/>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Inclusion of first-person perspectives, verbatim participant quotations, or autobiographical narrative material</w:t>
      </w:r>
    </w:p>
    <w:p w:rsidR="00000000" w:rsidDel="00000000" w:rsidP="00000000" w:rsidRDefault="00000000" w:rsidRPr="00000000" w14:paraId="00000025">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Publication in peer-reviewed journals, academic books, or reputable professional outlets</w:t>
      </w:r>
    </w:p>
    <w:p w:rsidR="00000000" w:rsidDel="00000000" w:rsidP="00000000" w:rsidRDefault="00000000" w:rsidRPr="00000000" w14:paraId="00000026">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Availability in the public domain</w:t>
      </w:r>
    </w:p>
    <w:p w:rsidR="00000000" w:rsidDel="00000000" w:rsidP="00000000" w:rsidRDefault="00000000" w:rsidRPr="00000000" w14:paraId="00000027">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Publication in English</w:t>
      </w:r>
    </w:p>
    <w:p w:rsidR="00000000" w:rsidDel="00000000" w:rsidP="00000000" w:rsidRDefault="00000000" w:rsidRPr="00000000" w14:paraId="00000028">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1ucw69wzrfnl" w:id="10"/>
      <w:bookmarkEnd w:id="10"/>
      <w:r w:rsidDel="00000000" w:rsidR="00000000" w:rsidRPr="00000000">
        <w:rPr>
          <w:rFonts w:ascii="Times New Roman" w:cs="Times New Roman" w:eastAsia="Times New Roman" w:hAnsi="Times New Roman"/>
          <w:b w:val="1"/>
          <w:bCs w:val="1"/>
          <w:sz w:val="24"/>
          <w:szCs w:val="24"/>
          <w:rtl w:val="0"/>
        </w:rPr>
        <w:t xml:space="preserve">7. Exclusion Criteria</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Sources were excluded if they:</w:t>
      </w:r>
    </w:p>
    <w:p w:rsidR="00000000" w:rsidDel="00000000" w:rsidP="00000000" w:rsidRDefault="00000000" w:rsidRPr="00000000" w14:paraId="0000002A">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purely quantitative with no experiential or narrative component</w:t>
      </w:r>
    </w:p>
    <w:p w:rsidR="00000000" w:rsidDel="00000000" w:rsidP="00000000" w:rsidRDefault="00000000" w:rsidRPr="00000000" w14:paraId="0000002B">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Focused exclusively on childhood or adolescent ADHD</w:t>
      </w:r>
    </w:p>
    <w:p w:rsidR="00000000" w:rsidDel="00000000" w:rsidP="00000000" w:rsidRDefault="00000000" w:rsidRPr="00000000" w14:paraId="0000002C">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Addressed clinical symptomatology without reference to work or employment</w:t>
      </w:r>
    </w:p>
    <w:p w:rsidR="00000000" w:rsidDel="00000000" w:rsidP="00000000" w:rsidRDefault="00000000" w:rsidRPr="00000000" w14:paraId="0000002D">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opinion pieces without experiential grounding</w:t>
      </w:r>
    </w:p>
    <w:p w:rsidR="00000000" w:rsidDel="00000000" w:rsidP="00000000" w:rsidRDefault="00000000" w:rsidRPr="00000000" w14:paraId="0000002E">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inaccessible or behind restricted access without available narrative content</w:t>
      </w:r>
    </w:p>
    <w:p w:rsidR="00000000" w:rsidDel="00000000" w:rsidP="00000000" w:rsidRDefault="00000000" w:rsidRPr="00000000" w14:paraId="0000002F">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xprteshyhs8" w:id="11"/>
      <w:bookmarkEnd w:id="11"/>
      <w:r w:rsidDel="00000000" w:rsidR="00000000" w:rsidRPr="00000000">
        <w:rPr>
          <w:rFonts w:ascii="Times New Roman" w:cs="Times New Roman" w:eastAsia="Times New Roman" w:hAnsi="Times New Roman"/>
          <w:b w:val="1"/>
          <w:bCs w:val="1"/>
          <w:sz w:val="24"/>
          <w:szCs w:val="24"/>
          <w:rtl w:val="0"/>
        </w:rPr>
        <w:t xml:space="preserve">8. Narrative Coding and Analytical Framework</w:t>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 followed a </w:t>
      </w:r>
      <w:r w:rsidDel="00000000" w:rsidR="00000000" w:rsidRPr="00000000">
        <w:rPr>
          <w:rFonts w:ascii="Times New Roman" w:cs="Times New Roman" w:eastAsia="Times New Roman" w:hAnsi="Times New Roman"/>
          <w:sz w:val="24"/>
          <w:szCs w:val="24"/>
          <w:rtl w:val="0"/>
        </w:rPr>
        <w:t xml:space="preserve">thematic narrative analysis</w:t>
      </w:r>
      <w:r w:rsidDel="00000000" w:rsidR="00000000" w:rsidRPr="00000000">
        <w:rPr>
          <w:rFonts w:ascii="Times New Roman" w:cs="Times New Roman" w:eastAsia="Times New Roman" w:hAnsi="Times New Roman"/>
          <w:sz w:val="24"/>
          <w:szCs w:val="24"/>
          <w:rtl w:val="0"/>
        </w:rPr>
        <w:t xml:space="preserve"> approach, emphasizing meaning, storyline, and context rather than categorical diagnosis or symptom counts.</w:t>
      </w:r>
    </w:p>
    <w:p w:rsidR="00000000" w:rsidDel="00000000" w:rsidP="00000000" w:rsidRDefault="00000000" w:rsidRPr="00000000" w14:paraId="00000031">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op9r8q82u19j" w:id="12"/>
      <w:bookmarkEnd w:id="12"/>
      <w:r w:rsidDel="00000000" w:rsidR="00000000" w:rsidRPr="00000000">
        <w:rPr>
          <w:rFonts w:ascii="Times New Roman" w:cs="Times New Roman" w:eastAsia="Times New Roman" w:hAnsi="Times New Roman"/>
          <w:b w:val="1"/>
          <w:bCs w:val="1"/>
          <w:color w:val="000000"/>
          <w:sz w:val="24"/>
          <w:szCs w:val="24"/>
          <w:rtl w:val="0"/>
        </w:rPr>
        <w:t xml:space="preserve">Analytical Stages</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Stage 1: Immersion and Familiarization</w:t>
        <w:br w:type="textWrapping"/>
      </w:r>
      <w:r w:rsidDel="00000000" w:rsidR="00000000" w:rsidRPr="00000000">
        <w:rPr>
          <w:rFonts w:ascii="Times New Roman" w:cs="Times New Roman" w:eastAsia="Times New Roman" w:hAnsi="Times New Roman"/>
          <w:sz w:val="24"/>
          <w:szCs w:val="24"/>
          <w:rtl w:val="0"/>
        </w:rPr>
        <w:t xml:space="preserve">All included sources were read repeatedly to identify recurring narrative patterns, metaphors, emotional tones, and descriptions of workplace interaction.</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Stage 2: Inductive Narrative Coding</w:t>
        <w:br w:type="textWrapping"/>
      </w:r>
      <w:r w:rsidDel="00000000" w:rsidR="00000000" w:rsidRPr="00000000">
        <w:rPr>
          <w:rFonts w:ascii="Times New Roman" w:cs="Times New Roman" w:eastAsia="Times New Roman" w:hAnsi="Times New Roman"/>
          <w:sz w:val="24"/>
          <w:szCs w:val="24"/>
          <w:rtl w:val="0"/>
        </w:rPr>
        <w:t xml:space="preserve">Narrative segments were coded inductively to capture shared experiential patterns. Codes focused on lived processes such as cognitive effort, masking, disclosure, interaction with organizational structures, and experiences of agency or constraint.</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Stage 3: Theme Development</w:t>
        <w:br w:type="textWrapping"/>
      </w:r>
      <w:r w:rsidDel="00000000" w:rsidR="00000000" w:rsidRPr="00000000">
        <w:rPr>
          <w:rFonts w:ascii="Times New Roman" w:cs="Times New Roman" w:eastAsia="Times New Roman" w:hAnsi="Times New Roman"/>
          <w:sz w:val="24"/>
          <w:szCs w:val="24"/>
          <w:rtl w:val="0"/>
        </w:rPr>
        <w:t xml:space="preserve">Related narrative codes were clustered into higher-order themes that reflected recurrent storylines across cultural contexts. Themes were refined iteratively through comparison across sources.</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Stage 4: Interpretive Lens</w:t>
        <w:br w:type="textWrapping"/>
      </w:r>
      <w:r w:rsidDel="00000000" w:rsidR="00000000" w:rsidRPr="00000000">
        <w:rPr>
          <w:rFonts w:ascii="Times New Roman" w:cs="Times New Roman" w:eastAsia="Times New Roman" w:hAnsi="Times New Roman"/>
          <w:sz w:val="24"/>
          <w:szCs w:val="24"/>
          <w:rtl w:val="0"/>
        </w:rPr>
        <w:t xml:space="preserve">Final themes were interpreted using </w:t>
      </w:r>
      <w:r w:rsidDel="00000000" w:rsidR="00000000" w:rsidRPr="00000000">
        <w:rPr>
          <w:rFonts w:ascii="Times New Roman" w:cs="Times New Roman" w:eastAsia="Times New Roman" w:hAnsi="Times New Roman"/>
          <w:b w:val="1"/>
          <w:bCs w:val="1"/>
          <w:sz w:val="24"/>
          <w:szCs w:val="24"/>
          <w:rtl w:val="0"/>
        </w:rPr>
        <w:t xml:space="preserve">empowerment theory</w:t>
      </w:r>
      <w:r w:rsidDel="00000000" w:rsidR="00000000" w:rsidRPr="00000000">
        <w:rPr>
          <w:rFonts w:ascii="Times New Roman" w:cs="Times New Roman" w:eastAsia="Times New Roman" w:hAnsi="Times New Roman"/>
          <w:sz w:val="24"/>
          <w:szCs w:val="24"/>
          <w:rtl w:val="0"/>
        </w:rPr>
        <w:t xml:space="preserve">, focusing on perceived control, autonomy, participation, and relational power within workplace systems.</w:t>
      </w:r>
    </w:p>
    <w:p w:rsidR="00000000" w:rsidDel="00000000" w:rsidP="00000000" w:rsidRDefault="00000000" w:rsidRPr="00000000" w14:paraId="00000036">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mk7jc69dhe28" w:id="13"/>
      <w:bookmarkEnd w:id="13"/>
      <w:r w:rsidDel="00000000" w:rsidR="00000000" w:rsidRPr="00000000">
        <w:rPr>
          <w:rFonts w:ascii="Times New Roman" w:cs="Times New Roman" w:eastAsia="Times New Roman" w:hAnsi="Times New Roman"/>
          <w:b w:val="1"/>
          <w:bCs w:val="1"/>
          <w:sz w:val="24"/>
          <w:szCs w:val="24"/>
          <w:rtl w:val="0"/>
        </w:rPr>
        <w:t xml:space="preserve">9. Core Narrative Themes Identified</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core themes emerged from the synthesis:</w:t>
      </w:r>
    </w:p>
    <w:p w:rsidR="00000000" w:rsidDel="00000000" w:rsidP="00000000" w:rsidRDefault="00000000" w:rsidRPr="00000000" w14:paraId="00000038">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Invisible cognitive labor required to meet baseline workplace expectations</w:t>
      </w:r>
    </w:p>
    <w:p w:rsidR="00000000" w:rsidDel="00000000" w:rsidP="00000000" w:rsidRDefault="00000000" w:rsidRPr="00000000" w14:paraId="00000039">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Compensatory overwork, masking, and burnout</w:t>
      </w:r>
    </w:p>
    <w:p w:rsidR="00000000" w:rsidDel="00000000" w:rsidP="00000000" w:rsidRDefault="00000000" w:rsidRPr="00000000" w14:paraId="0000003A">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Disclosure dilemmas shaped by stigma and conditional acceptance</w:t>
      </w:r>
    </w:p>
    <w:p w:rsidR="00000000" w:rsidDel="00000000" w:rsidP="00000000" w:rsidRDefault="00000000" w:rsidRPr="00000000" w14:paraId="0000003B">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Structural rigidity and systemic misfit between ADHD cognitive styles and workplace design</w:t>
      </w:r>
    </w:p>
    <w:p w:rsidR="00000000" w:rsidDel="00000000" w:rsidP="00000000" w:rsidRDefault="00000000" w:rsidRPr="00000000" w14:paraId="0000003C">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Reclaiming agency through autonomy, supportive leadership, and strengths-based role alignment</w:t>
      </w:r>
    </w:p>
    <w:p w:rsidR="00000000" w:rsidDel="00000000" w:rsidP="00000000" w:rsidRDefault="00000000" w:rsidRPr="00000000" w14:paraId="000000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themes are elaborated in the Results section of the main manuscript and mapped to empowerment constructs in synthesis tables.</w:t>
      </w:r>
    </w:p>
    <w:p w:rsidR="00000000" w:rsidDel="00000000" w:rsidP="00000000" w:rsidRDefault="00000000" w:rsidRPr="00000000" w14:paraId="0000003E">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ye05ob68qali" w:id="14"/>
      <w:bookmarkEnd w:id="14"/>
      <w:r w:rsidDel="00000000" w:rsidR="00000000" w:rsidRPr="00000000">
        <w:rPr>
          <w:rFonts w:ascii="Times New Roman" w:cs="Times New Roman" w:eastAsia="Times New Roman" w:hAnsi="Times New Roman"/>
          <w:b w:val="1"/>
          <w:bCs w:val="1"/>
          <w:sz w:val="24"/>
          <w:szCs w:val="24"/>
          <w:rtl w:val="0"/>
        </w:rPr>
        <w:t xml:space="preserve">10. Data Availability Clarification</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primary data were generated for this study. No participant-level raw datasets, database export files, deduplication logs, or statistical scripts exist. All materials analyzed were drawn from publicly available sources, and analytical transparency is ensured through the documentation provided in this supplementary file and in the main manuscript.</w:t>
      </w:r>
    </w:p>
    <w:p w:rsidR="00000000" w:rsidDel="00000000" w:rsidP="00000000" w:rsidRDefault="00000000" w:rsidRPr="00000000" w14:paraId="00000040">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y42lo5tya7cu" w:id="15"/>
      <w:bookmarkEnd w:id="15"/>
      <w:r w:rsidDel="00000000" w:rsidR="00000000" w:rsidRPr="00000000">
        <w:rPr>
          <w:rFonts w:ascii="Times New Roman" w:cs="Times New Roman" w:eastAsia="Times New Roman" w:hAnsi="Times New Roman"/>
          <w:b w:val="1"/>
          <w:bCs w:val="1"/>
          <w:sz w:val="24"/>
          <w:szCs w:val="24"/>
          <w:rtl w:val="0"/>
        </w:rPr>
        <w:t xml:space="preserve">11. Ethical Considerations</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study involved secondary analysis of publicly available narrative sources and did not include direct interaction with human participants, formal ethical approval and informed consent were not required.</w:t>
      </w:r>
    </w:p>
    <w:p w:rsidR="00000000" w:rsidDel="00000000" w:rsidP="00000000" w:rsidRDefault="00000000" w:rsidRPr="00000000" w14:paraId="00000042">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gppl69ggymz9" w:id="16"/>
      <w:bookmarkEnd w:id="16"/>
      <w:r w:rsidDel="00000000" w:rsidR="00000000" w:rsidRPr="00000000">
        <w:rPr>
          <w:rFonts w:ascii="Times New Roman" w:cs="Times New Roman" w:eastAsia="Times New Roman" w:hAnsi="Times New Roman"/>
          <w:b w:val="1"/>
          <w:bCs w:val="1"/>
          <w:sz w:val="24"/>
          <w:szCs w:val="24"/>
          <w:rtl w:val="0"/>
        </w:rPr>
        <w:t xml:space="preserve">12. Intended Use of This File</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supplementary document is provided to support editorial and peer review assessment and to demonstrate methodological clarity, transparency, and rigor appropriate to a qualitative narrative synthesis.</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