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2147ED" w:rsidRDefault="002147ED" w:rsidP="002147ED">
      <w:pPr>
        <w:pStyle w:val="Default"/>
        <w:rPr>
          <w:b/>
          <w:bCs/>
          <w:sz w:val="22"/>
          <w:szCs w:val="22"/>
        </w:rPr>
      </w:pPr>
      <w:r>
        <w:rPr>
          <w:b/>
          <w:bCs/>
          <w:sz w:val="22"/>
          <w:szCs w:val="22"/>
        </w:rPr>
        <w:t xml:space="preserve">Appendix S1 </w:t>
      </w:r>
    </w:p>
    <w:p w:rsidR="002147ED" w:rsidRDefault="002147ED" w:rsidP="002147ED">
      <w:pPr>
        <w:pStyle w:val="Default"/>
        <w:rPr>
          <w:sz w:val="22"/>
          <w:szCs w:val="22"/>
        </w:rPr>
      </w:pPr>
    </w:p>
    <w:p w:rsidR="009B122C" w:rsidRDefault="009B122C" w:rsidP="009B122C">
      <w:pPr>
        <w:pStyle w:val="Default"/>
        <w:rPr>
          <w:b/>
          <w:bCs/>
          <w:sz w:val="28"/>
          <w:szCs w:val="28"/>
        </w:rPr>
      </w:pPr>
      <w:r w:rsidRPr="00BE2C03">
        <w:rPr>
          <w:b/>
          <w:bCs/>
          <w:sz w:val="28"/>
          <w:szCs w:val="28"/>
        </w:rPr>
        <w:t>How Hurricanes Drive Bird Displacement in</w:t>
      </w:r>
      <w:r>
        <w:rPr>
          <w:b/>
          <w:bCs/>
          <w:sz w:val="28"/>
          <w:szCs w:val="28"/>
        </w:rPr>
        <w:t xml:space="preserve"> </w:t>
      </w:r>
      <w:r w:rsidRPr="00BE2C03">
        <w:rPr>
          <w:b/>
          <w:bCs/>
          <w:sz w:val="28"/>
          <w:szCs w:val="28"/>
        </w:rPr>
        <w:t>Gulf Ecosystem</w:t>
      </w:r>
      <w:r>
        <w:rPr>
          <w:b/>
          <w:bCs/>
          <w:sz w:val="28"/>
          <w:szCs w:val="28"/>
        </w:rPr>
        <w:t>s</w:t>
      </w:r>
      <w:r w:rsidRPr="00BE2C03">
        <w:rPr>
          <w:b/>
          <w:bCs/>
          <w:sz w:val="28"/>
          <w:szCs w:val="28"/>
        </w:rPr>
        <w:t xml:space="preserve"> Revealed by Deep Learning</w:t>
      </w:r>
      <w:r>
        <w:rPr>
          <w:b/>
          <w:bCs/>
          <w:sz w:val="28"/>
          <w:szCs w:val="28"/>
        </w:rPr>
        <w:t xml:space="preserve"> </w:t>
      </w:r>
      <w:r w:rsidRPr="00BE2C03">
        <w:rPr>
          <w:b/>
          <w:bCs/>
          <w:sz w:val="28"/>
          <w:szCs w:val="28"/>
        </w:rPr>
        <w:t>Species Distribution Model</w:t>
      </w:r>
    </w:p>
    <w:p w:rsidR="00BE2C03" w:rsidRPr="00BE2C03" w:rsidRDefault="00BE2C03" w:rsidP="00BE2C03">
      <w:pPr>
        <w:pStyle w:val="Default"/>
        <w:rPr>
          <w:b/>
          <w:bCs/>
          <w:sz w:val="28"/>
          <w:szCs w:val="28"/>
        </w:rPr>
      </w:pPr>
    </w:p>
    <w:p w:rsidR="006A3EF3" w:rsidRDefault="006A3EF3" w:rsidP="006A3EF3">
      <w:pPr>
        <w:rPr>
          <w:b/>
          <w:bCs/>
        </w:rPr>
      </w:pPr>
      <w:r>
        <w:rPr>
          <w:b/>
          <w:bCs/>
        </w:rPr>
        <w:t>Learned species-species and species-habitat relations</w:t>
      </w:r>
    </w:p>
    <w:p w:rsidR="006A3EF3" w:rsidRDefault="006A3EF3" w:rsidP="006A3EF3">
      <w:pPr>
        <w:ind w:firstLine="720"/>
      </w:pPr>
      <w:r w:rsidRPr="00CD00B2">
        <w:t>We pruned the species-environmental latent spaces b</w:t>
      </w:r>
      <w:r>
        <w:t>ased</w:t>
      </w:r>
      <w:r w:rsidRPr="00CD00B2">
        <w:t xml:space="preserve"> </w:t>
      </w:r>
      <w:r>
        <w:t>on the criterion of prediction precision,</w:t>
      </w:r>
      <w:r w:rsidRPr="00CD00B2">
        <w:t xml:space="preserve"> </w:t>
      </w:r>
      <w:r>
        <w:t xml:space="preserve">ensuring a value greater than </w:t>
      </w:r>
      <w:r w:rsidRPr="00CD00B2">
        <w:t xml:space="preserve">0.3, unless </w:t>
      </w:r>
      <w:r>
        <w:t xml:space="preserve">the </w:t>
      </w:r>
      <w:r w:rsidRPr="00CD00B2">
        <w:t xml:space="preserve">species occurrence </w:t>
      </w:r>
      <w:r>
        <w:t>accuracy</w:t>
      </w:r>
      <w:r w:rsidRPr="00CD00B2">
        <w:t xml:space="preserve"> </w:t>
      </w:r>
      <w:r>
        <w:t xml:space="preserve">exceeded </w:t>
      </w:r>
      <w:r w:rsidRPr="00CD00B2">
        <w:t>0.97</w:t>
      </w:r>
      <w:r>
        <w:t>, to simplify the visualization of learned environment-species and species-species relations, also known as species embedding and environmental embedding, respectively</w:t>
      </w:r>
      <w:r w:rsidRPr="00CD00B2">
        <w:t>. Each month</w:t>
      </w:r>
      <w:r>
        <w:t>,</w:t>
      </w:r>
      <w:r w:rsidRPr="00CD00B2">
        <w:t xml:space="preserve"> </w:t>
      </w:r>
      <w:r>
        <w:t xml:space="preserve">the list of species shortlisted is different. We plotted the interspecific embedding of the sampled species and their environmental (feature) embedding in Figures S1 and S2. </w:t>
      </w:r>
    </w:p>
    <w:p w:rsidR="006A3EF3" w:rsidRPr="008D3A71" w:rsidRDefault="006A3EF3" w:rsidP="006A3EF3">
      <w:pPr>
        <w:ind w:firstLine="720"/>
      </w:pPr>
      <w:r>
        <w:t xml:space="preserve">The correlation matrix in Figure S1 shows pairwise species relations. The species-species embedding (correlation values) has small variations across different pairs of species. Therefore, a Tahn-transform z-score normalization was applied to non-diagonal correlation values (correlation between different species).  That is to apply </w:t>
      </w:r>
      <w:r w:rsidRPr="00BF3E37">
        <w:t>tanh to bound values to (–1, 1) smoothly</w:t>
      </w:r>
      <w:r>
        <w:t xml:space="preserve"> after values were standardized using Z-score</w:t>
      </w:r>
      <w:r w:rsidRPr="00BF3E37">
        <w:t xml:space="preserve"> (mean 0, std 1)</w:t>
      </w:r>
      <w:r>
        <w:t xml:space="preserve"> to make correlation values</w:t>
      </w:r>
      <w:r w:rsidRPr="00A23183">
        <w:t xml:space="preserve"> </w:t>
      </w:r>
      <w:r>
        <w:t xml:space="preserve">have a clear contrast and </w:t>
      </w:r>
      <w:r w:rsidRPr="00A23183">
        <w:t>comparable across months</w:t>
      </w:r>
      <w:r w:rsidRPr="00BF3E37">
        <w:t>.</w:t>
      </w:r>
    </w:p>
    <w:p w:rsidR="006A3EF3" w:rsidRDefault="006A3EF3" w:rsidP="006A3EF3">
      <w:pPr>
        <w:rPr>
          <w:b/>
          <w:bCs/>
        </w:rPr>
      </w:pPr>
      <w:r>
        <w:rPr>
          <w:b/>
          <w:bCs/>
          <w:noProof/>
        </w:rPr>
        <w:drawing>
          <wp:inline distT="0" distB="0" distL="0" distR="0" wp14:anchorId="19FE2A34" wp14:editId="46A5C7A2">
            <wp:extent cx="5943600" cy="2140585"/>
            <wp:effectExtent l="0" t="0" r="0" b="5715"/>
            <wp:docPr id="11156830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83046" name="Picture 1115683046"/>
                    <pic:cNvPicPr/>
                  </pic:nvPicPr>
                  <pic:blipFill>
                    <a:blip r:embed="rId5"/>
                    <a:stretch>
                      <a:fillRect/>
                    </a:stretch>
                  </pic:blipFill>
                  <pic:spPr>
                    <a:xfrm>
                      <a:off x="0" y="0"/>
                      <a:ext cx="5943600" cy="2140585"/>
                    </a:xfrm>
                    <a:prstGeom prst="rect">
                      <a:avLst/>
                    </a:prstGeom>
                  </pic:spPr>
                </pic:pic>
              </a:graphicData>
            </a:graphic>
          </wp:inline>
        </w:drawing>
      </w:r>
    </w:p>
    <w:p w:rsidR="006A3EF3" w:rsidRDefault="006A3EF3" w:rsidP="006A3EF3">
      <w:pPr>
        <w:rPr>
          <w:i/>
          <w:iCs/>
          <w:sz w:val="22"/>
          <w:szCs w:val="22"/>
        </w:rPr>
      </w:pPr>
      <w:r w:rsidRPr="00121147">
        <w:rPr>
          <w:i/>
          <w:iCs/>
          <w:sz w:val="22"/>
          <w:szCs w:val="22"/>
        </w:rPr>
        <w:t xml:space="preserve">Figure </w:t>
      </w:r>
      <w:r>
        <w:rPr>
          <w:i/>
          <w:iCs/>
          <w:sz w:val="22"/>
          <w:szCs w:val="22"/>
        </w:rPr>
        <w:t>S1</w:t>
      </w:r>
      <w:r w:rsidRPr="00121147">
        <w:rPr>
          <w:i/>
          <w:iCs/>
          <w:sz w:val="22"/>
          <w:szCs w:val="22"/>
        </w:rPr>
        <w:t>.</w:t>
      </w:r>
      <w:r>
        <w:rPr>
          <w:i/>
          <w:iCs/>
          <w:sz w:val="22"/>
          <w:szCs w:val="22"/>
        </w:rPr>
        <w:t xml:space="preserve"> Clustered</w:t>
      </w:r>
      <w:r w:rsidRPr="00121147">
        <w:rPr>
          <w:i/>
          <w:iCs/>
          <w:sz w:val="22"/>
          <w:szCs w:val="22"/>
        </w:rPr>
        <w:t xml:space="preserve"> </w:t>
      </w:r>
      <w:r>
        <w:rPr>
          <w:i/>
          <w:iCs/>
          <w:sz w:val="22"/>
          <w:szCs w:val="22"/>
        </w:rPr>
        <w:t>s</w:t>
      </w:r>
      <w:r w:rsidRPr="00121147">
        <w:rPr>
          <w:i/>
          <w:iCs/>
          <w:sz w:val="22"/>
          <w:szCs w:val="22"/>
        </w:rPr>
        <w:t xml:space="preserve">pecies-species correlation matrix (species embedding) for sampled bird species in different months in the </w:t>
      </w:r>
      <w:r>
        <w:rPr>
          <w:i/>
          <w:iCs/>
          <w:sz w:val="22"/>
          <w:szCs w:val="22"/>
        </w:rPr>
        <w:t xml:space="preserve">Northern </w:t>
      </w:r>
      <w:r w:rsidRPr="00121147">
        <w:rPr>
          <w:i/>
          <w:iCs/>
          <w:sz w:val="22"/>
          <w:szCs w:val="22"/>
        </w:rPr>
        <w:t>Gulf of Mexico</w:t>
      </w:r>
    </w:p>
    <w:p w:rsidR="006A3EF3" w:rsidRPr="00087BDC" w:rsidRDefault="006A3EF3" w:rsidP="006A3EF3">
      <w:r>
        <w:t xml:space="preserve"> </w:t>
      </w:r>
      <w:r>
        <w:tab/>
      </w:r>
      <w:r w:rsidRPr="0013162A">
        <w:t xml:space="preserve">Environmental (feature) embedding of a </w:t>
      </w:r>
      <w:r>
        <w:t xml:space="preserve">species number by </w:t>
      </w:r>
      <w:r w:rsidRPr="0013162A">
        <w:t xml:space="preserve">512 </w:t>
      </w:r>
      <w:r>
        <w:t>dimensions was first reduced to 2D dimensions using t-SNE</w:t>
      </w:r>
      <w:r>
        <w:rPr>
          <w:color w:val="000000"/>
        </w:rPr>
        <w:t xml:space="preserve"> (Van Der </w:t>
      </w:r>
      <w:proofErr w:type="spellStart"/>
      <w:r>
        <w:rPr>
          <w:color w:val="000000"/>
        </w:rPr>
        <w:t>Maaten</w:t>
      </w:r>
      <w:proofErr w:type="spellEnd"/>
      <w:r>
        <w:rPr>
          <w:color w:val="000000"/>
        </w:rPr>
        <w:t xml:space="preserve"> &amp; Hinton, 2008) and plotted in clusters based on pairwise dissimilarities</w:t>
      </w:r>
      <w:r w:rsidRPr="0013162A">
        <w:rPr>
          <w:color w:val="000000"/>
        </w:rPr>
        <w:t xml:space="preserve"> (Figure 3)</w:t>
      </w:r>
      <w:r w:rsidRPr="0013162A">
        <w:t xml:space="preserve">. T-SNE is a nonlinear method that maps high-dimensional data into </w:t>
      </w:r>
      <w:r w:rsidRPr="0013162A">
        <w:rPr>
          <w:rStyle w:val="Strong"/>
        </w:rPr>
        <w:t>2D or 3D</w:t>
      </w:r>
      <w:r w:rsidRPr="0013162A">
        <w:t xml:space="preserve"> using </w:t>
      </w:r>
      <w:r w:rsidRPr="00F3001E">
        <w:t>a</w:t>
      </w:r>
      <w:r w:rsidRPr="00F3001E">
        <w:rPr>
          <w:b/>
          <w:bCs/>
        </w:rPr>
        <w:t xml:space="preserve"> </w:t>
      </w:r>
      <w:r w:rsidRPr="00F3001E">
        <w:rPr>
          <w:rStyle w:val="Strong"/>
        </w:rPr>
        <w:t>t-distribution</w:t>
      </w:r>
      <w:r w:rsidRPr="00F3001E">
        <w:rPr>
          <w:b/>
          <w:bCs/>
        </w:rPr>
        <w:t xml:space="preserve">. </w:t>
      </w:r>
      <w:r w:rsidRPr="00F3001E">
        <w:rPr>
          <w:rStyle w:val="Strong"/>
        </w:rPr>
        <w:t>If two points</w:t>
      </w:r>
      <w:r w:rsidRPr="0013162A">
        <w:rPr>
          <w:rStyle w:val="Strong"/>
        </w:rPr>
        <w:t xml:space="preserve"> are close together in high-dimensional feature embedding space, </w:t>
      </w:r>
      <w:r>
        <w:rPr>
          <w:rStyle w:val="Strong"/>
        </w:rPr>
        <w:t>t</w:t>
      </w:r>
      <w:r w:rsidRPr="0013162A">
        <w:rPr>
          <w:rStyle w:val="Strong"/>
        </w:rPr>
        <w:t>hey will be placed close to each other in Figure 3</w:t>
      </w:r>
      <w:r w:rsidRPr="0013162A">
        <w:t xml:space="preserve"> </w:t>
      </w:r>
      <w:r w:rsidRPr="0013162A">
        <w:lastRenderedPageBreak/>
        <w:t xml:space="preserve">using </w:t>
      </w:r>
      <w:proofErr w:type="spellStart"/>
      <w:r w:rsidRPr="0013162A">
        <w:rPr>
          <w:rStyle w:val="Strong"/>
        </w:rPr>
        <w:t>Kullback</w:t>
      </w:r>
      <w:proofErr w:type="spellEnd"/>
      <w:r w:rsidRPr="0013162A">
        <w:rPr>
          <w:rStyle w:val="Strong"/>
        </w:rPr>
        <w:t xml:space="preserve">–Leibler (KL) divergence. Figure </w:t>
      </w:r>
      <w:r>
        <w:rPr>
          <w:rStyle w:val="Strong"/>
        </w:rPr>
        <w:t>S2</w:t>
      </w:r>
      <w:r w:rsidRPr="0013162A">
        <w:rPr>
          <w:rStyle w:val="Strong"/>
        </w:rPr>
        <w:t xml:space="preserve"> </w:t>
      </w:r>
      <w:r>
        <w:rPr>
          <w:rStyle w:val="Strong"/>
        </w:rPr>
        <w:t>illustrate</w:t>
      </w:r>
      <w:r w:rsidRPr="0013162A">
        <w:rPr>
          <w:rStyle w:val="Strong"/>
        </w:rPr>
        <w:t xml:space="preserve">s the pairwise similarities </w:t>
      </w:r>
      <w:r w:rsidRPr="003E23C4">
        <w:rPr>
          <w:rStyle w:val="Strong"/>
        </w:rPr>
        <w:t>among</w:t>
      </w:r>
      <w:r w:rsidRPr="0013162A">
        <w:t xml:space="preserve"> all sampled species </w:t>
      </w:r>
      <w:r>
        <w:t>with</w:t>
      </w:r>
      <w:r w:rsidRPr="0013162A">
        <w:t>in a month.</w:t>
      </w:r>
      <w:r>
        <w:t xml:space="preserve"> In June, as species have relatively higher competition than in </w:t>
      </w:r>
    </w:p>
    <w:p w:rsidR="006A3EF3" w:rsidRDefault="006A3EF3" w:rsidP="006A3EF3">
      <w:pPr>
        <w:rPr>
          <w:b/>
          <w:bCs/>
        </w:rPr>
      </w:pPr>
      <w:r>
        <w:rPr>
          <w:b/>
          <w:bCs/>
          <w:noProof/>
        </w:rPr>
        <w:drawing>
          <wp:inline distT="0" distB="0" distL="0" distR="0" wp14:anchorId="60E87B46" wp14:editId="51CE1C12">
            <wp:extent cx="5943600" cy="1957705"/>
            <wp:effectExtent l="0" t="0" r="0" b="0"/>
            <wp:docPr id="18553467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46710" name="Picture 1855346710"/>
                    <pic:cNvPicPr/>
                  </pic:nvPicPr>
                  <pic:blipFill>
                    <a:blip r:embed="rId6"/>
                    <a:stretch>
                      <a:fillRect/>
                    </a:stretch>
                  </pic:blipFill>
                  <pic:spPr>
                    <a:xfrm>
                      <a:off x="0" y="0"/>
                      <a:ext cx="5943600" cy="1957705"/>
                    </a:xfrm>
                    <a:prstGeom prst="rect">
                      <a:avLst/>
                    </a:prstGeom>
                  </pic:spPr>
                </pic:pic>
              </a:graphicData>
            </a:graphic>
          </wp:inline>
        </w:drawing>
      </w:r>
    </w:p>
    <w:p w:rsidR="006A3EF3" w:rsidRDefault="006A3EF3" w:rsidP="006A3EF3">
      <w:pPr>
        <w:rPr>
          <w:i/>
          <w:iCs/>
        </w:rPr>
      </w:pPr>
      <w:r w:rsidRPr="0018763E">
        <w:rPr>
          <w:i/>
          <w:iCs/>
        </w:rPr>
        <w:t xml:space="preserve">Figure </w:t>
      </w:r>
      <w:r>
        <w:rPr>
          <w:i/>
          <w:iCs/>
        </w:rPr>
        <w:t>S2</w:t>
      </w:r>
      <w:r w:rsidRPr="0018763E">
        <w:rPr>
          <w:i/>
          <w:iCs/>
        </w:rPr>
        <w:t>. Clustered species-environment correlation (</w:t>
      </w:r>
      <w:r>
        <w:rPr>
          <w:i/>
          <w:iCs/>
        </w:rPr>
        <w:t>feature</w:t>
      </w:r>
      <w:r w:rsidRPr="0018763E">
        <w:rPr>
          <w:i/>
          <w:iCs/>
        </w:rPr>
        <w:t xml:space="preserve"> embedding) after </w:t>
      </w:r>
      <w:r>
        <w:rPr>
          <w:i/>
          <w:iCs/>
        </w:rPr>
        <w:t>t-SNE dimensions reduction</w:t>
      </w:r>
      <w:r w:rsidRPr="0018763E">
        <w:rPr>
          <w:i/>
          <w:iCs/>
        </w:rPr>
        <w:t xml:space="preserve"> for sampled bird species in different months in the Northern Gulf of Mexico</w:t>
      </w:r>
    </w:p>
    <w:p w:rsidR="005A6727" w:rsidRDefault="005A6727" w:rsidP="006A3EF3">
      <w:pPr>
        <w:rPr>
          <w:i/>
          <w:iCs/>
        </w:rPr>
      </w:pPr>
    </w:p>
    <w:p w:rsidR="005A6727" w:rsidRPr="005A6727" w:rsidRDefault="005A6727" w:rsidP="006A3EF3">
      <w:pPr>
        <w:rPr>
          <w:b/>
          <w:bCs/>
        </w:rPr>
      </w:pPr>
      <w:r w:rsidRPr="005A6727">
        <w:rPr>
          <w:b/>
          <w:bCs/>
        </w:rPr>
        <w:t>Species level model performance evaluation</w:t>
      </w:r>
    </w:p>
    <w:p w:rsidR="00234A55" w:rsidRDefault="005A6727" w:rsidP="002866D0">
      <w:pPr>
        <w:ind w:firstLine="720"/>
        <w:jc w:val="both"/>
      </w:pPr>
      <w:r w:rsidRPr="005A6727">
        <w:t xml:space="preserve">At the species level, </w:t>
      </w:r>
      <w:proofErr w:type="spellStart"/>
      <w:r w:rsidRPr="005A6727">
        <w:t>AdaSTEM</w:t>
      </w:r>
      <w:proofErr w:type="spellEnd"/>
      <w:r w:rsidRPr="005A6727">
        <w:t xml:space="preserve"> </w:t>
      </w:r>
      <w:proofErr w:type="spellStart"/>
      <w:r w:rsidRPr="005A6727">
        <w:t>DRNets</w:t>
      </w:r>
      <w:proofErr w:type="spellEnd"/>
      <w:r w:rsidRPr="005A6727">
        <w:t xml:space="preserve">-MVPMs have higher F1 scores than static </w:t>
      </w:r>
      <w:proofErr w:type="spellStart"/>
      <w:r w:rsidRPr="005A6727">
        <w:t>DRNets</w:t>
      </w:r>
      <w:proofErr w:type="spellEnd"/>
      <w:r w:rsidRPr="005A6727">
        <w:t>-MVPMs (Supplementary Information Figure S</w:t>
      </w:r>
      <w:r>
        <w:t>3</w:t>
      </w:r>
      <w:r w:rsidRPr="005A6727">
        <w:t xml:space="preserve">, full description of metrics can be found in Supplementary Information S2). Because F1 combines sensitivity and precision, this indicates fewer missed presences and fewer false presences across species. </w:t>
      </w:r>
      <w:proofErr w:type="spellStart"/>
      <w:r w:rsidR="00234A55">
        <w:t>AdaSTEM</w:t>
      </w:r>
      <w:proofErr w:type="spellEnd"/>
      <w:r w:rsidR="00234A55">
        <w:t xml:space="preserve"> models have seasonal </w:t>
      </w:r>
      <w:proofErr w:type="gramStart"/>
      <w:r w:rsidR="00234A55">
        <w:t>trending  F</w:t>
      </w:r>
      <w:proofErr w:type="gramEnd"/>
      <w:r w:rsidR="00234A55">
        <w:t xml:space="preserve">1 scores, while static model doesn’t. The model has a better score in the summer for Laughing Gull, Royal Tern, and Black Skimmer, which </w:t>
      </w:r>
      <w:r w:rsidR="00234A55" w:rsidRPr="00EA6A38">
        <w:t>are highly migratory and display strong seasonal habitat preferences</w:t>
      </w:r>
      <w:r w:rsidR="00234A55">
        <w:t>. Blue Jay and Brown Pelican saw less seasonal variation in model performance than other species.</w:t>
      </w:r>
    </w:p>
    <w:p w:rsidR="00234A55" w:rsidRDefault="00234A55" w:rsidP="002866D0">
      <w:pPr>
        <w:ind w:firstLine="720"/>
        <w:jc w:val="both"/>
      </w:pPr>
      <w:proofErr w:type="spellStart"/>
      <w:r w:rsidRPr="00EA6A38">
        <w:t>AdaSTEM</w:t>
      </w:r>
      <w:proofErr w:type="spellEnd"/>
      <w:r w:rsidRPr="00EA6A38">
        <w:t xml:space="preserve"> </w:t>
      </w:r>
      <w:proofErr w:type="spellStart"/>
      <w:r w:rsidRPr="00EA6A38">
        <w:t>DRNets</w:t>
      </w:r>
      <w:proofErr w:type="spellEnd"/>
      <w:r w:rsidRPr="00EA6A38">
        <w:t xml:space="preserve">-MVPMs </w:t>
      </w:r>
      <w:r w:rsidRPr="00BD0015">
        <w:t>captures timely appearances and environmental cues, leading to better precision and recall—and thus a higher F1 score</w:t>
      </w:r>
      <w:r>
        <w:t xml:space="preserve"> when species are more abundant</w:t>
      </w:r>
      <w:r w:rsidRPr="00BD0015">
        <w:t>.</w:t>
      </w:r>
      <w:r>
        <w:t xml:space="preserve"> </w:t>
      </w:r>
      <w:r w:rsidRPr="00EA6A38">
        <w:t>For species like Laughing Gull, Royal Tern, and Black Skimmer,</w:t>
      </w:r>
      <w:r>
        <w:t xml:space="preserve"> they </w:t>
      </w:r>
      <w:r w:rsidRPr="00EA6A38">
        <w:t xml:space="preserve">shift in distribution </w:t>
      </w:r>
      <w:r>
        <w:t>and become more abundant</w:t>
      </w:r>
      <w:r w:rsidRPr="00EA6A38">
        <w:t xml:space="preserve"> during the summer breeding season. This leads to higher F1 scores.</w:t>
      </w:r>
      <w:r w:rsidR="005A6727">
        <w:t xml:space="preserve"> </w:t>
      </w:r>
    </w:p>
    <w:p w:rsidR="005A6727" w:rsidRPr="00BD0015" w:rsidRDefault="005A6727" w:rsidP="005A6727">
      <w:pPr>
        <w:ind w:firstLine="720"/>
        <w:jc w:val="both"/>
      </w:pPr>
      <w:r w:rsidRPr="00EA6A38">
        <w:t xml:space="preserve">On the other hand, </w:t>
      </w:r>
      <w:r>
        <w:t xml:space="preserve">the </w:t>
      </w:r>
      <w:r w:rsidRPr="00EA6A38">
        <w:t>Blue Jay and Brown Pelican exhibit more stable, year-round distributions</w:t>
      </w:r>
      <w:r>
        <w:t>,</w:t>
      </w:r>
      <w:r w:rsidRPr="00EA6A38">
        <w:t xml:space="preserve"> </w:t>
      </w:r>
      <w:r>
        <w:t>with</w:t>
      </w:r>
      <w:r w:rsidRPr="00EA6A38">
        <w:t xml:space="preserve"> less dramatic seasonal movement. </w:t>
      </w:r>
      <w:proofErr w:type="spellStart"/>
      <w:r>
        <w:t>AdaSTEM</w:t>
      </w:r>
      <w:proofErr w:type="spellEnd"/>
      <w:r>
        <w:t xml:space="preserve"> </w:t>
      </w:r>
      <w:proofErr w:type="spellStart"/>
      <w:r>
        <w:t>DRNets</w:t>
      </w:r>
      <w:proofErr w:type="spellEnd"/>
      <w:r>
        <w:t xml:space="preserve">-MVPM achieved a better F1 score for Great Egrets in the winter, while the osprey was predicted more accurately in the spring. </w:t>
      </w:r>
      <w:r w:rsidRPr="00BD0015">
        <w:t xml:space="preserve">The Great Egret tends to migrate southward in winter to </w:t>
      </w:r>
      <w:r>
        <w:t>the Gulf coast</w:t>
      </w:r>
      <w:r w:rsidRPr="00BD0015">
        <w:t xml:space="preserve"> and warmer wetland habitats</w:t>
      </w:r>
      <w:r>
        <w:t xml:space="preserve">. More observation led to </w:t>
      </w:r>
      <w:proofErr w:type="spellStart"/>
      <w:r w:rsidRPr="00BD0015">
        <w:t>AdaSTEM’s</w:t>
      </w:r>
      <w:proofErr w:type="spellEnd"/>
      <w:r w:rsidRPr="00BD0015">
        <w:t xml:space="preserve"> adjust</w:t>
      </w:r>
      <w:r>
        <w:t>ment</w:t>
      </w:r>
      <w:r w:rsidRPr="00BD0015">
        <w:t xml:space="preserve"> to these season-specific </w:t>
      </w:r>
      <w:r w:rsidRPr="00BD0015">
        <w:lastRenderedPageBreak/>
        <w:t>habitat preferences</w:t>
      </w:r>
      <w:r>
        <w:t>. However</w:t>
      </w:r>
      <w:r w:rsidRPr="00BD0015">
        <w:t xml:space="preserve">, </w:t>
      </w:r>
      <w:r>
        <w:t xml:space="preserve">a </w:t>
      </w:r>
      <w:r w:rsidRPr="00BD0015">
        <w:t>static model</w:t>
      </w:r>
      <w:r>
        <w:t xml:space="preserve"> doesn’t have the</w:t>
      </w:r>
      <w:r w:rsidRPr="00BD0015">
        <w:t xml:space="preserve"> ability to identify wintering grounds</w:t>
      </w:r>
      <w:r>
        <w:t>; therefore, it doesn’t show a higher F1 score in the Winter</w:t>
      </w:r>
      <w:r w:rsidRPr="00BD0015">
        <w:t xml:space="preserve">. </w:t>
      </w:r>
    </w:p>
    <w:p w:rsidR="005A6727" w:rsidRPr="00067DC6" w:rsidRDefault="005A6727" w:rsidP="005A6727">
      <w:pPr>
        <w:ind w:firstLine="720"/>
        <w:jc w:val="both"/>
      </w:pPr>
      <w:r w:rsidRPr="00BD0015">
        <w:t xml:space="preserve">Ospreys are long-distance migrants that return to breeding areas in spring, often near freshwater bodies with abundant fish. Their spring arrival creates </w:t>
      </w:r>
      <w:r>
        <w:t>this</w:t>
      </w:r>
      <w:r w:rsidRPr="00BD0015">
        <w:t xml:space="preserve"> distinct seasonal signal</w:t>
      </w:r>
      <w:r>
        <w:t xml:space="preserve"> in model performance, with better F1 scores generated by more observations.</w:t>
      </w:r>
      <w:r w:rsidRPr="00BD0015">
        <w:t xml:space="preserve"> which </w:t>
      </w:r>
      <w:proofErr w:type="spellStart"/>
      <w:r w:rsidRPr="00BD0015">
        <w:t>AdaSTEM</w:t>
      </w:r>
      <w:proofErr w:type="spellEnd"/>
      <w:r w:rsidRPr="00BD0015">
        <w:t xml:space="preserve"> can leverage to refine predictions. </w:t>
      </w:r>
    </w:p>
    <w:p w:rsidR="005A6727" w:rsidRPr="00EA6A38" w:rsidRDefault="005A6727" w:rsidP="00234A55">
      <w:pPr>
        <w:ind w:firstLine="720"/>
      </w:pPr>
    </w:p>
    <w:p w:rsidR="00234A55" w:rsidRDefault="00234A55" w:rsidP="00234A55">
      <w:pPr>
        <w:rPr>
          <w:b/>
          <w:bCs/>
        </w:rPr>
      </w:pPr>
      <w:r>
        <w:rPr>
          <w:b/>
          <w:bCs/>
          <w:noProof/>
        </w:rPr>
        <w:drawing>
          <wp:inline distT="0" distB="0" distL="0" distR="0" wp14:anchorId="0DD6F7C2" wp14:editId="0AEB897F">
            <wp:extent cx="5943600" cy="4752340"/>
            <wp:effectExtent l="0" t="0" r="0" b="0"/>
            <wp:docPr id="9998425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42590" name="Picture 999842590"/>
                    <pic:cNvPicPr/>
                  </pic:nvPicPr>
                  <pic:blipFill>
                    <a:blip r:embed="rId7"/>
                    <a:stretch>
                      <a:fillRect/>
                    </a:stretch>
                  </pic:blipFill>
                  <pic:spPr>
                    <a:xfrm>
                      <a:off x="0" y="0"/>
                      <a:ext cx="5943600" cy="4752340"/>
                    </a:xfrm>
                    <a:prstGeom prst="rect">
                      <a:avLst/>
                    </a:prstGeom>
                  </pic:spPr>
                </pic:pic>
              </a:graphicData>
            </a:graphic>
          </wp:inline>
        </w:drawing>
      </w:r>
    </w:p>
    <w:p w:rsidR="00234A55" w:rsidRDefault="00234A55" w:rsidP="00234A55">
      <w:pPr>
        <w:rPr>
          <w:i/>
          <w:iCs/>
        </w:rPr>
      </w:pPr>
      <w:r w:rsidRPr="006D7390">
        <w:rPr>
          <w:i/>
          <w:iCs/>
        </w:rPr>
        <w:t xml:space="preserve">Figure </w:t>
      </w:r>
      <w:r w:rsidR="003B7CC4">
        <w:rPr>
          <w:i/>
          <w:iCs/>
        </w:rPr>
        <w:t>S3</w:t>
      </w:r>
      <w:r w:rsidRPr="006D7390">
        <w:rPr>
          <w:i/>
          <w:iCs/>
        </w:rPr>
        <w:t xml:space="preserve">. Examples of </w:t>
      </w:r>
      <w:proofErr w:type="spellStart"/>
      <w:r w:rsidRPr="006D7390">
        <w:rPr>
          <w:i/>
          <w:iCs/>
        </w:rPr>
        <w:t>AdaSTEM</w:t>
      </w:r>
      <w:proofErr w:type="spellEnd"/>
      <w:r w:rsidRPr="006D7390">
        <w:rPr>
          <w:i/>
          <w:iCs/>
        </w:rPr>
        <w:t xml:space="preserve"> </w:t>
      </w:r>
      <w:proofErr w:type="spellStart"/>
      <w:r w:rsidRPr="006D7390">
        <w:rPr>
          <w:i/>
          <w:iCs/>
        </w:rPr>
        <w:t>DRNets</w:t>
      </w:r>
      <w:proofErr w:type="spellEnd"/>
      <w:r w:rsidRPr="006D7390">
        <w:rPr>
          <w:i/>
          <w:iCs/>
        </w:rPr>
        <w:t xml:space="preserve">-MVPM and static </w:t>
      </w:r>
      <w:proofErr w:type="spellStart"/>
      <w:r w:rsidRPr="006D7390">
        <w:rPr>
          <w:i/>
          <w:iCs/>
        </w:rPr>
        <w:t>DRNets</w:t>
      </w:r>
      <w:proofErr w:type="spellEnd"/>
      <w:r w:rsidRPr="006D7390">
        <w:rPr>
          <w:i/>
          <w:iCs/>
        </w:rPr>
        <w:t xml:space="preserve">-MVPM F1 scores by species for predicting species </w:t>
      </w:r>
      <w:r>
        <w:rPr>
          <w:i/>
          <w:iCs/>
        </w:rPr>
        <w:t>presence/absence</w:t>
      </w:r>
      <w:r w:rsidRPr="006D7390">
        <w:rPr>
          <w:i/>
          <w:iCs/>
        </w:rPr>
        <w:t xml:space="preserve"> across 12 months of the year</w:t>
      </w:r>
      <w:r>
        <w:rPr>
          <w:i/>
          <w:iCs/>
        </w:rPr>
        <w:t xml:space="preserve"> (black solid dots and violins represent the performance of </w:t>
      </w:r>
      <w:proofErr w:type="spellStart"/>
      <w:r>
        <w:rPr>
          <w:i/>
          <w:iCs/>
        </w:rPr>
        <w:t>AdaSTEM</w:t>
      </w:r>
      <w:proofErr w:type="spellEnd"/>
      <w:r>
        <w:rPr>
          <w:i/>
          <w:iCs/>
        </w:rPr>
        <w:t xml:space="preserve"> sub-models, and red hollow dots represent F1 score of the static model)</w:t>
      </w:r>
    </w:p>
    <w:p w:rsidR="006A3EF3" w:rsidRDefault="005A6727" w:rsidP="006A3EF3">
      <w:pPr>
        <w:rPr>
          <w:b/>
          <w:bCs/>
          <w:sz w:val="28"/>
          <w:szCs w:val="28"/>
        </w:rPr>
      </w:pPr>
      <w:r w:rsidRPr="005A6727">
        <w:rPr>
          <w:b/>
          <w:bCs/>
          <w:sz w:val="28"/>
          <w:szCs w:val="28"/>
        </w:rPr>
        <w:t xml:space="preserve">Community level model performance evaluation </w:t>
      </w:r>
    </w:p>
    <w:p w:rsidR="005A6727" w:rsidRDefault="005A6727" w:rsidP="006A3EF3">
      <w:pPr>
        <w:rPr>
          <w:b/>
          <w:bCs/>
          <w:sz w:val="28"/>
          <w:szCs w:val="28"/>
        </w:rPr>
      </w:pPr>
    </w:p>
    <w:p w:rsidR="005A6727" w:rsidRPr="005A6727" w:rsidRDefault="005A6727" w:rsidP="002866D0">
      <w:pPr>
        <w:ind w:firstLine="720"/>
        <w:jc w:val="both"/>
      </w:pPr>
      <w:r w:rsidRPr="005A6727">
        <w:t>At the richness level, richness dissimilarity is consistently lower for the static models, indicating that the AI model can reproduce the ranked spatial pattern of richness (which cells are hotspots or dips in diversity, and how that pattern changes across seasons) even without partitioning training into spatial and temporal blocks</w:t>
      </w:r>
      <w:r>
        <w:t xml:space="preserve"> (Supplementary Materials Figure S4)</w:t>
      </w:r>
      <w:r w:rsidRPr="005A6727">
        <w:t xml:space="preserve">. However, richness calibration errors are generally smaller for the </w:t>
      </w:r>
      <w:proofErr w:type="spellStart"/>
      <w:r w:rsidRPr="005A6727">
        <w:t>AdaSTEM</w:t>
      </w:r>
      <w:proofErr w:type="spellEnd"/>
      <w:r w:rsidRPr="005A6727">
        <w:t xml:space="preserve"> models, showing that </w:t>
      </w:r>
      <w:proofErr w:type="spellStart"/>
      <w:r w:rsidRPr="005A6727">
        <w:t>AdaSTEM</w:t>
      </w:r>
      <w:proofErr w:type="spellEnd"/>
      <w:r w:rsidRPr="005A6727">
        <w:t xml:space="preserve"> better matches the magnitude of observed richness, while the static model is comparatively better at preserving rank order. Richness precision is also higher under </w:t>
      </w:r>
      <w:proofErr w:type="spellStart"/>
      <w:r w:rsidRPr="005A6727">
        <w:t>AdaSTEM</w:t>
      </w:r>
      <w:proofErr w:type="spellEnd"/>
      <w:r w:rsidRPr="005A6727">
        <w:t xml:space="preserve">, meaning fewer spurious richness gains in inappropriate locations and better capture of when and where richness peaks (e.g., migratory waves and breeding concentrations). The static model, which lacks time-varying parameters, cannot simultaneously fit key ecological dynamics such as mixed breeding and migratory habitat use, migration timing, and patchy detection of rare species. As a result, it can approximate the broad spatial gradient in richness but struggles to reproduce the correct seasonal amplitudes and local richness peaks that the </w:t>
      </w:r>
      <w:proofErr w:type="spellStart"/>
      <w:r w:rsidRPr="005A6727">
        <w:t>AdaSTEM</w:t>
      </w:r>
      <w:proofErr w:type="spellEnd"/>
      <w:r w:rsidRPr="005A6727">
        <w:t xml:space="preserve"> framework captures more accurately.</w:t>
      </w:r>
    </w:p>
    <w:p w:rsidR="005A6727" w:rsidRDefault="005A6727" w:rsidP="005A6727">
      <w:pPr>
        <w:rPr>
          <w:sz w:val="28"/>
          <w:szCs w:val="28"/>
        </w:rPr>
      </w:pPr>
      <w:r>
        <w:rPr>
          <w:noProof/>
          <w:sz w:val="28"/>
          <w:szCs w:val="28"/>
        </w:rPr>
        <w:drawing>
          <wp:inline distT="0" distB="0" distL="0" distR="0">
            <wp:extent cx="5943600" cy="3962400"/>
            <wp:effectExtent l="0" t="0" r="0" b="0"/>
            <wp:docPr id="1911971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71567" name="Picture 1911971567"/>
                    <pic:cNvPicPr/>
                  </pic:nvPicPr>
                  <pic:blipFill>
                    <a:blip r:embed="rId8"/>
                    <a:stretch>
                      <a:fillRect/>
                    </a:stretch>
                  </pic:blipFill>
                  <pic:spPr>
                    <a:xfrm>
                      <a:off x="0" y="0"/>
                      <a:ext cx="5943600" cy="3962400"/>
                    </a:xfrm>
                    <a:prstGeom prst="rect">
                      <a:avLst/>
                    </a:prstGeom>
                  </pic:spPr>
                </pic:pic>
              </a:graphicData>
            </a:graphic>
          </wp:inline>
        </w:drawing>
      </w:r>
    </w:p>
    <w:p w:rsidR="005A6727" w:rsidRDefault="005A6727" w:rsidP="005A6727">
      <w:pPr>
        <w:autoSpaceDE w:val="0"/>
        <w:autoSpaceDN w:val="0"/>
        <w:adjustRightInd w:val="0"/>
        <w:spacing w:after="0" w:line="240" w:lineRule="auto"/>
        <w:rPr>
          <w:rFonts w:ascii="Times New Roman" w:hAnsi="Times New Roman" w:cs="Times New Roman"/>
          <w:i/>
          <w:iCs/>
          <w:kern w:val="0"/>
        </w:rPr>
      </w:pPr>
      <w:r>
        <w:rPr>
          <w:rFonts w:ascii="Times New Roman" w:hAnsi="Times New Roman" w:cs="Times New Roman"/>
          <w:i/>
          <w:iCs/>
          <w:kern w:val="0"/>
        </w:rPr>
        <w:t xml:space="preserve">Figure S4: </w:t>
      </w:r>
      <w:proofErr w:type="spellStart"/>
      <w:r>
        <w:rPr>
          <w:rFonts w:ascii="Times New Roman" w:hAnsi="Times New Roman" w:cs="Times New Roman"/>
          <w:i/>
          <w:iCs/>
          <w:kern w:val="0"/>
        </w:rPr>
        <w:t>AdaSTEM</w:t>
      </w:r>
      <w:proofErr w:type="spellEnd"/>
      <w:r>
        <w:rPr>
          <w:rFonts w:ascii="Times New Roman" w:hAnsi="Times New Roman" w:cs="Times New Roman"/>
          <w:i/>
          <w:iCs/>
          <w:kern w:val="0"/>
        </w:rPr>
        <w:t xml:space="preserve"> </w:t>
      </w:r>
      <w:proofErr w:type="spellStart"/>
      <w:r>
        <w:rPr>
          <w:rFonts w:ascii="Times New Roman" w:hAnsi="Times New Roman" w:cs="Times New Roman"/>
          <w:i/>
          <w:iCs/>
          <w:kern w:val="0"/>
        </w:rPr>
        <w:t>DRNets</w:t>
      </w:r>
      <w:proofErr w:type="spellEnd"/>
      <w:r>
        <w:rPr>
          <w:rFonts w:ascii="Times New Roman" w:hAnsi="Times New Roman" w:cs="Times New Roman"/>
          <w:i/>
          <w:iCs/>
          <w:kern w:val="0"/>
        </w:rPr>
        <w:t xml:space="preserve">–MVPM and static </w:t>
      </w:r>
      <w:proofErr w:type="spellStart"/>
      <w:r>
        <w:rPr>
          <w:rFonts w:ascii="Times New Roman" w:hAnsi="Times New Roman" w:cs="Times New Roman"/>
          <w:i/>
          <w:iCs/>
          <w:kern w:val="0"/>
        </w:rPr>
        <w:t>DRNets</w:t>
      </w:r>
      <w:proofErr w:type="spellEnd"/>
      <w:r>
        <w:rPr>
          <w:rFonts w:ascii="Times New Roman" w:hAnsi="Times New Roman" w:cs="Times New Roman"/>
          <w:i/>
          <w:iCs/>
          <w:kern w:val="0"/>
        </w:rPr>
        <w:t>–MVPM performance for predicting</w:t>
      </w:r>
    </w:p>
    <w:p w:rsidR="005A6727" w:rsidRDefault="005A6727" w:rsidP="005A6727">
      <w:pPr>
        <w:autoSpaceDE w:val="0"/>
        <w:autoSpaceDN w:val="0"/>
        <w:adjustRightInd w:val="0"/>
        <w:spacing w:after="0" w:line="240" w:lineRule="auto"/>
        <w:rPr>
          <w:rFonts w:ascii="Times New Roman" w:hAnsi="Times New Roman" w:cs="Times New Roman"/>
          <w:i/>
          <w:iCs/>
          <w:kern w:val="0"/>
        </w:rPr>
      </w:pPr>
      <w:r>
        <w:rPr>
          <w:rFonts w:ascii="Times New Roman" w:hAnsi="Times New Roman" w:cs="Times New Roman"/>
          <w:i/>
          <w:iCs/>
          <w:kern w:val="0"/>
        </w:rPr>
        <w:t>species occurrence at richness and community levels across 12 months of the year. Boxplots</w:t>
      </w:r>
    </w:p>
    <w:p w:rsidR="005A6727" w:rsidRDefault="005A6727" w:rsidP="005A6727">
      <w:pPr>
        <w:autoSpaceDE w:val="0"/>
        <w:autoSpaceDN w:val="0"/>
        <w:adjustRightInd w:val="0"/>
        <w:spacing w:after="0" w:line="240" w:lineRule="auto"/>
        <w:rPr>
          <w:rFonts w:ascii="Times New Roman" w:hAnsi="Times New Roman" w:cs="Times New Roman"/>
          <w:i/>
          <w:iCs/>
          <w:kern w:val="0"/>
        </w:rPr>
      </w:pPr>
      <w:r>
        <w:rPr>
          <w:rFonts w:ascii="Times New Roman" w:hAnsi="Times New Roman" w:cs="Times New Roman"/>
          <w:i/>
          <w:iCs/>
          <w:kern w:val="0"/>
        </w:rPr>
        <w:t xml:space="preserve">summarize the mean, quartiles, and distribution of metrics across </w:t>
      </w:r>
      <w:proofErr w:type="spellStart"/>
      <w:r>
        <w:rPr>
          <w:rFonts w:ascii="Times New Roman" w:hAnsi="Times New Roman" w:cs="Times New Roman"/>
          <w:i/>
          <w:iCs/>
          <w:kern w:val="0"/>
        </w:rPr>
        <w:t>AdaSTEM</w:t>
      </w:r>
      <w:proofErr w:type="spellEnd"/>
      <w:r>
        <w:rPr>
          <w:rFonts w:ascii="Times New Roman" w:hAnsi="Times New Roman" w:cs="Times New Roman"/>
          <w:i/>
          <w:iCs/>
          <w:kern w:val="0"/>
        </w:rPr>
        <w:t xml:space="preserve"> sub-models,</w:t>
      </w:r>
    </w:p>
    <w:p w:rsidR="005A6727" w:rsidRDefault="005A6727" w:rsidP="005A6727">
      <w:pPr>
        <w:rPr>
          <w:rFonts w:ascii="Times New Roman" w:hAnsi="Times New Roman" w:cs="Times New Roman"/>
          <w:i/>
          <w:iCs/>
          <w:kern w:val="0"/>
        </w:rPr>
      </w:pPr>
      <w:r>
        <w:rPr>
          <w:rFonts w:ascii="Times New Roman" w:hAnsi="Times New Roman" w:cs="Times New Roman"/>
          <w:i/>
          <w:iCs/>
          <w:kern w:val="0"/>
        </w:rPr>
        <w:lastRenderedPageBreak/>
        <w:t>and red hollow circles denote the corresponding static-model metrics.</w:t>
      </w:r>
    </w:p>
    <w:p w:rsidR="00C37977" w:rsidRDefault="005A6727" w:rsidP="00BE2C03">
      <w:pPr>
        <w:ind w:firstLine="720"/>
      </w:pPr>
      <w:r w:rsidRPr="005A6727">
        <w:t xml:space="preserve">At the community level, </w:t>
      </w:r>
      <w:proofErr w:type="spellStart"/>
      <w:r w:rsidRPr="005A6727">
        <w:t>AdaSTEM</w:t>
      </w:r>
      <w:proofErr w:type="spellEnd"/>
      <w:r w:rsidRPr="005A6727">
        <w:t xml:space="preserve"> </w:t>
      </w:r>
      <w:proofErr w:type="spellStart"/>
      <w:r w:rsidRPr="005A6727">
        <w:t>DRNets</w:t>
      </w:r>
      <w:proofErr w:type="spellEnd"/>
      <w:r w:rsidRPr="005A6727">
        <w:t xml:space="preserve">–MVPMs again outperform the static models in Sorensen calibration and Simpson precision, although the static model shows slightly lower Sorensen dissimilarity. Lower Sorensen calibration indicates that </w:t>
      </w:r>
      <w:proofErr w:type="spellStart"/>
      <w:r w:rsidRPr="005A6727">
        <w:t>AdaSTEM</w:t>
      </w:r>
      <w:proofErr w:type="spellEnd"/>
      <w:r w:rsidRPr="005A6727">
        <w:t xml:space="preserve"> more accurately reconstructs which species co-occur in which places and how these assemblages reorganize seasonally. Higher Simpson precision further shows that the dominant species and major features of community structure are better captured by the dynamic framework. In contrast, the static model’s lower dissimilarity largely reflects its ability to preserve broad community gradients with species information across large areas, while failing to match the detailed seasonal composition and dominance structure that </w:t>
      </w:r>
      <w:proofErr w:type="spellStart"/>
      <w:r w:rsidRPr="005A6727">
        <w:t>AdaSTEM</w:t>
      </w:r>
      <w:proofErr w:type="spellEnd"/>
      <w:r w:rsidRPr="005A6727">
        <w:t xml:space="preserve"> recovers.</w:t>
      </w:r>
    </w:p>
    <w:p w:rsidR="002A6AE9" w:rsidRDefault="002A6AE9" w:rsidP="002A6AE9">
      <w:r w:rsidRPr="002A6AE9">
        <w:rPr>
          <w:b/>
          <w:bCs/>
        </w:rPr>
        <w:t>Where species shelter and rebound after hurricane</w:t>
      </w:r>
      <w:r>
        <w:t>s</w:t>
      </w:r>
    </w:p>
    <w:p w:rsidR="002A6AE9" w:rsidRDefault="002A6AE9" w:rsidP="002A6AE9">
      <w:r>
        <w:t xml:space="preserve">Based on presence/absence and produced maps, we identified where species may occur before and after hurricanes; Figure. 4). We applied the MDT criterion (see Methods) to convert occurrence probabilities of Blue Jay, Brown Pelican, Great Egret, and Osprey to binary presence and absence maps for these species that have highly distinctive morphology and high observation rates. Highlighting these species is very helpful to illustrate contrasting, well-supported bird displacement. The resulting maps revealed several clear patterns. We </w:t>
      </w:r>
      <w:proofErr w:type="gramStart"/>
      <w:r>
        <w:t>observed  Blue</w:t>
      </w:r>
      <w:proofErr w:type="gramEnd"/>
      <w:r>
        <w:t xml:space="preserve"> Jays flying from inland to flooded areas. Their historical ranges concentrated inland but with storm surges increasing presence was observed in low-lying, surge-affected areas, consistent with a generalist that can exploit newly inundated or edge habitats. </w:t>
      </w:r>
    </w:p>
    <w:p w:rsidR="002A6AE9" w:rsidRPr="00BE2C03" w:rsidRDefault="002A6AE9" w:rsidP="002A6AE9">
      <w:r>
        <w:t xml:space="preserve">In contrast, Brown Pelican range didn’t shift as apparently as other species in the low sea level rise scenario, but contract sharply under Intermediate–High SLR: pelicans were wiped out along the Gulf shorelines of Mississippi, Alabama, and Florida, with remaining presence concentrated along the Louisiana coast and in inland areas that lie outside the simulated storm-surge footprint. Great Egret and Osprey display a broadly similar contraction in their ranges, but are less coastal-resilient than Brown Pelican. Even under Low SLR, their coastal ranges are largely eliminated from the coast, persisting mainly in parts of coastal Louisiana and inland habitat refugee. Under Intermediate–High SLR, Great Egret and Osprey </w:t>
      </w:r>
      <w:proofErr w:type="gramStart"/>
      <w:r>
        <w:t>disappears</w:t>
      </w:r>
      <w:proofErr w:type="gramEnd"/>
      <w:r>
        <w:t xml:space="preserve"> almost entirely from surge-impacted cells, indicating a pronounced loss of suitable coastal habitat. Together, these examples show that storm surge interacting with sea-level rise produces strongly species-specific range responses, with some generalists tracking new flooded habitats and many coastal specialists losing large portions of their historical Gulf coastline ranges.</w:t>
      </w:r>
    </w:p>
    <w:p w:rsidR="00C37977" w:rsidRPr="00C37977" w:rsidRDefault="00C37977" w:rsidP="00C37977">
      <w:pPr>
        <w:autoSpaceDE w:val="0"/>
        <w:autoSpaceDN w:val="0"/>
        <w:adjustRightInd w:val="0"/>
        <w:spacing w:after="0" w:line="240" w:lineRule="auto"/>
        <w:rPr>
          <w:rFonts w:cstheme="minorHAnsi"/>
          <w:b/>
          <w:bCs/>
          <w:kern w:val="0"/>
        </w:rPr>
      </w:pPr>
      <w:r w:rsidRPr="00C37977">
        <w:rPr>
          <w:rFonts w:cstheme="minorHAnsi"/>
          <w:b/>
          <w:bCs/>
          <w:kern w:val="0"/>
        </w:rPr>
        <w:t xml:space="preserve">Richness maps before and after </w:t>
      </w:r>
      <w:r>
        <w:rPr>
          <w:rFonts w:cstheme="minorHAnsi"/>
          <w:b/>
          <w:bCs/>
          <w:kern w:val="0"/>
        </w:rPr>
        <w:t xml:space="preserve">the </w:t>
      </w:r>
      <w:r w:rsidRPr="00C37977">
        <w:rPr>
          <w:rFonts w:cstheme="minorHAnsi"/>
          <w:b/>
          <w:bCs/>
          <w:kern w:val="0"/>
        </w:rPr>
        <w:t>hurricane</w:t>
      </w:r>
    </w:p>
    <w:p w:rsidR="00C37977" w:rsidRDefault="00C37977" w:rsidP="00C37977">
      <w:pPr>
        <w:autoSpaceDE w:val="0"/>
        <w:autoSpaceDN w:val="0"/>
        <w:adjustRightInd w:val="0"/>
        <w:spacing w:after="0" w:line="240" w:lineRule="auto"/>
        <w:rPr>
          <w:rFonts w:cstheme="minorHAnsi"/>
          <w:kern w:val="0"/>
        </w:rPr>
      </w:pPr>
    </w:p>
    <w:p w:rsidR="00C37977" w:rsidRPr="00C37977" w:rsidRDefault="00C37977" w:rsidP="00BE2C03">
      <w:pPr>
        <w:autoSpaceDE w:val="0"/>
        <w:autoSpaceDN w:val="0"/>
        <w:adjustRightInd w:val="0"/>
        <w:spacing w:after="0" w:line="240" w:lineRule="auto"/>
        <w:ind w:firstLine="720"/>
        <w:jc w:val="both"/>
        <w:rPr>
          <w:rFonts w:cstheme="minorHAnsi"/>
          <w:kern w:val="0"/>
        </w:rPr>
      </w:pPr>
      <w:r w:rsidRPr="00C37977">
        <w:rPr>
          <w:rFonts w:cstheme="minorHAnsi"/>
          <w:kern w:val="0"/>
        </w:rPr>
        <w:t>Under historical climate and sea level, a continuous band of high species richness hugs the northern Gulf of</w:t>
      </w:r>
      <w:r>
        <w:rPr>
          <w:rFonts w:cstheme="minorHAnsi"/>
          <w:kern w:val="0"/>
        </w:rPr>
        <w:t xml:space="preserve"> </w:t>
      </w:r>
      <w:r w:rsidRPr="00C37977">
        <w:rPr>
          <w:rFonts w:cstheme="minorHAnsi"/>
          <w:kern w:val="0"/>
        </w:rPr>
        <w:t xml:space="preserve">Mexico, especially along the southeastern parishes of Louisiana, the coastal </w:t>
      </w:r>
      <w:r w:rsidRPr="00C37977">
        <w:rPr>
          <w:rFonts w:cstheme="minorHAnsi"/>
          <w:kern w:val="0"/>
        </w:rPr>
        <w:lastRenderedPageBreak/>
        <w:t>counties of Mississippi and Alabama, and the western Florida Panhandle</w:t>
      </w:r>
      <w:r>
        <w:rPr>
          <w:rFonts w:cstheme="minorHAnsi"/>
          <w:kern w:val="0"/>
        </w:rPr>
        <w:t xml:space="preserve"> (Figure S</w:t>
      </w:r>
      <w:r w:rsidR="00BE2C03">
        <w:rPr>
          <w:rFonts w:cstheme="minorHAnsi"/>
          <w:kern w:val="0"/>
        </w:rPr>
        <w:t>5</w:t>
      </w:r>
      <w:r>
        <w:rPr>
          <w:rFonts w:cstheme="minorHAnsi"/>
          <w:kern w:val="0"/>
        </w:rPr>
        <w:t>)</w:t>
      </w:r>
      <w:r w:rsidRPr="00C37977">
        <w:rPr>
          <w:rFonts w:cstheme="minorHAnsi"/>
          <w:kern w:val="0"/>
        </w:rPr>
        <w:t>. Richness drops off rapidly inland:</w:t>
      </w:r>
      <w:r>
        <w:rPr>
          <w:rFonts w:cstheme="minorHAnsi"/>
          <w:kern w:val="0"/>
        </w:rPr>
        <w:t xml:space="preserve"> </w:t>
      </w:r>
      <w:r w:rsidRPr="00C37977">
        <w:rPr>
          <w:rFonts w:cstheme="minorHAnsi"/>
          <w:kern w:val="0"/>
        </w:rPr>
        <w:t>Once you leave the immediate coastal wetlands, estuaries, and barrier islands, colors become</w:t>
      </w:r>
      <w:r>
        <w:rPr>
          <w:rFonts w:cstheme="minorHAnsi"/>
          <w:kern w:val="0"/>
        </w:rPr>
        <w:t xml:space="preserve"> </w:t>
      </w:r>
      <w:r w:rsidRPr="00C37977">
        <w:rPr>
          <w:rFonts w:cstheme="minorHAnsi"/>
          <w:kern w:val="0"/>
        </w:rPr>
        <w:t>darker (lower richness), although bright spots persist along major estuaries and river channels.</w:t>
      </w:r>
    </w:p>
    <w:p w:rsidR="00C37977" w:rsidRPr="00C37977" w:rsidRDefault="00C37977" w:rsidP="00BE2C03">
      <w:pPr>
        <w:autoSpaceDE w:val="0"/>
        <w:autoSpaceDN w:val="0"/>
        <w:adjustRightInd w:val="0"/>
        <w:spacing w:after="0" w:line="240" w:lineRule="auto"/>
        <w:ind w:firstLine="720"/>
        <w:jc w:val="both"/>
        <w:rPr>
          <w:rFonts w:cstheme="minorHAnsi"/>
          <w:kern w:val="0"/>
        </w:rPr>
      </w:pPr>
      <w:r w:rsidRPr="00C37977">
        <w:rPr>
          <w:rFonts w:cstheme="minorHAnsi"/>
          <w:kern w:val="0"/>
        </w:rPr>
        <w:t>Overall, September bird diversity is tightly packed into low-lying coastal habitats, with</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inland richness largely confined to corridors that track tidal rivers and estuarine networks.</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Under Low SLR with a September storm surge, the main impact zone is confined to a</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 xml:space="preserve">thin coastal strip. Bright coastal pixels along </w:t>
      </w:r>
      <w:r>
        <w:rPr>
          <w:rFonts w:cstheme="minorHAnsi"/>
          <w:kern w:val="0"/>
        </w:rPr>
        <w:t xml:space="preserve">the </w:t>
      </w:r>
      <w:r w:rsidRPr="00C37977">
        <w:rPr>
          <w:rFonts w:cstheme="minorHAnsi"/>
          <w:kern w:val="0"/>
        </w:rPr>
        <w:t>Mississippi, Alabama, and western Florida</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Panhandle become slightly brighter overall (more active species). Along the shoreline of</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Lake Pontchartrain in Louisiana, many species tracked surge-driven habitat changes. In</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southern Louisiana, commonly know</w:t>
      </w:r>
      <w:r>
        <w:rPr>
          <w:rFonts w:cstheme="minorHAnsi"/>
          <w:kern w:val="0"/>
        </w:rPr>
        <w:t>n</w:t>
      </w:r>
      <w:r w:rsidRPr="00C37977">
        <w:rPr>
          <w:rFonts w:cstheme="minorHAnsi"/>
          <w:kern w:val="0"/>
        </w:rPr>
        <w:t xml:space="preserve"> as </w:t>
      </w:r>
      <w:r>
        <w:rPr>
          <w:rFonts w:cstheme="minorHAnsi"/>
          <w:kern w:val="0"/>
        </w:rPr>
        <w:t xml:space="preserve">the </w:t>
      </w:r>
      <w:r w:rsidRPr="00C37977">
        <w:rPr>
          <w:rFonts w:cstheme="minorHAnsi"/>
          <w:kern w:val="0"/>
        </w:rPr>
        <w:t>Atchafalaya Basin or Bayou Country, responses are</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spatially heterogeneous: some areas darken while others brighten, reflecting the fact that</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the simulated storms have specific, localized impact footprints. Notably, the southern tip of</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the Atchafalaya Basin emerges as one of the hottest bird-diversity spots, sitting just outside</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the main impacted areas by simulated storms and therefore concentrating species displaced</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from elsewhere. Inland mostly remains bright, and in several places</w:t>
      </w:r>
      <w:r>
        <w:rPr>
          <w:rFonts w:cstheme="minorHAnsi"/>
          <w:kern w:val="0"/>
        </w:rPr>
        <w:t>,</w:t>
      </w:r>
      <w:r w:rsidRPr="00C37977">
        <w:rPr>
          <w:rFonts w:cstheme="minorHAnsi"/>
          <w:kern w:val="0"/>
        </w:rPr>
        <w:t xml:space="preserve"> coastal birds pushed off</w:t>
      </w:r>
    </w:p>
    <w:p w:rsidR="00C37977" w:rsidRP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inundated habitats are redistributed into slightly higher, just-inland areas, leading to local</w:t>
      </w:r>
    </w:p>
    <w:p w:rsidR="00C37977" w:rsidRDefault="00C37977" w:rsidP="00BE2C03">
      <w:pPr>
        <w:autoSpaceDE w:val="0"/>
        <w:autoSpaceDN w:val="0"/>
        <w:adjustRightInd w:val="0"/>
        <w:spacing w:after="0" w:line="240" w:lineRule="auto"/>
        <w:jc w:val="both"/>
        <w:rPr>
          <w:rFonts w:cstheme="minorHAnsi"/>
          <w:kern w:val="0"/>
        </w:rPr>
      </w:pPr>
      <w:r w:rsidRPr="00C37977">
        <w:rPr>
          <w:rFonts w:cstheme="minorHAnsi"/>
          <w:kern w:val="0"/>
        </w:rPr>
        <w:t xml:space="preserve">inland brightening (small richness gains). </w:t>
      </w:r>
    </w:p>
    <w:p w:rsidR="00C37977" w:rsidRPr="00C37977" w:rsidRDefault="00C37977" w:rsidP="00BE2C03">
      <w:pPr>
        <w:autoSpaceDE w:val="0"/>
        <w:autoSpaceDN w:val="0"/>
        <w:adjustRightInd w:val="0"/>
        <w:spacing w:after="0" w:line="240" w:lineRule="auto"/>
        <w:ind w:firstLine="720"/>
        <w:jc w:val="both"/>
        <w:rPr>
          <w:rFonts w:cstheme="minorHAnsi"/>
          <w:kern w:val="0"/>
        </w:rPr>
      </w:pPr>
      <w:r w:rsidRPr="00C37977">
        <w:rPr>
          <w:rFonts w:cstheme="minorHAnsi"/>
          <w:kern w:val="0"/>
        </w:rPr>
        <w:t>Under Intermediate–High SLR, with the same</w:t>
      </w:r>
      <w:r>
        <w:rPr>
          <w:rFonts w:cstheme="minorHAnsi"/>
          <w:kern w:val="0"/>
        </w:rPr>
        <w:t xml:space="preserve"> </w:t>
      </w:r>
      <w:r w:rsidRPr="00C37977">
        <w:rPr>
          <w:rFonts w:cstheme="minorHAnsi"/>
          <w:kern w:val="0"/>
        </w:rPr>
        <w:t xml:space="preserve">September </w:t>
      </w:r>
      <w:r>
        <w:rPr>
          <w:rFonts w:cstheme="minorHAnsi"/>
          <w:kern w:val="0"/>
        </w:rPr>
        <w:t>hurricane</w:t>
      </w:r>
      <w:r w:rsidRPr="00C37977">
        <w:rPr>
          <w:rFonts w:cstheme="minorHAnsi"/>
          <w:kern w:val="0"/>
        </w:rPr>
        <w:t>, the impact footprint expands both inland and along the shore. Areas that</w:t>
      </w:r>
      <w:r>
        <w:rPr>
          <w:rFonts w:cstheme="minorHAnsi"/>
          <w:kern w:val="0"/>
        </w:rPr>
        <w:t xml:space="preserve"> </w:t>
      </w:r>
      <w:r w:rsidRPr="00C37977">
        <w:rPr>
          <w:rFonts w:cstheme="minorHAnsi"/>
          <w:kern w:val="0"/>
        </w:rPr>
        <w:t>were bright and relatively safe in the Low scenario—especially low coastal plains and inner</w:t>
      </w:r>
      <w:r>
        <w:rPr>
          <w:rFonts w:cstheme="minorHAnsi"/>
          <w:kern w:val="0"/>
        </w:rPr>
        <w:t xml:space="preserve"> </w:t>
      </w:r>
      <w:r w:rsidRPr="00C37977">
        <w:rPr>
          <w:rFonts w:cstheme="minorHAnsi"/>
          <w:kern w:val="0"/>
        </w:rPr>
        <w:t>estuary margins—become noticeably darker, indicating substantial richness losses. Instead</w:t>
      </w:r>
      <w:r>
        <w:rPr>
          <w:rFonts w:cstheme="minorHAnsi"/>
          <w:kern w:val="0"/>
        </w:rPr>
        <w:t xml:space="preserve"> </w:t>
      </w:r>
      <w:r w:rsidRPr="00C37977">
        <w:rPr>
          <w:rFonts w:cstheme="minorHAnsi"/>
          <w:kern w:val="0"/>
        </w:rPr>
        <w:t>of a broad inland band of high richness, the landscape breaks up into isolated bright “islands”</w:t>
      </w:r>
      <w:r>
        <w:rPr>
          <w:rFonts w:cstheme="minorHAnsi"/>
          <w:kern w:val="0"/>
        </w:rPr>
        <w:t xml:space="preserve"> </w:t>
      </w:r>
      <w:r w:rsidRPr="00C37977">
        <w:rPr>
          <w:rFonts w:cstheme="minorHAnsi"/>
          <w:kern w:val="0"/>
        </w:rPr>
        <w:t>of diversity, and the entire impact zone within the Atchafalaya Basin becomes dark. The</w:t>
      </w:r>
      <w:r>
        <w:rPr>
          <w:rFonts w:cstheme="minorHAnsi"/>
          <w:kern w:val="0"/>
        </w:rPr>
        <w:t xml:space="preserve"> </w:t>
      </w:r>
      <w:r w:rsidRPr="00C37977">
        <w:rPr>
          <w:rFonts w:cstheme="minorHAnsi"/>
          <w:kern w:val="0"/>
        </w:rPr>
        <w:t>refugee pattern shifts: in many stretches, only a very narrow strip right at the shoreline</w:t>
      </w:r>
      <w:r>
        <w:rPr>
          <w:rFonts w:cstheme="minorHAnsi"/>
          <w:kern w:val="0"/>
        </w:rPr>
        <w:t xml:space="preserve"> </w:t>
      </w:r>
      <w:r w:rsidRPr="00C37977">
        <w:rPr>
          <w:rFonts w:cstheme="minorHAnsi"/>
          <w:kern w:val="0"/>
        </w:rPr>
        <w:t>retains high richness (for example, along the crests of some barrier islands or slightly elevated</w:t>
      </w:r>
      <w:r>
        <w:rPr>
          <w:rFonts w:cstheme="minorHAnsi"/>
          <w:kern w:val="0"/>
        </w:rPr>
        <w:t xml:space="preserve"> </w:t>
      </w:r>
      <w:r w:rsidRPr="00C37977">
        <w:rPr>
          <w:rFonts w:cstheme="minorHAnsi"/>
          <w:kern w:val="0"/>
        </w:rPr>
        <w:t>coastal ridges), while the adjacent inland and shoreline cells are much darker.</w:t>
      </w:r>
    </w:p>
    <w:p w:rsidR="00C37977" w:rsidRDefault="00C37977">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extent cx="5943600" cy="3782060"/>
            <wp:effectExtent l="0" t="0" r="0" b="2540"/>
            <wp:docPr id="260476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76738" name="Picture 260476738"/>
                    <pic:cNvPicPr/>
                  </pic:nvPicPr>
                  <pic:blipFill>
                    <a:blip r:embed="rId9"/>
                    <a:stretch>
                      <a:fillRect/>
                    </a:stretch>
                  </pic:blipFill>
                  <pic:spPr>
                    <a:xfrm>
                      <a:off x="0" y="0"/>
                      <a:ext cx="5943600" cy="3782060"/>
                    </a:xfrm>
                    <a:prstGeom prst="rect">
                      <a:avLst/>
                    </a:prstGeom>
                  </pic:spPr>
                </pic:pic>
              </a:graphicData>
            </a:graphic>
          </wp:inline>
        </w:drawing>
      </w:r>
    </w:p>
    <w:p w:rsidR="00C37977" w:rsidRDefault="00C37977" w:rsidP="00C37977">
      <w:pPr>
        <w:autoSpaceDE w:val="0"/>
        <w:autoSpaceDN w:val="0"/>
        <w:adjustRightInd w:val="0"/>
        <w:spacing w:after="0" w:line="240" w:lineRule="auto"/>
        <w:rPr>
          <w:rFonts w:ascii="Times New Roman" w:hAnsi="Times New Roman" w:cs="Times New Roman"/>
          <w:i/>
          <w:iCs/>
          <w:kern w:val="0"/>
        </w:rPr>
      </w:pPr>
      <w:r>
        <w:rPr>
          <w:rFonts w:ascii="Times New Roman" w:hAnsi="Times New Roman" w:cs="Times New Roman"/>
          <w:i/>
          <w:iCs/>
          <w:kern w:val="0"/>
        </w:rPr>
        <w:t>Figure S</w:t>
      </w:r>
      <w:r w:rsidR="00BE2C03">
        <w:rPr>
          <w:rFonts w:ascii="Times New Roman" w:hAnsi="Times New Roman" w:cs="Times New Roman"/>
          <w:i/>
          <w:iCs/>
          <w:kern w:val="0"/>
        </w:rPr>
        <w:t>5</w:t>
      </w:r>
      <w:r>
        <w:rPr>
          <w:rFonts w:ascii="Times New Roman" w:hAnsi="Times New Roman" w:cs="Times New Roman"/>
          <w:i/>
          <w:iCs/>
          <w:kern w:val="0"/>
        </w:rPr>
        <w:t>: Species richness maps in September based on 332 modeled species under (a)</w:t>
      </w:r>
    </w:p>
    <w:p w:rsidR="00C37977" w:rsidRDefault="00C37977" w:rsidP="00C37977">
      <w:pPr>
        <w:autoSpaceDE w:val="0"/>
        <w:autoSpaceDN w:val="0"/>
        <w:adjustRightInd w:val="0"/>
        <w:spacing w:after="0" w:line="240" w:lineRule="auto"/>
        <w:rPr>
          <w:rFonts w:ascii="Times New Roman" w:hAnsi="Times New Roman" w:cs="Times New Roman"/>
          <w:i/>
          <w:iCs/>
          <w:kern w:val="0"/>
        </w:rPr>
      </w:pPr>
      <w:r>
        <w:rPr>
          <w:rFonts w:ascii="Times New Roman" w:hAnsi="Times New Roman" w:cs="Times New Roman"/>
          <w:i/>
          <w:iCs/>
          <w:kern w:val="0"/>
        </w:rPr>
        <w:t>historical climate and sea-level conditions in 2020, and maps of richness impacted by a</w:t>
      </w:r>
    </w:p>
    <w:p w:rsidR="00C37977" w:rsidRDefault="00C37977" w:rsidP="00C37977">
      <w:pPr>
        <w:autoSpaceDE w:val="0"/>
        <w:autoSpaceDN w:val="0"/>
        <w:adjustRightInd w:val="0"/>
        <w:spacing w:after="0" w:line="240" w:lineRule="auto"/>
        <w:rPr>
          <w:rFonts w:ascii="Times New Roman" w:hAnsi="Times New Roman" w:cs="Times New Roman"/>
          <w:i/>
          <w:iCs/>
          <w:kern w:val="0"/>
        </w:rPr>
      </w:pPr>
      <w:r>
        <w:rPr>
          <w:rFonts w:ascii="Times New Roman" w:hAnsi="Times New Roman" w:cs="Times New Roman"/>
          <w:i/>
          <w:iCs/>
          <w:kern w:val="0"/>
        </w:rPr>
        <w:t>September storm surge under two sea-level rise scenarios: (b) Low, corresponding to SSP2-</w:t>
      </w:r>
    </w:p>
    <w:p w:rsidR="00C37977" w:rsidRDefault="00C37977" w:rsidP="00C37977">
      <w:pPr>
        <w:autoSpaceDE w:val="0"/>
        <w:autoSpaceDN w:val="0"/>
        <w:adjustRightInd w:val="0"/>
        <w:spacing w:after="0" w:line="240" w:lineRule="auto"/>
        <w:rPr>
          <w:rFonts w:ascii="Times New Roman" w:hAnsi="Times New Roman" w:cs="Times New Roman"/>
          <w:i/>
          <w:iCs/>
          <w:kern w:val="0"/>
        </w:rPr>
      </w:pPr>
      <w:r>
        <w:rPr>
          <w:rFonts w:ascii="Times New Roman" w:hAnsi="Times New Roman" w:cs="Times New Roman"/>
          <w:i/>
          <w:iCs/>
          <w:kern w:val="0"/>
        </w:rPr>
        <w:t>4.5 climate with 0.2 m mean sea-level rise by 2100; and (c) Intermediate-High, corresponding</w:t>
      </w:r>
    </w:p>
    <w:p w:rsidR="00C37977" w:rsidRPr="00C37977" w:rsidRDefault="00C37977" w:rsidP="00C37977">
      <w:pPr>
        <w:rPr>
          <w:rFonts w:ascii="Times New Roman" w:hAnsi="Times New Roman" w:cs="Times New Roman"/>
          <w:color w:val="000000"/>
        </w:rPr>
      </w:pPr>
      <w:r>
        <w:rPr>
          <w:rFonts w:ascii="Times New Roman" w:hAnsi="Times New Roman" w:cs="Times New Roman"/>
          <w:i/>
          <w:iCs/>
          <w:kern w:val="0"/>
        </w:rPr>
        <w:t>to SSP5-8.5 climate with 1.2 m mean sea-level rise by 2100.</w:t>
      </w:r>
    </w:p>
    <w:p w:rsidR="003C0399" w:rsidRDefault="003C0399">
      <w:r>
        <w:rPr>
          <w:noProof/>
        </w:rPr>
        <w:lastRenderedPageBreak/>
        <w:drawing>
          <wp:inline distT="0" distB="0" distL="0" distR="0">
            <wp:extent cx="5943600" cy="7429500"/>
            <wp:effectExtent l="0" t="0" r="0" b="0"/>
            <wp:docPr id="423422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22770" name="Picture 423422770"/>
                    <pic:cNvPicPr/>
                  </pic:nvPicPr>
                  <pic:blipFill>
                    <a:blip r:embed="rId10"/>
                    <a:stretch>
                      <a:fillRect/>
                    </a:stretch>
                  </pic:blipFill>
                  <pic:spPr>
                    <a:xfrm>
                      <a:off x="0" y="0"/>
                      <a:ext cx="5943600" cy="7429500"/>
                    </a:xfrm>
                    <a:prstGeom prst="rect">
                      <a:avLst/>
                    </a:prstGeom>
                  </pic:spPr>
                </pic:pic>
              </a:graphicData>
            </a:graphic>
          </wp:inline>
        </w:drawing>
      </w:r>
    </w:p>
    <w:p w:rsidR="003C0399" w:rsidRDefault="003C0399">
      <w:r>
        <w:t>Figure S</w:t>
      </w:r>
      <w:r w:rsidR="00BE2C03">
        <w:t>6</w:t>
      </w:r>
      <w:r>
        <w:t xml:space="preserve">. </w:t>
      </w:r>
      <w:r w:rsidR="00BE2C03">
        <w:t>Hurricane</w:t>
      </w:r>
      <w:r>
        <w:t xml:space="preserve"> impacts on species </w:t>
      </w:r>
      <w:r w:rsidR="00BE2C03">
        <w:t>habitat suitability (</w:t>
      </w:r>
      <w:r>
        <w:t>occurrence probability</w:t>
      </w:r>
      <w:r w:rsidR="00BE2C03">
        <w:t>)</w:t>
      </w:r>
      <w:r>
        <w:t xml:space="preserve"> in September at different </w:t>
      </w:r>
      <w:r w:rsidR="00BE2C03">
        <w:t>climate and sea level rise scenarios</w:t>
      </w:r>
      <w:r>
        <w:t xml:space="preserve"> (More species </w:t>
      </w:r>
      <w:r w:rsidR="00BE2C03">
        <w:t>habitat suitability changes at</w:t>
      </w:r>
      <w:r>
        <w:t xml:space="preserve"> other months, please see additional figures on figshare.com) </w:t>
      </w:r>
    </w:p>
    <w:p w:rsidR="00BE2C03" w:rsidRPr="006A3EF3" w:rsidRDefault="00BE2C03" w:rsidP="00BE2C03">
      <w:pPr>
        <w:rPr>
          <w:b/>
          <w:bCs/>
        </w:rPr>
      </w:pPr>
      <w:r w:rsidRPr="006A3EF3">
        <w:rPr>
          <w:b/>
          <w:bCs/>
        </w:rPr>
        <w:lastRenderedPageBreak/>
        <w:t xml:space="preserve">Storm </w:t>
      </w:r>
      <w:r>
        <w:rPr>
          <w:b/>
          <w:bCs/>
        </w:rPr>
        <w:t>surge simulation modeling boundaries</w:t>
      </w:r>
    </w:p>
    <w:p w:rsidR="00BE2C03" w:rsidRDefault="00BE2C03" w:rsidP="00BE2C03">
      <w:r>
        <w:rPr>
          <w:noProof/>
        </w:rPr>
        <w:drawing>
          <wp:inline distT="0" distB="0" distL="0" distR="0" wp14:anchorId="21F9B251" wp14:editId="033A8028">
            <wp:extent cx="4375040" cy="2603241"/>
            <wp:effectExtent l="0" t="0" r="0" b="635"/>
            <wp:docPr id="1024087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87568" name="Picture 1024087568"/>
                    <pic:cNvPicPr/>
                  </pic:nvPicPr>
                  <pic:blipFill rotWithShape="1">
                    <a:blip r:embed="rId11">
                      <a:extLst>
                        <a:ext uri="{28A0092B-C50C-407E-A947-70E740481C1C}">
                          <a14:useLocalDpi xmlns:a14="http://schemas.microsoft.com/office/drawing/2010/main" val="0"/>
                        </a:ext>
                      </a:extLst>
                    </a:blip>
                    <a:srcRect t="21821" b="18677"/>
                    <a:stretch>
                      <a:fillRect/>
                    </a:stretch>
                  </pic:blipFill>
                  <pic:spPr bwMode="auto">
                    <a:xfrm>
                      <a:off x="0" y="0"/>
                      <a:ext cx="4554927" cy="2710277"/>
                    </a:xfrm>
                    <a:prstGeom prst="rect">
                      <a:avLst/>
                    </a:prstGeom>
                    <a:ln>
                      <a:noFill/>
                    </a:ln>
                    <a:extLst>
                      <a:ext uri="{53640926-AAD7-44D8-BBD7-CCE9431645EC}">
                        <a14:shadowObscured xmlns:a14="http://schemas.microsoft.com/office/drawing/2010/main"/>
                      </a:ext>
                    </a:extLst>
                  </pic:spPr>
                </pic:pic>
              </a:graphicData>
            </a:graphic>
          </wp:inline>
        </w:drawing>
      </w:r>
    </w:p>
    <w:p w:rsidR="00BE2C03" w:rsidRDefault="00BE2C03" w:rsidP="00BE2C03">
      <w:pPr>
        <w:rPr>
          <w:rFonts w:ascii="Times New Roman" w:hAnsi="Times New Roman" w:cs="Times New Roman"/>
          <w:i/>
          <w:iCs/>
          <w:color w:val="000000"/>
        </w:rPr>
      </w:pPr>
      <w:r w:rsidRPr="005A6727">
        <w:rPr>
          <w:rFonts w:ascii="Times New Roman" w:hAnsi="Times New Roman" w:cs="Times New Roman"/>
          <w:i/>
          <w:iCs/>
        </w:rPr>
        <w:t>Figure S</w:t>
      </w:r>
      <w:r>
        <w:rPr>
          <w:rFonts w:ascii="Times New Roman" w:hAnsi="Times New Roman" w:cs="Times New Roman"/>
          <w:i/>
          <w:iCs/>
        </w:rPr>
        <w:t>7</w:t>
      </w:r>
      <w:r w:rsidRPr="005A6727">
        <w:rPr>
          <w:rFonts w:ascii="Times New Roman" w:hAnsi="Times New Roman" w:cs="Times New Roman"/>
          <w:i/>
          <w:iCs/>
        </w:rPr>
        <w:t xml:space="preserve">. Storm surge model boundary </w:t>
      </w:r>
      <w:sdt>
        <w:sdtPr>
          <w:rPr>
            <w:rFonts w:ascii="Times New Roman" w:hAnsi="Times New Roman" w:cs="Times New Roman"/>
            <w:i/>
            <w:iCs/>
            <w:color w:val="000000"/>
          </w:rPr>
          <w:tag w:val="MENDELEY_CITATION_v3_eyJjaXRhdGlvbklEIjoiTUVOREVMRVlfQ0lUQVRJT05fMjI0N2E1YjItYTRmMC00YjBmLThhYWMtYTUxNzFjZWZiNzU5IiwicHJvcGVydGllcyI6eyJub3RlSW5kZXgiOjB9LCJpc0VkaXRlZCI6ZmFsc2UsIm1hbnVhbE92ZXJyaWRlIjp7ImlzTWFudWFsbHlPdmVycmlkZGVuIjpmYWxzZSwiY2l0ZXByb2NUZXh0IjoiKEJpbHNraWUgZXQgYWwuLCAyMDE2KSIsIm1hbnVhbE92ZXJyaWRlVGV4dCI6IiJ9LCJjaXRhdGlvbkl0ZW1zIjpbeyJpZCI6ImIxODUxOWIxLWNiMGUtM2M3YS05OTkyLTc1OTE5NDlkOTljMSIsIml0ZW1EYXRhIjp7InR5cGUiOiJhcnRpY2xlLWpvdXJuYWwiLCJpZCI6ImIxODUxOWIxLWNiMGUtM2M3YS05OTkyLTc1OTE5NDlkOTljMSIsInRpdGxlIjoiRHluYW1pYyBzaW11bGF0aW9uIGFuZCBudW1lcmljYWwgYW5hbHlzaXMgb2YgaHVycmljYW5lIHN0b3JtIHN1cmdlIHVuZGVyIHNlYSBsZXZlbCByaXNlIHdpdGggZ2VvbW9ycGhvbG9naWMgY2hhbmdlcyBhbG9uZyB0aGUgbm9ydGhlcm4gR3VsZiBvZiBNZXhpY28iLCJhdXRob3IiOlt7ImZhbWlseSI6IkJpbHNraWUiLCJnaXZlbiI6Ik1hdHRoZXciLCJwYXJzZS1uYW1lcyI6ZmFsc2UsImRyb3BwaW5nLXBhcnRpY2xlIjoiVi4iLCJub24tZHJvcHBpbmctcGFydGljbGUiOiIifSx7ImZhbWlseSI6IkhhZ2VuIiwiZ2l2ZW4iOiJTLiBDLiIsInBhcnNlLW5hbWVzIjpmYWxzZSwiZHJvcHBpbmctcGFydGljbGUiOiIiLCJub24tZHJvcHBpbmctcGFydGljbGUiOiIifSx7ImZhbWlseSI6IkFsaXphZCIsImdpdmVuIjoiSy4iLCJwYXJzZS1uYW1lcyI6ZmFsc2UsImRyb3BwaW5nLXBhcnRpY2xlIjoiIiwibm9uLWRyb3BwaW5nLXBhcnRpY2xlIjoiIn0seyJmYW1pbHkiOiJNZWRlaXJvcyIsImdpdmVuIjoiUy4gQy4iLCJwYXJzZS1uYW1lcyI6ZmFsc2UsImRyb3BwaW5nLXBhcnRpY2xlIjoiIiwibm9uLWRyb3BwaW5nLXBhcnRpY2xlIjoiIn0seyJmYW1pbHkiOiJQYXNzZXJpIiwiZ2l2ZW4iOiJELiBMLiIsInBhcnNlLW5hbWVzIjpmYWxzZSwiZHJvcHBpbmctcGFydGljbGUiOiIiLCJub24tZHJvcHBpbmctcGFydGljbGUiOiIifSx7ImZhbWlseSI6Ik5lZWRoYW0iLCJnaXZlbiI6IkguIEYuIiwicGFyc2UtbmFtZXMiOmZhbHNlLCJkcm9wcGluZy1wYXJ0aWNsZSI6IiIsIm5vbi1kcm9wcGluZy1wYXJ0aWNsZSI6IiJ9LHsiZmFtaWx5IjoiQ294IiwiZ2l2ZW4iOiJBLiIsInBhcnNlLW5hbWVzIjpmYWxzZSwiZHJvcHBpbmctcGFydGljbGUiOiIiLCJub24tZHJvcHBpbmctcGFydGljbGUiOiIifV0sImNvbnRhaW5lci10aXRsZSI6IkVhcnRoJ3MgRnV0dXJlIiwiY29udGFpbmVyLXRpdGxlLXNob3J0IjoiRWFydGhzIEZ1dHVyZSIsIkRPSSI6IjEwLjEwMDIvMjAxNUVGMDAwMzQ3IiwiSVNTTiI6IjIzMjg0Mjc3IiwiaXNzdWVkIjp7ImRhdGUtcGFydHMiOltbMjAxNiw1LDFdXX0sInBhZ2UiOiIxNzctMTkzIiwiYWJzdHJhY3QiOiJUaGlzIHdvcmsgb3V0bGluZXMgYSBkeW5hbWljIG1vZGVsaW5nIGZyYW1ld29yayB0byBleGFtaW5lIHRoZSBlZmZlY3RzIG9mIGdsb2JhbCBjbGltYXRlIGNoYW5nZSwgYW5kIHNlYSBsZXZlbCByaXNlIChTTFIpIGluIHBhcnRpY3VsYXIsIG9uIHRyb3BpY2FsIGN5Y2xvbmUtZHJpdmVuIHN0b3JtIHN1cmdlIGludW5kYXRpb24uIFRoZSBtZXRob2RvbG9neSwgYXBwbGllZCBhY3Jvc3MgdGhlIG5vcnRoZXJuIEd1bGYgb2YgTWV4aWNvLCBhZGFwdHMgYSBwcmVzZW50IGRheSBsYXJnZS1kb21haW4sIGhpZ2ggcmVzb2x1dGlvbiwgdGlkZSwgd2luZC13YXZlLCBhbmQgaHVycmljYW5lIHN0b3JtIHN1cmdlIG1vZGVsIHRvIGNoYXJhY3Rlcml6ZSB0aGUgcG90ZW50aWFsIG91dGxvb2sgb2YgdGhlIGNvYXN0YWwgbGFuZHNjYXBlIHVuZGVyIGZvdXIgU0xSIHNjZW5hcmlvcyBmb3IgdGhlIHllYXIgMjEwMC4gVGhlIG1vZGlmaWNhdGlvbnMgaW5jbHVkZSBzaG9yZWxpbmUgYW5kIGJhcnJpZXIgaXNsYW5kIG1vcnBob2xvZ3ksIG1hcnNoIG1pZ3JhdGlvbiwgYW5kIGxhbmQgdXNlIGxhbmQgY292ZXIgY2hhbmdlLiBIeWRyb2R5bmFtaWNzIG9mIDEwIGhpc3RvcmljIGh1cnJpY2FuZXMgd2VyZSBzaW11bGF0ZWQgdGhyb3VnaCBlYWNoIG9mIHRoZSBmaXZlIG1vZGVsIGNvbmZpZ3VyYXRpb25zIChwcmVzZW50IGRheSBhbmQgZm91ciBTTFIgc2NlbmFyaW9zKS4gVW5kZXIgU0xSLCB0aGUgdG90YWwgaW51bmRhdGVkIGxhbmQgYXJlYSBpbmNyZWFzZWQgYnkgODclIGFuZCBkZXZlbG9wZWQgYW5kIGFncmljdWx0dXJhbCBsYW5kcyBieSAxMzglIGFuZCAxODklLCByZXNwZWN0aXZlbHkuIFBlYWsgc3VyZ2UgaW5jcmVhc2VkIGJ5IGFzIG11Y2ggYXMgMSBtIGFib3ZlIHRoZSBhcHBsaWVkIFNMUiBpbiBzb21lIGFyZWFzLCBhbmQgb3RoZXIgcmVnaW9ucyB3ZXJlIHN1YmplY3QgdG8gYSByZWR1Y3Rpb24gaW4gcGVhayBzdXJnZSwgd2l0aCByZXNwZWN0IHRvIHRoZSBhcHBsaWVkIFNMUiwgaW5kaWNhdGluZyBhIG5vbmxpbmVhciByZXNwb25zZS4gQW5hbHlzaXMgb2YgdGltZS1zZXJpZXMgd2F0ZXIgc3VyZmFjZSBlbGV2YXRpb24gc3VnZ2VzdHMgdGhlIGludGVyYWN0aW9uIGJldHdlZW4gU0xSIGFuZCBzdG9ybSBzdXJnZSBpcyBub25saW5lYXIgaW4gdGltZTsgU0xSIGluY3JlYXNlZCB0aGUgdGltZSBvZiBpbnVuZGF0aW9uIGFuZCBjYXVzZWQgYW4gZWFybGllciBhcnJpdmFsIG9mIHRoZSBwZWFrIHN1cmdlLCB3aGljaCBjYW5ub3QgYmUgYWRkcmVzc2VkIHVzaW5nIGEgc3RhdGljICjigJxiYXRodHVi4oCdKSBtb2RlbGluZyBmcmFtZXdvcmsuIFRoaXMgd29yayBzdXBwb3J0cyB0aGUgcGFyYWRpZ20gc2hpZnQgdG8gdXNpbmcgYSBkeW5hbWljIG1vZGVsaW5nIGZyYW1ld29yayB0byBleGFtaW5lIHRoZSBlZmZlY3RzIG9mIGdsb2JhbCBjbGltYXRlIGNoYW5nZSBvbiBjb2FzdGFsIGludW5kYXRpb24uIFRoZSBvdXRjb21lcyBoYXZlIGJyb2FkIGltcGxpY2F0aW9ucyBhbmQgdWx0aW1hdGVseSBzdXBwb3J0IGEgYmV0dGVyIGhvbGlzdGljIHVuZGVyc3RhbmRpbmcgb2YgdGhlIGNvYXN0YWwgc3lzdGVtIGFuZCBhaWQgcmVzdG9yYXRpb24gYW5kIGxvbmctdGVybSBjb2FzdGFsIHN1c3RhaW5hYmlsaXR5LiIsInB1Ymxpc2hlciI6IkpvaG4gV2lsZXkgYW5kIFNvbnMgSW5jIiwiaXNzdWUiOiI1Iiwidm9sdW1lIjoiNCJ9LCJpc1RlbXBvcmFyeSI6ZmFsc2V9XX0="/>
          <w:id w:val="1218555070"/>
          <w:placeholder>
            <w:docPart w:val="B29D974A88D9A74592F41D85E931AB3D"/>
          </w:placeholder>
        </w:sdtPr>
        <w:sdtContent>
          <w:r w:rsidRPr="005A6727">
            <w:rPr>
              <w:rFonts w:ascii="Times New Roman" w:hAnsi="Times New Roman" w:cs="Times New Roman"/>
              <w:i/>
              <w:iCs/>
              <w:color w:val="000000"/>
            </w:rPr>
            <w:t>(Bilskie et al., 2016)</w:t>
          </w:r>
        </w:sdtContent>
      </w:sdt>
    </w:p>
    <w:p w:rsidR="00BE2C03" w:rsidRDefault="00BE2C03"/>
    <w:sectPr w:rsidR="00BE2C0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altName w:val="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BA8"/>
    <w:rsid w:val="000571CD"/>
    <w:rsid w:val="001351BC"/>
    <w:rsid w:val="001B075B"/>
    <w:rsid w:val="002147ED"/>
    <w:rsid w:val="00234A55"/>
    <w:rsid w:val="002866D0"/>
    <w:rsid w:val="002A6AE9"/>
    <w:rsid w:val="003B7CC4"/>
    <w:rsid w:val="003C0399"/>
    <w:rsid w:val="00481371"/>
    <w:rsid w:val="004F1AD6"/>
    <w:rsid w:val="00556577"/>
    <w:rsid w:val="00576DFC"/>
    <w:rsid w:val="005A6727"/>
    <w:rsid w:val="005F0006"/>
    <w:rsid w:val="00642A9F"/>
    <w:rsid w:val="006763B9"/>
    <w:rsid w:val="006A3EF3"/>
    <w:rsid w:val="00766ABA"/>
    <w:rsid w:val="007E4673"/>
    <w:rsid w:val="009B122C"/>
    <w:rsid w:val="00A042C9"/>
    <w:rsid w:val="00A07BA8"/>
    <w:rsid w:val="00BE2C03"/>
    <w:rsid w:val="00C37977"/>
    <w:rsid w:val="00F73507"/>
    <w:rsid w:val="00F752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9401E8F2-A64A-A640-B0DC-AA68862C7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07BA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07BA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07BA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07BA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07BA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07BA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07BA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07BA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07BA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7BA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07BA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07BA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07BA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07BA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07BA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07BA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07BA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07BA8"/>
    <w:rPr>
      <w:rFonts w:eastAsiaTheme="majorEastAsia" w:cstheme="majorBidi"/>
      <w:color w:val="272727" w:themeColor="text1" w:themeTint="D8"/>
    </w:rPr>
  </w:style>
  <w:style w:type="paragraph" w:styleId="Title">
    <w:name w:val="Title"/>
    <w:basedOn w:val="Normal"/>
    <w:next w:val="Normal"/>
    <w:link w:val="TitleChar"/>
    <w:uiPriority w:val="10"/>
    <w:qFormat/>
    <w:rsid w:val="00A07BA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07BA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7BA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07BA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07BA8"/>
    <w:pPr>
      <w:spacing w:before="160"/>
      <w:jc w:val="center"/>
    </w:pPr>
    <w:rPr>
      <w:i/>
      <w:iCs/>
      <w:color w:val="404040" w:themeColor="text1" w:themeTint="BF"/>
    </w:rPr>
  </w:style>
  <w:style w:type="character" w:customStyle="1" w:styleId="QuoteChar">
    <w:name w:val="Quote Char"/>
    <w:basedOn w:val="DefaultParagraphFont"/>
    <w:link w:val="Quote"/>
    <w:uiPriority w:val="29"/>
    <w:rsid w:val="00A07BA8"/>
    <w:rPr>
      <w:i/>
      <w:iCs/>
      <w:color w:val="404040" w:themeColor="text1" w:themeTint="BF"/>
    </w:rPr>
  </w:style>
  <w:style w:type="paragraph" w:styleId="ListParagraph">
    <w:name w:val="List Paragraph"/>
    <w:basedOn w:val="Normal"/>
    <w:uiPriority w:val="34"/>
    <w:qFormat/>
    <w:rsid w:val="00A07BA8"/>
    <w:pPr>
      <w:ind w:left="720"/>
      <w:contextualSpacing/>
    </w:pPr>
  </w:style>
  <w:style w:type="character" w:styleId="IntenseEmphasis">
    <w:name w:val="Intense Emphasis"/>
    <w:basedOn w:val="DefaultParagraphFont"/>
    <w:uiPriority w:val="21"/>
    <w:qFormat/>
    <w:rsid w:val="00A07BA8"/>
    <w:rPr>
      <w:i/>
      <w:iCs/>
      <w:color w:val="2F5496" w:themeColor="accent1" w:themeShade="BF"/>
    </w:rPr>
  </w:style>
  <w:style w:type="paragraph" w:styleId="IntenseQuote">
    <w:name w:val="Intense Quote"/>
    <w:basedOn w:val="Normal"/>
    <w:next w:val="Normal"/>
    <w:link w:val="IntenseQuoteChar"/>
    <w:uiPriority w:val="30"/>
    <w:qFormat/>
    <w:rsid w:val="00A07BA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07BA8"/>
    <w:rPr>
      <w:i/>
      <w:iCs/>
      <w:color w:val="2F5496" w:themeColor="accent1" w:themeShade="BF"/>
    </w:rPr>
  </w:style>
  <w:style w:type="character" w:styleId="IntenseReference">
    <w:name w:val="Intense Reference"/>
    <w:basedOn w:val="DefaultParagraphFont"/>
    <w:uiPriority w:val="32"/>
    <w:qFormat/>
    <w:rsid w:val="00A07BA8"/>
    <w:rPr>
      <w:b/>
      <w:bCs/>
      <w:smallCaps/>
      <w:color w:val="2F5496" w:themeColor="accent1" w:themeShade="BF"/>
      <w:spacing w:val="5"/>
    </w:rPr>
  </w:style>
  <w:style w:type="character" w:styleId="PlaceholderText">
    <w:name w:val="Placeholder Text"/>
    <w:basedOn w:val="DefaultParagraphFont"/>
    <w:uiPriority w:val="99"/>
    <w:semiHidden/>
    <w:rsid w:val="00A07BA8"/>
    <w:rPr>
      <w:color w:val="666666"/>
    </w:rPr>
  </w:style>
  <w:style w:type="character" w:styleId="Strong">
    <w:name w:val="Strong"/>
    <w:basedOn w:val="DefaultParagraphFont"/>
    <w:uiPriority w:val="22"/>
    <w:qFormat/>
    <w:rsid w:val="006A3EF3"/>
    <w:rPr>
      <w:b/>
      <w:bCs/>
    </w:rPr>
  </w:style>
  <w:style w:type="paragraph" w:customStyle="1" w:styleId="Default">
    <w:name w:val="Default"/>
    <w:rsid w:val="002147ED"/>
    <w:pPr>
      <w:pBdr>
        <w:top w:val="nil"/>
        <w:left w:val="nil"/>
        <w:bottom w:val="nil"/>
        <w:right w:val="nil"/>
        <w:between w:val="nil"/>
        <w:bar w:val="nil"/>
      </w:pBdr>
      <w:spacing w:after="0" w:line="240" w:lineRule="auto"/>
    </w:pPr>
    <w:rPr>
      <w:rFonts w:ascii="Times New Roman" w:eastAsia="Arial Unicode MS" w:hAnsi="Times New Roman" w:cs="Arial Unicode MS"/>
      <w:color w:val="000000"/>
      <w:kern w:val="0"/>
      <w:u w:color="000000"/>
      <w:bdr w:val="nil"/>
      <w14:textOutline w14:w="0" w14:cap="flat" w14:cmpd="sng" w14:algn="ctr">
        <w14:noFill/>
        <w14:prstDash w14:val="solid"/>
        <w14:bevel/>
      </w14:textOutlin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glossaryDocument" Target="glossary/document.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jpg"/><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9D974A88D9A74592F41D85E931AB3D"/>
        <w:category>
          <w:name w:val="General"/>
          <w:gallery w:val="placeholder"/>
        </w:category>
        <w:types>
          <w:type w:val="bbPlcHdr"/>
        </w:types>
        <w:behaviors>
          <w:behavior w:val="content"/>
        </w:behaviors>
        <w:guid w:val="{CF19B0EA-5B18-474F-94B5-27EBFF12B189}"/>
      </w:docPartPr>
      <w:docPartBody>
        <w:p w:rsidR="00032BD1" w:rsidRDefault="00AD7833" w:rsidP="00AD7833">
          <w:pPr>
            <w:pStyle w:val="B29D974A88D9A74592F41D85E931AB3D"/>
          </w:pPr>
          <w:r w:rsidRPr="0034619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altName w:val="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3318"/>
    <w:rsid w:val="000148A2"/>
    <w:rsid w:val="00032BD1"/>
    <w:rsid w:val="000D3318"/>
    <w:rsid w:val="00277E6C"/>
    <w:rsid w:val="003E68F6"/>
    <w:rsid w:val="00481371"/>
    <w:rsid w:val="00642A9F"/>
    <w:rsid w:val="00766ABA"/>
    <w:rsid w:val="0079771D"/>
    <w:rsid w:val="00AD7833"/>
    <w:rsid w:val="00D538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7833"/>
    <w:rPr>
      <w:color w:val="666666"/>
    </w:rPr>
  </w:style>
  <w:style w:type="paragraph" w:customStyle="1" w:styleId="B29D974A88D9A74592F41D85E931AB3D">
    <w:name w:val="B29D974A88D9A74592F41D85E931AB3D"/>
    <w:rsid w:val="00AD78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485EA6E-C51D-1746-9FEB-1DCB19BCDF95}">
  <we:reference id="wa104382081" version="1.55.1.0" store="en-US" storeType="OMEX"/>
  <we:alternateReferences>
    <we:reference id="wa104382081" version="1.55.1.0" store="" storeType="OMEX"/>
  </we:alternateReferences>
  <we:properties>
    <we:property name="MENDELEY_CITATIONS" value="[{&quot;citationID&quot;:&quot;MENDELEY_CITATION_2247a5b2-a4f0-4b0f-8aac-a5171cefb759&quot;,&quot;properties&quot;:{&quot;noteIndex&quot;:0},&quot;isEdited&quot;:false,&quot;manualOverride&quot;:{&quot;isManuallyOverridden&quot;:false,&quot;citeprocText&quot;:&quot;(Bilskie et al., 2016)&quot;,&quot;manualOverrideText&quot;:&quot;&quot;},&quot;citationTag&quot;:&quot;MENDELEY_CITATION_v3_eyJjaXRhdGlvbklEIjoiTUVOREVMRVlfQ0lUQVRJT05fMjI0N2E1YjItYTRmMC00YjBmLThhYWMtYTUxNzFjZWZiNzU5IiwicHJvcGVydGllcyI6eyJub3RlSW5kZXgiOjB9LCJpc0VkaXRlZCI6ZmFsc2UsIm1hbnVhbE92ZXJyaWRlIjp7ImlzTWFudWFsbHlPdmVycmlkZGVuIjpmYWxzZSwiY2l0ZXByb2NUZXh0IjoiKEJpbHNraWUgZXQgYWwuLCAyMDE2KSIsIm1hbnVhbE92ZXJyaWRlVGV4dCI6IiJ9LCJjaXRhdGlvbkl0ZW1zIjpbeyJpZCI6ImIxODUxOWIxLWNiMGUtM2M3YS05OTkyLTc1OTE5NDlkOTljMSIsIml0ZW1EYXRhIjp7InR5cGUiOiJhcnRpY2xlLWpvdXJuYWwiLCJpZCI6ImIxODUxOWIxLWNiMGUtM2M3YS05OTkyLTc1OTE5NDlkOTljMSIsInRpdGxlIjoiRHluYW1pYyBzaW11bGF0aW9uIGFuZCBudW1lcmljYWwgYW5hbHlzaXMgb2YgaHVycmljYW5lIHN0b3JtIHN1cmdlIHVuZGVyIHNlYSBsZXZlbCByaXNlIHdpdGggZ2VvbW9ycGhvbG9naWMgY2hhbmdlcyBhbG9uZyB0aGUgbm9ydGhlcm4gR3VsZiBvZiBNZXhpY28iLCJhdXRob3IiOlt7ImZhbWlseSI6IkJpbHNraWUiLCJnaXZlbiI6Ik1hdHRoZXciLCJwYXJzZS1uYW1lcyI6ZmFsc2UsImRyb3BwaW5nLXBhcnRpY2xlIjoiVi4iLCJub24tZHJvcHBpbmctcGFydGljbGUiOiIifSx7ImZhbWlseSI6IkhhZ2VuIiwiZ2l2ZW4iOiJTLiBDLiIsInBhcnNlLW5hbWVzIjpmYWxzZSwiZHJvcHBpbmctcGFydGljbGUiOiIiLCJub24tZHJvcHBpbmctcGFydGljbGUiOiIifSx7ImZhbWlseSI6IkFsaXphZCIsImdpdmVuIjoiSy4iLCJwYXJzZS1uYW1lcyI6ZmFsc2UsImRyb3BwaW5nLXBhcnRpY2xlIjoiIiwibm9uLWRyb3BwaW5nLXBhcnRpY2xlIjoiIn0seyJmYW1pbHkiOiJNZWRlaXJvcyIsImdpdmVuIjoiUy4gQy4iLCJwYXJzZS1uYW1lcyI6ZmFsc2UsImRyb3BwaW5nLXBhcnRpY2xlIjoiIiwibm9uLWRyb3BwaW5nLXBhcnRpY2xlIjoiIn0seyJmYW1pbHkiOiJQYXNzZXJpIiwiZ2l2ZW4iOiJELiBMLiIsInBhcnNlLW5hbWVzIjpmYWxzZSwiZHJvcHBpbmctcGFydGljbGUiOiIiLCJub24tZHJvcHBpbmctcGFydGljbGUiOiIifSx7ImZhbWlseSI6Ik5lZWRoYW0iLCJnaXZlbiI6IkguIEYuIiwicGFyc2UtbmFtZXMiOmZhbHNlLCJkcm9wcGluZy1wYXJ0aWNsZSI6IiIsIm5vbi1kcm9wcGluZy1wYXJ0aWNsZSI6IiJ9LHsiZmFtaWx5IjoiQ294IiwiZ2l2ZW4iOiJBLiIsInBhcnNlLW5hbWVzIjpmYWxzZSwiZHJvcHBpbmctcGFydGljbGUiOiIiLCJub24tZHJvcHBpbmctcGFydGljbGUiOiIifV0sImNvbnRhaW5lci10aXRsZSI6IkVhcnRoJ3MgRnV0dXJlIiwiY29udGFpbmVyLXRpdGxlLXNob3J0IjoiRWFydGhzIEZ1dHVyZSIsIkRPSSI6IjEwLjEwMDIvMjAxNUVGMDAwMzQ3IiwiSVNTTiI6IjIzMjg0Mjc3IiwiaXNzdWVkIjp7ImRhdGUtcGFydHMiOltbMjAxNiw1LDFdXX0sInBhZ2UiOiIxNzctMTkzIiwiYWJzdHJhY3QiOiJUaGlzIHdvcmsgb3V0bGluZXMgYSBkeW5hbWljIG1vZGVsaW5nIGZyYW1ld29yayB0byBleGFtaW5lIHRoZSBlZmZlY3RzIG9mIGdsb2JhbCBjbGltYXRlIGNoYW5nZSwgYW5kIHNlYSBsZXZlbCByaXNlIChTTFIpIGluIHBhcnRpY3VsYXIsIG9uIHRyb3BpY2FsIGN5Y2xvbmUtZHJpdmVuIHN0b3JtIHN1cmdlIGludW5kYXRpb24uIFRoZSBtZXRob2RvbG9neSwgYXBwbGllZCBhY3Jvc3MgdGhlIG5vcnRoZXJuIEd1bGYgb2YgTWV4aWNvLCBhZGFwdHMgYSBwcmVzZW50IGRheSBsYXJnZS1kb21haW4sIGhpZ2ggcmVzb2x1dGlvbiwgdGlkZSwgd2luZC13YXZlLCBhbmQgaHVycmljYW5lIHN0b3JtIHN1cmdlIG1vZGVsIHRvIGNoYXJhY3Rlcml6ZSB0aGUgcG90ZW50aWFsIG91dGxvb2sgb2YgdGhlIGNvYXN0YWwgbGFuZHNjYXBlIHVuZGVyIGZvdXIgU0xSIHNjZW5hcmlvcyBmb3IgdGhlIHllYXIgMjEwMC4gVGhlIG1vZGlmaWNhdGlvbnMgaW5jbHVkZSBzaG9yZWxpbmUgYW5kIGJhcnJpZXIgaXNsYW5kIG1vcnBob2xvZ3ksIG1hcnNoIG1pZ3JhdGlvbiwgYW5kIGxhbmQgdXNlIGxhbmQgY292ZXIgY2hhbmdlLiBIeWRyb2R5bmFtaWNzIG9mIDEwIGhpc3RvcmljIGh1cnJpY2FuZXMgd2VyZSBzaW11bGF0ZWQgdGhyb3VnaCBlYWNoIG9mIHRoZSBmaXZlIG1vZGVsIGNvbmZpZ3VyYXRpb25zIChwcmVzZW50IGRheSBhbmQgZm91ciBTTFIgc2NlbmFyaW9zKS4gVW5kZXIgU0xSLCB0aGUgdG90YWwgaW51bmRhdGVkIGxhbmQgYXJlYSBpbmNyZWFzZWQgYnkgODclIGFuZCBkZXZlbG9wZWQgYW5kIGFncmljdWx0dXJhbCBsYW5kcyBieSAxMzglIGFuZCAxODklLCByZXNwZWN0aXZlbHkuIFBlYWsgc3VyZ2UgaW5jcmVhc2VkIGJ5IGFzIG11Y2ggYXMgMSBtIGFib3ZlIHRoZSBhcHBsaWVkIFNMUiBpbiBzb21lIGFyZWFzLCBhbmQgb3RoZXIgcmVnaW9ucyB3ZXJlIHN1YmplY3QgdG8gYSByZWR1Y3Rpb24gaW4gcGVhayBzdXJnZSwgd2l0aCByZXNwZWN0IHRvIHRoZSBhcHBsaWVkIFNMUiwgaW5kaWNhdGluZyBhIG5vbmxpbmVhciByZXNwb25zZS4gQW5hbHlzaXMgb2YgdGltZS1zZXJpZXMgd2F0ZXIgc3VyZmFjZSBlbGV2YXRpb24gc3VnZ2VzdHMgdGhlIGludGVyYWN0aW9uIGJldHdlZW4gU0xSIGFuZCBzdG9ybSBzdXJnZSBpcyBub25saW5lYXIgaW4gdGltZTsgU0xSIGluY3JlYXNlZCB0aGUgdGltZSBvZiBpbnVuZGF0aW9uIGFuZCBjYXVzZWQgYW4gZWFybGllciBhcnJpdmFsIG9mIHRoZSBwZWFrIHN1cmdlLCB3aGljaCBjYW5ub3QgYmUgYWRkcmVzc2VkIHVzaW5nIGEgc3RhdGljICjigJxiYXRodHVi4oCdKSBtb2RlbGluZyBmcmFtZXdvcmsuIFRoaXMgd29yayBzdXBwb3J0cyB0aGUgcGFyYWRpZ20gc2hpZnQgdG8gdXNpbmcgYSBkeW5hbWljIG1vZGVsaW5nIGZyYW1ld29yayB0byBleGFtaW5lIHRoZSBlZmZlY3RzIG9mIGdsb2JhbCBjbGltYXRlIGNoYW5nZSBvbiBjb2FzdGFsIGludW5kYXRpb24uIFRoZSBvdXRjb21lcyBoYXZlIGJyb2FkIGltcGxpY2F0aW9ucyBhbmQgdWx0aW1hdGVseSBzdXBwb3J0IGEgYmV0dGVyIGhvbGlzdGljIHVuZGVyc3RhbmRpbmcgb2YgdGhlIGNvYXN0YWwgc3lzdGVtIGFuZCBhaWQgcmVzdG9yYXRpb24gYW5kIGxvbmctdGVybSBjb2FzdGFsIHN1c3RhaW5hYmlsaXR5LiIsInB1Ymxpc2hlciI6IkpvaG4gV2lsZXkgYW5kIFNvbnMgSW5jIiwiaXNzdWUiOiI1Iiwidm9sdW1lIjoiNCJ9LCJpc1RlbXBvcmFyeSI6ZmFsc2V9XX0=&quot;,&quot;citationItems&quot;:[{&quot;id&quot;:&quot;b18519b1-cb0e-3c7a-9992-7591949d99c1&quot;,&quot;itemData&quot;:{&quot;type&quot;:&quot;article-journal&quot;,&quot;id&quot;:&quot;b18519b1-cb0e-3c7a-9992-7591949d99c1&quot;,&quot;title&quot;:&quot;Dynamic simulation and numerical analysis of hurricane storm surge under sea level rise with geomorphologic changes along the northern Gulf of Mexico&quot;,&quot;author&quot;:[{&quot;family&quot;:&quot;Bilskie&quot;,&quot;given&quot;:&quot;Matthew&quot;,&quot;parse-names&quot;:false,&quot;dropping-particle&quot;:&quot;V.&quot;,&quot;non-dropping-particle&quot;:&quot;&quot;},{&quot;family&quot;:&quot;Hagen&quot;,&quot;given&quot;:&quot;S. C.&quot;,&quot;parse-names&quot;:false,&quot;dropping-particle&quot;:&quot;&quot;,&quot;non-dropping-particle&quot;:&quot;&quot;},{&quot;family&quot;:&quot;Alizad&quot;,&quot;given&quot;:&quot;K.&quot;,&quot;parse-names&quot;:false,&quot;dropping-particle&quot;:&quot;&quot;,&quot;non-dropping-particle&quot;:&quot;&quot;},{&quot;family&quot;:&quot;Medeiros&quot;,&quot;given&quot;:&quot;S. C.&quot;,&quot;parse-names&quot;:false,&quot;dropping-particle&quot;:&quot;&quot;,&quot;non-dropping-particle&quot;:&quot;&quot;},{&quot;family&quot;:&quot;Passeri&quot;,&quot;given&quot;:&quot;D. L.&quot;,&quot;parse-names&quot;:false,&quot;dropping-particle&quot;:&quot;&quot;,&quot;non-dropping-particle&quot;:&quot;&quot;},{&quot;family&quot;:&quot;Needham&quot;,&quot;given&quot;:&quot;H. F.&quot;,&quot;parse-names&quot;:false,&quot;dropping-particle&quot;:&quot;&quot;,&quot;non-dropping-particle&quot;:&quot;&quot;},{&quot;family&quot;:&quot;Cox&quot;,&quot;given&quot;:&quot;A.&quot;,&quot;parse-names&quot;:false,&quot;dropping-particle&quot;:&quot;&quot;,&quot;non-dropping-particle&quot;:&quot;&quot;}],&quot;container-title&quot;:&quot;Earth's Future&quot;,&quot;container-title-short&quot;:&quot;Earths Future&quot;,&quot;DOI&quot;:&quot;10.1002/2015EF000347&quot;,&quot;ISSN&quot;:&quot;23284277&quot;,&quot;issued&quot;:{&quot;date-parts&quot;:[[2016,5,1]]},&quot;page&quot;:&quot;177-193&quot;,&quot;abstract&quot;:&quot;This work outlines a dynamic modeling framework to examine the effects of global climate change, and sea level rise (SLR) in particular, on tropical cyclone-driven storm surge inundation. The methodology, applied across the northern Gulf of Mexico, adapts a present day large-domain, high resolution, tide, wind-wave, and hurricane storm surge model to characterize the potential outlook of the coastal landscape under four SLR scenarios for the year 2100. The modifications include shoreline and barrier island morphology, marsh migration, and land use land cover change. Hydrodynamics of 10 historic hurricanes were simulated through each of the five model configurations (present day and four SLR scenarios). Under SLR, the total inundated land area increased by 87% and developed and agricultural lands by 138% and 189%, respectively. Peak surge increased by as much as 1 m above the applied SLR in some areas, and other regions were subject to a reduction in peak surge, with respect to the applied SLR, indicating a nonlinear response. Analysis of time-series water surface elevation suggests the interaction between SLR and storm surge is nonlinear in time; SLR increased the time of inundation and caused an earlier arrival of the peak surge, which cannot be addressed using a static (“bathtub”) modeling framework. This work supports the paradigm shift to using a dynamic modeling framework to examine the effects of global climate change on coastal inundation. The outcomes have broad implications and ultimately support a better holistic understanding of the coastal system and aid restoration and long-term coastal sustainability.&quot;,&quot;publisher&quot;:&quot;John Wiley and Sons Inc&quot;,&quot;issue&quot;:&quot;5&quot;,&quot;volume&quot;:&quot;4&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00C18F-E62B-2F45-ACBA-800646F05A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9</Pages>
  <Words>1822</Words>
  <Characters>10386</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Liying Li</dc:creator>
  <cp:keywords/>
  <dc:description/>
  <cp:lastModifiedBy>Liying Li</cp:lastModifiedBy>
  <cp:revision>14</cp:revision>
  <dcterms:created xsi:type="dcterms:W3CDTF">2025-07-15T17:55:00Z</dcterms:created>
  <dcterms:modified xsi:type="dcterms:W3CDTF">2026-01-07T18:34:00Z</dcterms:modified>
</cp:coreProperties>
</file>