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BD43D" w14:textId="023D115A" w:rsidR="00C67BB1" w:rsidRDefault="00C67BB1" w:rsidP="00C67BB1">
      <w:pPr>
        <w:rPr>
          <w:b/>
          <w:bCs/>
          <w:lang w:val="en-US"/>
        </w:rPr>
      </w:pPr>
      <w:r w:rsidRPr="00944309">
        <w:rPr>
          <w:b/>
          <w:bCs/>
          <w:lang w:val="en-US"/>
        </w:rPr>
        <w:t xml:space="preserve">Supplemental table </w:t>
      </w:r>
      <w:r>
        <w:rPr>
          <w:b/>
          <w:bCs/>
          <w:lang w:val="en-US"/>
        </w:rPr>
        <w:t>2</w:t>
      </w:r>
      <w:r w:rsidRPr="00944309">
        <w:rPr>
          <w:b/>
          <w:bCs/>
          <w:lang w:val="en-US"/>
        </w:rPr>
        <w:t xml:space="preserve">. Overview </w:t>
      </w:r>
      <w:r>
        <w:rPr>
          <w:b/>
          <w:bCs/>
          <w:lang w:val="en-US"/>
        </w:rPr>
        <w:t>of studies of the</w:t>
      </w:r>
      <w:r w:rsidRPr="0094430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breast cancer samples </w:t>
      </w:r>
    </w:p>
    <w:p w14:paraId="769EE2CD" w14:textId="6880522E" w:rsidR="007E635C" w:rsidRDefault="007E635C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5"/>
        <w:gridCol w:w="1558"/>
        <w:gridCol w:w="1440"/>
        <w:gridCol w:w="4597"/>
      </w:tblGrid>
      <w:tr w:rsidR="00C67BB1" w:rsidRPr="002548ED" w14:paraId="2E5761DD" w14:textId="77777777" w:rsidTr="003A1250">
        <w:trPr>
          <w:trHeight w:val="274"/>
        </w:trPr>
        <w:tc>
          <w:tcPr>
            <w:tcW w:w="1415" w:type="dxa"/>
          </w:tcPr>
          <w:p w14:paraId="5B754539" w14:textId="77777777" w:rsidR="00C67BB1" w:rsidRPr="00CB3250" w:rsidRDefault="00C67BB1" w:rsidP="00CB325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B325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Series</w:t>
            </w:r>
          </w:p>
        </w:tc>
        <w:tc>
          <w:tcPr>
            <w:tcW w:w="1558" w:type="dxa"/>
          </w:tcPr>
          <w:p w14:paraId="3CED8535" w14:textId="77777777" w:rsidR="00C67BB1" w:rsidRPr="00CB3250" w:rsidRDefault="00C67BB1" w:rsidP="00CB325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B325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Number of samples</w:t>
            </w:r>
          </w:p>
        </w:tc>
        <w:tc>
          <w:tcPr>
            <w:tcW w:w="1440" w:type="dxa"/>
          </w:tcPr>
          <w:p w14:paraId="7F1C1280" w14:textId="77777777" w:rsidR="00C67BB1" w:rsidRPr="00CB3250" w:rsidRDefault="00C67BB1" w:rsidP="00CB325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B325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PMID</w:t>
            </w:r>
          </w:p>
        </w:tc>
        <w:tc>
          <w:tcPr>
            <w:tcW w:w="4597" w:type="dxa"/>
          </w:tcPr>
          <w:p w14:paraId="72FEA6F1" w14:textId="77777777" w:rsidR="00C67BB1" w:rsidRPr="00CB3250" w:rsidRDefault="00C67BB1" w:rsidP="00CB3250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B325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C67BB1" w:rsidRPr="002548ED" w14:paraId="6780CA66" w14:textId="77777777" w:rsidTr="003A1250">
        <w:tc>
          <w:tcPr>
            <w:tcW w:w="1415" w:type="dxa"/>
          </w:tcPr>
          <w:p w14:paraId="69522DEE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color w:val="000000" w:themeColor="text1"/>
                <w:sz w:val="20"/>
                <w:szCs w:val="20"/>
              </w:rPr>
              <w:t>GSE27120</w:t>
            </w:r>
          </w:p>
        </w:tc>
        <w:tc>
          <w:tcPr>
            <w:tcW w:w="1558" w:type="dxa"/>
          </w:tcPr>
          <w:p w14:paraId="10B8EAB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14:paraId="21112D7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22235100</w:t>
            </w:r>
          </w:p>
        </w:tc>
        <w:tc>
          <w:tcPr>
            <w:tcW w:w="4597" w:type="dxa"/>
          </w:tcPr>
          <w:p w14:paraId="2B0B31C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Desmedt C, Majjaj S, Kheddoumi N, Singhal SK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Characterization and clinical evaluation of CD10+ stroma cells in the breast cancer microenvironment. </w:t>
            </w:r>
            <w:r w:rsidRPr="002548ED">
              <w:rPr>
                <w:rFonts w:cs="Arial"/>
                <w:sz w:val="20"/>
                <w:szCs w:val="20"/>
              </w:rPr>
              <w:t>Clin Cancer Res 2012 Feb 15;18(4):1004-14.</w:t>
            </w:r>
          </w:p>
        </w:tc>
      </w:tr>
      <w:tr w:rsidR="00C67BB1" w:rsidRPr="002548ED" w14:paraId="38C097AA" w14:textId="77777777" w:rsidTr="003A1250">
        <w:tc>
          <w:tcPr>
            <w:tcW w:w="1415" w:type="dxa"/>
          </w:tcPr>
          <w:p w14:paraId="52E18C9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GSE5460</w:t>
            </w:r>
          </w:p>
        </w:tc>
        <w:tc>
          <w:tcPr>
            <w:tcW w:w="1558" w:type="dxa"/>
          </w:tcPr>
          <w:p w14:paraId="31DC298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127</w:t>
            </w:r>
          </w:p>
        </w:tc>
        <w:tc>
          <w:tcPr>
            <w:tcW w:w="1440" w:type="dxa"/>
          </w:tcPr>
          <w:p w14:paraId="6632906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18297396</w:t>
            </w:r>
          </w:p>
        </w:tc>
        <w:tc>
          <w:tcPr>
            <w:tcW w:w="4597" w:type="dxa"/>
          </w:tcPr>
          <w:p w14:paraId="3CDB00F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Lu X, Lu X, Wang ZC, Iglehart JD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Predicting features of breast cancer with gene expression patterns. </w:t>
            </w:r>
            <w:r w:rsidRPr="002548ED">
              <w:rPr>
                <w:rFonts w:cs="Arial"/>
                <w:sz w:val="20"/>
                <w:szCs w:val="20"/>
              </w:rPr>
              <w:t>Breast Cancer Res Treat 2008 Mar;108(2):191-201.</w:t>
            </w:r>
          </w:p>
        </w:tc>
      </w:tr>
      <w:tr w:rsidR="00C67BB1" w:rsidRPr="002548ED" w14:paraId="592A7575" w14:textId="77777777" w:rsidTr="003A1250">
        <w:tc>
          <w:tcPr>
            <w:tcW w:w="1415" w:type="dxa"/>
          </w:tcPr>
          <w:p w14:paraId="4F87145F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GSE5764</w:t>
            </w:r>
          </w:p>
        </w:tc>
        <w:tc>
          <w:tcPr>
            <w:tcW w:w="1558" w:type="dxa"/>
          </w:tcPr>
          <w:p w14:paraId="0C25628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14:paraId="1141524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17389037</w:t>
            </w:r>
          </w:p>
        </w:tc>
        <w:tc>
          <w:tcPr>
            <w:tcW w:w="4597" w:type="dxa"/>
          </w:tcPr>
          <w:p w14:paraId="11FE05A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Turashvili G, Bouchal J, Baumforth K, Wei W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Novel markers for differentiation of lobular and ductal invasive breast carcinomas by laser microdissection and microarray analysis. </w:t>
            </w:r>
            <w:r w:rsidRPr="002548ED">
              <w:rPr>
                <w:rFonts w:cs="Arial"/>
                <w:sz w:val="20"/>
                <w:szCs w:val="20"/>
              </w:rPr>
              <w:t>BMC Cancer 2007 Mar 27;7:55.</w:t>
            </w:r>
          </w:p>
        </w:tc>
      </w:tr>
      <w:tr w:rsidR="00C67BB1" w:rsidRPr="003A1250" w14:paraId="449C5EFD" w14:textId="77777777" w:rsidTr="003A1250">
        <w:tc>
          <w:tcPr>
            <w:tcW w:w="1415" w:type="dxa"/>
          </w:tcPr>
          <w:p w14:paraId="4CE8FB6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GSE6532</w:t>
            </w:r>
          </w:p>
        </w:tc>
        <w:tc>
          <w:tcPr>
            <w:tcW w:w="1558" w:type="dxa"/>
          </w:tcPr>
          <w:p w14:paraId="21012F2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1440" w:type="dxa"/>
          </w:tcPr>
          <w:p w14:paraId="4579CBD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20479250</w:t>
            </w:r>
          </w:p>
        </w:tc>
        <w:tc>
          <w:tcPr>
            <w:tcW w:w="4597" w:type="dxa"/>
          </w:tcPr>
          <w:p w14:paraId="6C8EFD68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Loi S, Haibe-Kains B, Majjaj S, Lallemand F et al. PIK3CA mutations associated with gene signature of low mTORC1 signaling and better outcomes in estrogen receptor-positive breast cancer. </w:t>
            </w:r>
            <w:r w:rsidRPr="000F4E94">
              <w:rPr>
                <w:rFonts w:cs="Arial"/>
                <w:sz w:val="20"/>
                <w:szCs w:val="20"/>
                <w:lang w:val="en-US"/>
              </w:rPr>
              <w:t>Proc Natl Acad Sci U S A 2010 Jun 1;107(22):10208-13.</w:t>
            </w:r>
          </w:p>
        </w:tc>
      </w:tr>
      <w:tr w:rsidR="00C67BB1" w:rsidRPr="002548ED" w14:paraId="5837DB1F" w14:textId="77777777" w:rsidTr="003A1250">
        <w:tc>
          <w:tcPr>
            <w:tcW w:w="1415" w:type="dxa"/>
          </w:tcPr>
          <w:p w14:paraId="3DF4F271" w14:textId="77777777" w:rsidR="00C67BB1" w:rsidRPr="000F4E94" w:rsidRDefault="00C67BB1" w:rsidP="00AE0F42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7905AD6B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9DACFF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17401012</w:t>
            </w:r>
          </w:p>
        </w:tc>
        <w:tc>
          <w:tcPr>
            <w:tcW w:w="4597" w:type="dxa"/>
          </w:tcPr>
          <w:p w14:paraId="0A6823F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Loi S, Haibe-Kains B, Desmedt C, Lallemand F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Definition of clinically distinct molecular subtypes in estrogen receptor-positive breast carcinomas through genomic grade. </w:t>
            </w:r>
            <w:r w:rsidRPr="002548ED">
              <w:rPr>
                <w:rFonts w:cs="Arial"/>
                <w:sz w:val="20"/>
                <w:szCs w:val="20"/>
              </w:rPr>
              <w:t xml:space="preserve">J Clin Oncol 2007 Apr 1;25(10):1239-46. </w:t>
            </w:r>
          </w:p>
        </w:tc>
      </w:tr>
      <w:tr w:rsidR="00C67BB1" w:rsidRPr="002548ED" w14:paraId="0BFB9262" w14:textId="77777777" w:rsidTr="003A1250">
        <w:tc>
          <w:tcPr>
            <w:tcW w:w="1415" w:type="dxa"/>
          </w:tcPr>
          <w:p w14:paraId="71DE16C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D3E1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E4CCC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18498629</w:t>
            </w:r>
          </w:p>
        </w:tc>
        <w:tc>
          <w:tcPr>
            <w:tcW w:w="4597" w:type="dxa"/>
          </w:tcPr>
          <w:p w14:paraId="608FE97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Loi S, Haibe-Kains B, Desmedt C, Wirapati P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Predicting prognosis using molecular profiling in estrogen receptor-positive breast cancer treated with tamoxifen. </w:t>
            </w:r>
            <w:r w:rsidRPr="002548ED">
              <w:rPr>
                <w:rFonts w:cs="Arial"/>
                <w:sz w:val="20"/>
                <w:szCs w:val="20"/>
              </w:rPr>
              <w:t>BMC Genomics 2008 May 22;9:239.</w:t>
            </w:r>
          </w:p>
        </w:tc>
      </w:tr>
      <w:tr w:rsidR="00C67BB1" w:rsidRPr="00CB3250" w14:paraId="69556884" w14:textId="77777777" w:rsidTr="003A1250">
        <w:tc>
          <w:tcPr>
            <w:tcW w:w="1415" w:type="dxa"/>
          </w:tcPr>
          <w:p w14:paraId="4D2B768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76E99A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0913C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19552798</w:t>
            </w:r>
          </w:p>
        </w:tc>
        <w:tc>
          <w:tcPr>
            <w:tcW w:w="4597" w:type="dxa"/>
          </w:tcPr>
          <w:p w14:paraId="3C49768A" w14:textId="77777777" w:rsidR="00C67BB1" w:rsidRPr="00CB3250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Loi S, Sotiriou C, Haibe-Kains B, Lallemand F et al. Gene expression profiling identifies activated growth factor signaling in poor prognosis (Luminal-B) estrogen receptor positive breast cancer. </w:t>
            </w:r>
            <w:r w:rsidRPr="00CB3250">
              <w:rPr>
                <w:rFonts w:cs="Arial"/>
                <w:sz w:val="20"/>
                <w:szCs w:val="20"/>
                <w:lang w:val="en-US"/>
              </w:rPr>
              <w:t xml:space="preserve">BMC Med Genomics 2009 Jun 24;2:37. </w:t>
            </w:r>
          </w:p>
        </w:tc>
      </w:tr>
      <w:tr w:rsidR="00C67BB1" w:rsidRPr="002548ED" w14:paraId="3E211B58" w14:textId="77777777" w:rsidTr="003A1250">
        <w:tc>
          <w:tcPr>
            <w:tcW w:w="1415" w:type="dxa"/>
          </w:tcPr>
          <w:p w14:paraId="0C978EB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GSE7904</w:t>
            </w:r>
          </w:p>
        </w:tc>
        <w:tc>
          <w:tcPr>
            <w:tcW w:w="1558" w:type="dxa"/>
          </w:tcPr>
          <w:p w14:paraId="2D4B82A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14:paraId="44E0685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16473279</w:t>
            </w:r>
          </w:p>
        </w:tc>
        <w:tc>
          <w:tcPr>
            <w:tcW w:w="4597" w:type="dxa"/>
          </w:tcPr>
          <w:p w14:paraId="7010588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Richardson AL, Wang ZC, De Nicolo A, Lu X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X chromosomal abnormalities in basal-like human breast cancer. </w:t>
            </w:r>
            <w:r w:rsidRPr="002548ED">
              <w:rPr>
                <w:rFonts w:cs="Arial"/>
                <w:sz w:val="20"/>
                <w:szCs w:val="20"/>
              </w:rPr>
              <w:t>Cancer Cell 2006 Feb;9(2):121-32.</w:t>
            </w:r>
          </w:p>
        </w:tc>
      </w:tr>
      <w:tr w:rsidR="00C67BB1" w:rsidRPr="00CB3250" w14:paraId="601F4B2C" w14:textId="77777777" w:rsidTr="003A1250">
        <w:tc>
          <w:tcPr>
            <w:tcW w:w="1415" w:type="dxa"/>
          </w:tcPr>
          <w:p w14:paraId="1722D2D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GSE7515</w:t>
            </w:r>
          </w:p>
        </w:tc>
        <w:tc>
          <w:tcPr>
            <w:tcW w:w="1558" w:type="dxa"/>
          </w:tcPr>
          <w:p w14:paraId="2DFE593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14:paraId="11B1832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19666588</w:t>
            </w:r>
          </w:p>
        </w:tc>
        <w:tc>
          <w:tcPr>
            <w:tcW w:w="4597" w:type="dxa"/>
          </w:tcPr>
          <w:p w14:paraId="62011F6C" w14:textId="77777777" w:rsidR="00C67BB1" w:rsidRPr="00CB3250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Creighton CJ, Li X, Landis M, Dixon JM et al. Residual breast cancers after conventional therapy display mesenchymal as well as tumor-initiating features. </w:t>
            </w:r>
            <w:r w:rsidRPr="00CB3250">
              <w:rPr>
                <w:rFonts w:cs="Arial"/>
                <w:sz w:val="20"/>
                <w:szCs w:val="20"/>
                <w:lang w:val="en-US"/>
              </w:rPr>
              <w:t>Proc Natl Acad Sci U S A 2009 Aug 18;106(33):13820-5.</w:t>
            </w:r>
          </w:p>
        </w:tc>
      </w:tr>
      <w:tr w:rsidR="00C67BB1" w:rsidRPr="002548ED" w14:paraId="795233B7" w14:textId="77777777" w:rsidTr="003A1250">
        <w:tc>
          <w:tcPr>
            <w:tcW w:w="1415" w:type="dxa"/>
          </w:tcPr>
          <w:p w14:paraId="2B93C82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GSE9195</w:t>
            </w:r>
          </w:p>
        </w:tc>
        <w:tc>
          <w:tcPr>
            <w:tcW w:w="1558" w:type="dxa"/>
          </w:tcPr>
          <w:p w14:paraId="5F71581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1440" w:type="dxa"/>
          </w:tcPr>
          <w:p w14:paraId="1A4DCD8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20479250</w:t>
            </w:r>
          </w:p>
        </w:tc>
        <w:tc>
          <w:tcPr>
            <w:tcW w:w="4597" w:type="dxa"/>
          </w:tcPr>
          <w:p w14:paraId="35D2F6C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Loi S et al. 2010 Jun </w:t>
            </w:r>
          </w:p>
        </w:tc>
      </w:tr>
      <w:tr w:rsidR="00C67BB1" w:rsidRPr="00CB3250" w14:paraId="6BDBABC2" w14:textId="77777777" w:rsidTr="003A1250">
        <w:tc>
          <w:tcPr>
            <w:tcW w:w="1415" w:type="dxa"/>
          </w:tcPr>
          <w:p w14:paraId="6196E43F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GSE10281</w:t>
            </w:r>
          </w:p>
        </w:tc>
        <w:tc>
          <w:tcPr>
            <w:tcW w:w="1558" w:type="dxa"/>
          </w:tcPr>
          <w:p w14:paraId="74BF2CF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14:paraId="652CBEA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19666588</w:t>
            </w:r>
          </w:p>
        </w:tc>
        <w:tc>
          <w:tcPr>
            <w:tcW w:w="4597" w:type="dxa"/>
          </w:tcPr>
          <w:p w14:paraId="009B9625" w14:textId="77777777" w:rsidR="00C67BB1" w:rsidRPr="00CB3250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Creighton CJ, Li X, Landis M, Dixon JM et al. Residual breast cancers after conventional therapy display mesenchymal as well as tumor-initiating features. </w:t>
            </w:r>
            <w:r w:rsidRPr="00CB3250">
              <w:rPr>
                <w:rFonts w:cs="Arial"/>
                <w:sz w:val="20"/>
                <w:szCs w:val="20"/>
                <w:lang w:val="en-US"/>
              </w:rPr>
              <w:t>Proc Natl Acad Sci U S A 2009 Aug 18;106(33):13820-5.</w:t>
            </w:r>
          </w:p>
        </w:tc>
      </w:tr>
      <w:tr w:rsidR="00C67BB1" w:rsidRPr="002548ED" w14:paraId="64FB246A" w14:textId="77777777" w:rsidTr="003A1250">
        <w:tc>
          <w:tcPr>
            <w:tcW w:w="1415" w:type="dxa"/>
          </w:tcPr>
          <w:p w14:paraId="655912A8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GSE10780</w:t>
            </w:r>
          </w:p>
        </w:tc>
        <w:tc>
          <w:tcPr>
            <w:tcW w:w="1558" w:type="dxa"/>
          </w:tcPr>
          <w:p w14:paraId="252DB30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14:paraId="653A51B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19266279</w:t>
            </w:r>
          </w:p>
        </w:tc>
        <w:tc>
          <w:tcPr>
            <w:tcW w:w="4597" w:type="dxa"/>
          </w:tcPr>
          <w:p w14:paraId="095D8D1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Chen DT, Nasir A, Culhane A, Venkataramu C et al. Proliferative genes dominate malignancy-risk gene signature in histologically-normal breast tissue. </w:t>
            </w:r>
            <w:r w:rsidRPr="002548ED">
              <w:rPr>
                <w:rFonts w:cs="Arial"/>
                <w:sz w:val="20"/>
                <w:szCs w:val="20"/>
              </w:rPr>
              <w:t>Breast Cancer Res Treat 2010 Jan;119(2):335-46.</w:t>
            </w:r>
          </w:p>
        </w:tc>
      </w:tr>
      <w:tr w:rsidR="00C67BB1" w:rsidRPr="002548ED" w14:paraId="05EF5C7C" w14:textId="77777777" w:rsidTr="003A1250">
        <w:tc>
          <w:tcPr>
            <w:tcW w:w="1415" w:type="dxa"/>
          </w:tcPr>
          <w:p w14:paraId="11B0EE06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GSE10810</w:t>
            </w:r>
          </w:p>
        </w:tc>
        <w:tc>
          <w:tcPr>
            <w:tcW w:w="1558" w:type="dxa"/>
          </w:tcPr>
          <w:p w14:paraId="4BA804C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</w:tcPr>
          <w:p w14:paraId="07CCA47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20029976</w:t>
            </w:r>
          </w:p>
        </w:tc>
        <w:tc>
          <w:tcPr>
            <w:tcW w:w="4597" w:type="dxa"/>
          </w:tcPr>
          <w:p w14:paraId="50CDE5A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Pedraza V, Gomez-Capilla JA, Escaramis G, Gomez C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Gene expression signatures in breast cancer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distinguish phenotype characteristics, histologic subtypes, and tumor invasiveness. </w:t>
            </w:r>
            <w:r w:rsidRPr="002548ED">
              <w:rPr>
                <w:rFonts w:cs="Arial"/>
                <w:sz w:val="20"/>
                <w:szCs w:val="20"/>
              </w:rPr>
              <w:t>Cancer 2010 Jan 15;116(2):486-96.</w:t>
            </w:r>
          </w:p>
        </w:tc>
      </w:tr>
      <w:tr w:rsidR="00C67BB1" w:rsidRPr="002548ED" w14:paraId="4CBC3465" w14:textId="77777777" w:rsidTr="003A1250">
        <w:tc>
          <w:tcPr>
            <w:tcW w:w="1415" w:type="dxa"/>
          </w:tcPr>
          <w:p w14:paraId="4ABBB259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lastRenderedPageBreak/>
              <w:t>GSE11001</w:t>
            </w:r>
          </w:p>
        </w:tc>
        <w:tc>
          <w:tcPr>
            <w:tcW w:w="1558" w:type="dxa"/>
          </w:tcPr>
          <w:p w14:paraId="1DB5EE1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677C394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21339180</w:t>
            </w:r>
          </w:p>
        </w:tc>
        <w:tc>
          <w:tcPr>
            <w:tcW w:w="4597" w:type="dxa"/>
          </w:tcPr>
          <w:p w14:paraId="23AD5C5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Budczies J, Weichert W, Noske A, Müller BM et al. Genome-wide gene expression profiling of formalin-fixed paraffin-embedded breast cancer core biopsies using microarrays. </w:t>
            </w:r>
            <w:r w:rsidRPr="002548ED">
              <w:rPr>
                <w:rFonts w:cs="Arial"/>
                <w:sz w:val="20"/>
                <w:szCs w:val="20"/>
              </w:rPr>
              <w:t>J Histochem Cytochem 2011 Feb;59(2):146-57.</w:t>
            </w:r>
          </w:p>
        </w:tc>
      </w:tr>
      <w:tr w:rsidR="00C67BB1" w:rsidRPr="002548ED" w14:paraId="0B50E052" w14:textId="77777777" w:rsidTr="003A1250">
        <w:tc>
          <w:tcPr>
            <w:tcW w:w="1415" w:type="dxa"/>
          </w:tcPr>
          <w:p w14:paraId="6B32E8C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GSE12276</w:t>
            </w:r>
          </w:p>
        </w:tc>
        <w:tc>
          <w:tcPr>
            <w:tcW w:w="1558" w:type="dxa"/>
          </w:tcPr>
          <w:p w14:paraId="1B18C4D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1440" w:type="dxa"/>
          </w:tcPr>
          <w:p w14:paraId="2044BFA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19421193</w:t>
            </w:r>
          </w:p>
        </w:tc>
        <w:tc>
          <w:tcPr>
            <w:tcW w:w="4597" w:type="dxa"/>
          </w:tcPr>
          <w:p w14:paraId="0878549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Bos PD, Zhang XH, Nadal C, Shu W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Genes that mediate breast cancer metastasis to the brain. </w:t>
            </w:r>
            <w:r w:rsidRPr="002548ED">
              <w:rPr>
                <w:rFonts w:cs="Arial"/>
                <w:sz w:val="20"/>
                <w:szCs w:val="20"/>
              </w:rPr>
              <w:t>Nature 2009 Jun 18;459(7249):1005-9.</w:t>
            </w:r>
          </w:p>
        </w:tc>
      </w:tr>
      <w:tr w:rsidR="00C67BB1" w:rsidRPr="002548ED" w14:paraId="77909360" w14:textId="77777777" w:rsidTr="003A1250">
        <w:tc>
          <w:tcPr>
            <w:tcW w:w="1415" w:type="dxa"/>
          </w:tcPr>
          <w:p w14:paraId="38BA729F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GSE12790</w:t>
            </w:r>
          </w:p>
        </w:tc>
        <w:tc>
          <w:tcPr>
            <w:tcW w:w="1558" w:type="dxa"/>
          </w:tcPr>
          <w:p w14:paraId="63CC068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14:paraId="2522DE1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19567590</w:t>
            </w:r>
          </w:p>
        </w:tc>
        <w:tc>
          <w:tcPr>
            <w:tcW w:w="4597" w:type="dxa"/>
          </w:tcPr>
          <w:p w14:paraId="45AF77B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Hoeflich KP, O'Brien C, Boyd Z, Cavet G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In vivo antitumor activity of MEK and phosphatidylinositol 3-kinase inhibitors in basal-like breast cancer models. </w:t>
            </w:r>
            <w:r w:rsidRPr="002548ED">
              <w:rPr>
                <w:rFonts w:cs="Arial"/>
                <w:sz w:val="20"/>
                <w:szCs w:val="20"/>
              </w:rPr>
              <w:t>Clin Cancer Res 2009 Jul 15;15(14):4649-64.</w:t>
            </w:r>
          </w:p>
        </w:tc>
      </w:tr>
      <w:tr w:rsidR="00C67BB1" w:rsidRPr="002548ED" w14:paraId="1220FECA" w14:textId="77777777" w:rsidTr="003A1250">
        <w:tc>
          <w:tcPr>
            <w:tcW w:w="1415" w:type="dxa"/>
          </w:tcPr>
          <w:p w14:paraId="0072B94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3B4FF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7832F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21673316</w:t>
            </w:r>
          </w:p>
        </w:tc>
        <w:tc>
          <w:tcPr>
            <w:tcW w:w="4597" w:type="dxa"/>
          </w:tcPr>
          <w:p w14:paraId="104715E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Stinson S, Lackner MR, Adai AT, Yu N et al. TRPS1 targeting by miR-221/222 promotes the epithelial-to-mesenchymal transition in breast cancer. </w:t>
            </w:r>
            <w:r w:rsidRPr="002548ED">
              <w:rPr>
                <w:rFonts w:cs="Arial"/>
                <w:sz w:val="20"/>
                <w:szCs w:val="20"/>
              </w:rPr>
              <w:t>Sci Signal 2011 Jun 14;4(177):ra41.</w:t>
            </w:r>
          </w:p>
        </w:tc>
      </w:tr>
      <w:tr w:rsidR="00C67BB1" w:rsidRPr="002548ED" w14:paraId="07797320" w14:textId="77777777" w:rsidTr="003A1250">
        <w:tc>
          <w:tcPr>
            <w:tcW w:w="1415" w:type="dxa"/>
          </w:tcPr>
          <w:p w14:paraId="16DB4F1F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GSE16391</w:t>
            </w:r>
          </w:p>
        </w:tc>
        <w:tc>
          <w:tcPr>
            <w:tcW w:w="1558" w:type="dxa"/>
          </w:tcPr>
          <w:p w14:paraId="7677138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440" w:type="dxa"/>
          </w:tcPr>
          <w:p w14:paraId="513515E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19573224</w:t>
            </w:r>
          </w:p>
        </w:tc>
        <w:tc>
          <w:tcPr>
            <w:tcW w:w="4597" w:type="dxa"/>
          </w:tcPr>
          <w:p w14:paraId="7C95520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Desmedt C, Giobbie-Hurder A, Neven P, Paridaens R et al. The Gene expression Grade Index: a potential predictor of relapse for endocrine-treated breast cancer patients in the BIG 1-98 trial. </w:t>
            </w:r>
            <w:r w:rsidRPr="002548ED">
              <w:rPr>
                <w:rFonts w:cs="Arial"/>
                <w:sz w:val="20"/>
                <w:szCs w:val="20"/>
              </w:rPr>
              <w:t>BMC Med Genomics 2009 Jul 2;2:40.</w:t>
            </w:r>
          </w:p>
        </w:tc>
      </w:tr>
      <w:tr w:rsidR="00C67BB1" w:rsidRPr="002548ED" w14:paraId="41AE284F" w14:textId="77777777" w:rsidTr="003A1250">
        <w:tc>
          <w:tcPr>
            <w:tcW w:w="1415" w:type="dxa"/>
          </w:tcPr>
          <w:p w14:paraId="5942414E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GSE16446</w:t>
            </w:r>
          </w:p>
        </w:tc>
        <w:tc>
          <w:tcPr>
            <w:tcW w:w="1558" w:type="dxa"/>
          </w:tcPr>
          <w:p w14:paraId="5DD02D6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14:paraId="166A504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21422418</w:t>
            </w:r>
          </w:p>
        </w:tc>
        <w:tc>
          <w:tcPr>
            <w:tcW w:w="4597" w:type="dxa"/>
          </w:tcPr>
          <w:p w14:paraId="0796DD2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Desmedt C, Di Leo A, de Azambuja E, Larsimont D et al. Multifactorial approach to predicting resistance to anthracyclines. </w:t>
            </w:r>
            <w:r w:rsidRPr="002548ED">
              <w:rPr>
                <w:rFonts w:cs="Arial"/>
                <w:sz w:val="20"/>
                <w:szCs w:val="20"/>
              </w:rPr>
              <w:t xml:space="preserve">J Clin Oncol 2011 Apr 20;29(12):1578-86. </w:t>
            </w:r>
          </w:p>
        </w:tc>
      </w:tr>
      <w:tr w:rsidR="00C67BB1" w:rsidRPr="002548ED" w14:paraId="06C4E0F3" w14:textId="77777777" w:rsidTr="003A1250">
        <w:tc>
          <w:tcPr>
            <w:tcW w:w="1415" w:type="dxa"/>
          </w:tcPr>
          <w:p w14:paraId="514D3910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A92F6E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6B87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20098429</w:t>
            </w:r>
          </w:p>
        </w:tc>
        <w:tc>
          <w:tcPr>
            <w:tcW w:w="4597" w:type="dxa"/>
          </w:tcPr>
          <w:p w14:paraId="69AF57B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Li Y, Zou L, Li Q, Haibe-Kains B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Amplification of LAPTM4B and YWHAZ contributes to chemotherapy resistance and recurrence of breast cancer. </w:t>
            </w:r>
            <w:r w:rsidRPr="002548ED">
              <w:rPr>
                <w:rFonts w:cs="Arial"/>
                <w:sz w:val="20"/>
                <w:szCs w:val="20"/>
              </w:rPr>
              <w:t xml:space="preserve">Nat Med 2010 Feb;16(2):214-8. </w:t>
            </w:r>
          </w:p>
        </w:tc>
      </w:tr>
      <w:tr w:rsidR="00C67BB1" w:rsidRPr="002548ED" w14:paraId="44D57763" w14:textId="77777777" w:rsidTr="003A1250">
        <w:tc>
          <w:tcPr>
            <w:tcW w:w="1415" w:type="dxa"/>
          </w:tcPr>
          <w:p w14:paraId="49F6791B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90EEC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26213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20189874</w:t>
            </w:r>
          </w:p>
        </w:tc>
        <w:tc>
          <w:tcPr>
            <w:tcW w:w="4597" w:type="dxa"/>
          </w:tcPr>
          <w:p w14:paraId="3FD40BC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Juul N, Szallasi Z, Eklund AC, Li Q et al. Assessment of an RNA interference screen-derived mitotic and ceramide pathway metagene as a predictor of response to neoadjuvant paclitaxel for primary triple-negative breast cancer: a retrospective analysis of five clinical trials. </w:t>
            </w:r>
            <w:r w:rsidRPr="002548ED">
              <w:rPr>
                <w:rFonts w:cs="Arial"/>
                <w:sz w:val="20"/>
                <w:szCs w:val="20"/>
              </w:rPr>
              <w:t xml:space="preserve">Lancet Oncol 2010 Apr;11(4):358-65. </w:t>
            </w:r>
          </w:p>
        </w:tc>
      </w:tr>
      <w:tr w:rsidR="00C67BB1" w:rsidRPr="000F4E94" w14:paraId="27F98E2F" w14:textId="77777777" w:rsidTr="003A1250">
        <w:tc>
          <w:tcPr>
            <w:tcW w:w="1415" w:type="dxa"/>
          </w:tcPr>
          <w:p w14:paraId="4C51E87B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50968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AB2C0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26484051</w:t>
            </w:r>
          </w:p>
        </w:tc>
        <w:tc>
          <w:tcPr>
            <w:tcW w:w="4597" w:type="dxa"/>
          </w:tcPr>
          <w:p w14:paraId="1CC40B7D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Haibe-Kains B, Desmedt C, Di Leo A, Azambuja E et al. Genome-wide gene expression profiling to predict resistance to anthracyclines in breast cancer patients. </w:t>
            </w:r>
            <w:r w:rsidRPr="000F4E94">
              <w:rPr>
                <w:rFonts w:cs="Arial"/>
                <w:sz w:val="20"/>
                <w:szCs w:val="20"/>
                <w:lang w:val="en-US"/>
              </w:rPr>
              <w:t xml:space="preserve">Genom Data 2013 Dec;1:7-10. </w:t>
            </w:r>
          </w:p>
        </w:tc>
      </w:tr>
      <w:tr w:rsidR="00C67BB1" w:rsidRPr="002548ED" w14:paraId="4370E8B4" w14:textId="77777777" w:rsidTr="003A1250">
        <w:tc>
          <w:tcPr>
            <w:tcW w:w="1415" w:type="dxa"/>
          </w:tcPr>
          <w:p w14:paraId="2BD05766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GSE17907</w:t>
            </w:r>
          </w:p>
        </w:tc>
        <w:tc>
          <w:tcPr>
            <w:tcW w:w="1558" w:type="dxa"/>
          </w:tcPr>
          <w:p w14:paraId="72B5B1F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3F79C06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20932292</w:t>
            </w:r>
          </w:p>
        </w:tc>
        <w:tc>
          <w:tcPr>
            <w:tcW w:w="4597" w:type="dxa"/>
          </w:tcPr>
          <w:p w14:paraId="3CD7F22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Sircoulomb F, Bekhouche I, Finetti P, Adélaïde J et al. Genome profiling of ERBB2-amplified breast cancers. </w:t>
            </w:r>
            <w:r w:rsidRPr="002548ED">
              <w:rPr>
                <w:rFonts w:cs="Arial"/>
                <w:sz w:val="20"/>
                <w:szCs w:val="20"/>
              </w:rPr>
              <w:t xml:space="preserve">BMC Cancer 2010 Oct 8;10:539. </w:t>
            </w:r>
          </w:p>
        </w:tc>
      </w:tr>
      <w:tr w:rsidR="00C67BB1" w:rsidRPr="002548ED" w14:paraId="038F6FBF" w14:textId="77777777" w:rsidTr="003A1250">
        <w:tc>
          <w:tcPr>
            <w:tcW w:w="1415" w:type="dxa"/>
          </w:tcPr>
          <w:p w14:paraId="5D9C1FE0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GSE18728</w:t>
            </w:r>
          </w:p>
        </w:tc>
        <w:tc>
          <w:tcPr>
            <w:tcW w:w="1558" w:type="dxa"/>
          </w:tcPr>
          <w:p w14:paraId="497FB01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</w:tcPr>
          <w:p w14:paraId="4293226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20012355</w:t>
            </w:r>
          </w:p>
        </w:tc>
        <w:tc>
          <w:tcPr>
            <w:tcW w:w="4597" w:type="dxa"/>
          </w:tcPr>
          <w:p w14:paraId="219C485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Korde LA, Lusa L, McShane L, Lebowitz PF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Gene expression pathway analysis to predict response to neoadjuvant docetaxel and capecitabine for breast cancer.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Treat 2010 Feb;119(3):685-99. </w:t>
            </w:r>
          </w:p>
        </w:tc>
      </w:tr>
      <w:tr w:rsidR="00C67BB1" w:rsidRPr="002548ED" w14:paraId="7D872E08" w14:textId="77777777" w:rsidTr="003A1250">
        <w:tc>
          <w:tcPr>
            <w:tcW w:w="1415" w:type="dxa"/>
          </w:tcPr>
          <w:p w14:paraId="30BEB2D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GSE18864</w:t>
            </w:r>
          </w:p>
        </w:tc>
        <w:tc>
          <w:tcPr>
            <w:tcW w:w="1558" w:type="dxa"/>
          </w:tcPr>
          <w:p w14:paraId="1EDF2A9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14:paraId="72717F7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20100965</w:t>
            </w:r>
          </w:p>
        </w:tc>
        <w:tc>
          <w:tcPr>
            <w:tcW w:w="4597" w:type="dxa"/>
          </w:tcPr>
          <w:p w14:paraId="0734540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Silver DP, Richardson AL, Eklund AC, Wang ZC et al. 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>Efficacy of neoadjuvant Cisplatin in triple-negative breast cancer. </w:t>
            </w:r>
            <w:r w:rsidRPr="002548ED">
              <w:rPr>
                <w:rFonts w:cs="Arial"/>
                <w:sz w:val="20"/>
                <w:szCs w:val="20"/>
              </w:rPr>
              <w:t xml:space="preserve">J Clin Oncol 2010 Mar 1;28(7):1145-53. </w:t>
            </w:r>
          </w:p>
        </w:tc>
      </w:tr>
      <w:tr w:rsidR="00C67BB1" w:rsidRPr="002548ED" w14:paraId="6CDEFABC" w14:textId="77777777" w:rsidTr="003A1250">
        <w:tc>
          <w:tcPr>
            <w:tcW w:w="1415" w:type="dxa"/>
          </w:tcPr>
          <w:p w14:paraId="45FDE54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520F7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27276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20098429</w:t>
            </w:r>
          </w:p>
        </w:tc>
        <w:tc>
          <w:tcPr>
            <w:tcW w:w="4597" w:type="dxa"/>
          </w:tcPr>
          <w:p w14:paraId="5C20AEC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Li Y, Zou L, Li Q, Haibe-Kains B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Amplification of LAPTM4B and YWHAZ contributes to chemotherapy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resistance and recurrence of breast cancer. </w:t>
            </w:r>
            <w:r w:rsidRPr="002548ED">
              <w:rPr>
                <w:rFonts w:cs="Arial"/>
                <w:sz w:val="20"/>
                <w:szCs w:val="20"/>
              </w:rPr>
              <w:t xml:space="preserve">Nat Med 2010 Feb;16(2):214-8. </w:t>
            </w:r>
          </w:p>
        </w:tc>
      </w:tr>
      <w:tr w:rsidR="00C67BB1" w:rsidRPr="002548ED" w14:paraId="11385B4F" w14:textId="77777777" w:rsidTr="003A1250">
        <w:tc>
          <w:tcPr>
            <w:tcW w:w="1415" w:type="dxa"/>
          </w:tcPr>
          <w:p w14:paraId="4145FFB3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56F442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75D8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20189874</w:t>
            </w:r>
          </w:p>
        </w:tc>
        <w:tc>
          <w:tcPr>
            <w:tcW w:w="4597" w:type="dxa"/>
          </w:tcPr>
          <w:p w14:paraId="31EAA13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Juul N, Szallasi Z, Eklund AC, Li Q et al. Assessment of an RNA interference screen-derived mitotic and ceramide pathway metagene as a predictor of response to neoadjuvant paclitaxel for primary triple-negative breast cancer: a retrospective analysis of five clinical trials. </w:t>
            </w:r>
            <w:r w:rsidRPr="002548ED">
              <w:rPr>
                <w:rFonts w:cs="Arial"/>
                <w:sz w:val="20"/>
                <w:szCs w:val="20"/>
              </w:rPr>
              <w:t>Lancet Oncol 2010 Apr;11(4):358-65.</w:t>
            </w:r>
          </w:p>
        </w:tc>
      </w:tr>
      <w:tr w:rsidR="00C67BB1" w:rsidRPr="002548ED" w14:paraId="42014695" w14:textId="77777777" w:rsidTr="003A1250">
        <w:tc>
          <w:tcPr>
            <w:tcW w:w="1415" w:type="dxa"/>
          </w:tcPr>
          <w:p w14:paraId="3A13976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GSE19615</w:t>
            </w:r>
          </w:p>
        </w:tc>
        <w:tc>
          <w:tcPr>
            <w:tcW w:w="1558" w:type="dxa"/>
          </w:tcPr>
          <w:p w14:paraId="1CA3282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14:paraId="3A471CD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20098429</w:t>
            </w:r>
          </w:p>
        </w:tc>
        <w:tc>
          <w:tcPr>
            <w:tcW w:w="4597" w:type="dxa"/>
          </w:tcPr>
          <w:p w14:paraId="5529DC9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Li Y, Zou L, Li Q, Haibe-Kains B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Amplification of LAPTM4B and YWHAZ contributes to chemotherapy resistance and recurrence of breast cancer. </w:t>
            </w:r>
            <w:r w:rsidRPr="002548ED">
              <w:rPr>
                <w:rFonts w:cs="Arial"/>
                <w:sz w:val="20"/>
                <w:szCs w:val="20"/>
              </w:rPr>
              <w:t>Nat Med 2010 Feb;16(2):214-8</w:t>
            </w:r>
          </w:p>
        </w:tc>
      </w:tr>
      <w:tr w:rsidR="00C67BB1" w:rsidRPr="002548ED" w14:paraId="4BB6AC50" w14:textId="77777777" w:rsidTr="003A1250">
        <w:tc>
          <w:tcPr>
            <w:tcW w:w="1415" w:type="dxa"/>
          </w:tcPr>
          <w:p w14:paraId="45FD89E9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GSE20685</w:t>
            </w:r>
          </w:p>
        </w:tc>
        <w:tc>
          <w:tcPr>
            <w:tcW w:w="1558" w:type="dxa"/>
          </w:tcPr>
          <w:p w14:paraId="2AA089E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327</w:t>
            </w:r>
          </w:p>
        </w:tc>
        <w:tc>
          <w:tcPr>
            <w:tcW w:w="1440" w:type="dxa"/>
          </w:tcPr>
          <w:p w14:paraId="6BD86AF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21501481</w:t>
            </w:r>
          </w:p>
        </w:tc>
        <w:tc>
          <w:tcPr>
            <w:tcW w:w="4597" w:type="dxa"/>
          </w:tcPr>
          <w:p w14:paraId="688B869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Kao KJ, Chang KM, Hsu HC, Huang AT. Correlation of microarray-based breast cancer molecular subtypes and clinical outcomes: implications for treatment optimization. </w:t>
            </w:r>
            <w:r w:rsidRPr="002548ED">
              <w:rPr>
                <w:rFonts w:cs="Arial"/>
                <w:sz w:val="20"/>
                <w:szCs w:val="20"/>
              </w:rPr>
              <w:t>BMC Cancer 2011 Apr 18;11:143.</w:t>
            </w:r>
          </w:p>
        </w:tc>
      </w:tr>
      <w:tr w:rsidR="00C67BB1" w:rsidRPr="002548ED" w14:paraId="5BB1811A" w14:textId="77777777" w:rsidTr="003A1250">
        <w:tc>
          <w:tcPr>
            <w:tcW w:w="1415" w:type="dxa"/>
          </w:tcPr>
          <w:p w14:paraId="39FD5D0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GSE20713</w:t>
            </w:r>
          </w:p>
        </w:tc>
        <w:tc>
          <w:tcPr>
            <w:tcW w:w="1558" w:type="dxa"/>
          </w:tcPr>
          <w:p w14:paraId="47E6482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1440" w:type="dxa"/>
          </w:tcPr>
          <w:p w14:paraId="686A067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21910250</w:t>
            </w:r>
          </w:p>
        </w:tc>
        <w:tc>
          <w:tcPr>
            <w:tcW w:w="4597" w:type="dxa"/>
          </w:tcPr>
          <w:p w14:paraId="46879D7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Dedeurwaerder S, Desmedt C, Calonne E, Singhal SK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DNA methylation profiling reveals a predominant immune component in breast cancers. </w:t>
            </w:r>
            <w:r w:rsidRPr="002548ED">
              <w:rPr>
                <w:rFonts w:cs="Arial"/>
                <w:sz w:val="20"/>
                <w:szCs w:val="20"/>
              </w:rPr>
              <w:t>EMBO Mol Med 2011 Dec;3(12):726-41.</w:t>
            </w:r>
          </w:p>
        </w:tc>
      </w:tr>
      <w:tr w:rsidR="00C67BB1" w:rsidRPr="000F4E94" w14:paraId="7D1ECBA5" w14:textId="77777777" w:rsidTr="003A1250">
        <w:tc>
          <w:tcPr>
            <w:tcW w:w="1415" w:type="dxa"/>
          </w:tcPr>
          <w:p w14:paraId="43B2A13B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GSE21422</w:t>
            </w:r>
          </w:p>
        </w:tc>
        <w:tc>
          <w:tcPr>
            <w:tcW w:w="1558" w:type="dxa"/>
          </w:tcPr>
          <w:p w14:paraId="36E025A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14:paraId="501173F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21314937</w:t>
            </w:r>
          </w:p>
        </w:tc>
        <w:tc>
          <w:tcPr>
            <w:tcW w:w="4597" w:type="dxa"/>
          </w:tcPr>
          <w:p w14:paraId="489AFE69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Kretschmer C, Sterner-Kock A, Siedentopf F, Schoenegg W et al. Identification of early molecular markers for breast cancer. </w:t>
            </w:r>
            <w:r w:rsidRPr="000F4E94">
              <w:rPr>
                <w:rFonts w:cs="Arial"/>
                <w:sz w:val="20"/>
                <w:szCs w:val="20"/>
                <w:lang w:val="en-US"/>
              </w:rPr>
              <w:t xml:space="preserve">Mol Cancer 2011 Feb 11;10(1):15. </w:t>
            </w:r>
          </w:p>
        </w:tc>
      </w:tr>
      <w:tr w:rsidR="00C67BB1" w:rsidRPr="002548ED" w14:paraId="36ADBF33" w14:textId="77777777" w:rsidTr="003A1250">
        <w:tc>
          <w:tcPr>
            <w:tcW w:w="1415" w:type="dxa"/>
          </w:tcPr>
          <w:p w14:paraId="2177806A" w14:textId="77777777" w:rsidR="00C67BB1" w:rsidRPr="000F4E94" w:rsidRDefault="00C67BB1" w:rsidP="00AE0F42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14:paraId="00862593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55C1B5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21468687</w:t>
            </w:r>
          </w:p>
        </w:tc>
        <w:tc>
          <w:tcPr>
            <w:tcW w:w="4597" w:type="dxa"/>
          </w:tcPr>
          <w:p w14:paraId="2990E4F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Kretschmer C, Conradi A, Kemmner W, Sterner-Kock A. Latent transforming growth factor binding protein 4 (LTBP4) is downregulated in mouse and human DCIS and mammary carcinomas. </w:t>
            </w:r>
            <w:r w:rsidRPr="002548ED">
              <w:rPr>
                <w:rFonts w:cs="Arial"/>
                <w:sz w:val="20"/>
                <w:szCs w:val="20"/>
              </w:rPr>
              <w:t xml:space="preserve">Cell Oncol (Dordr) 2011 Oct;34(5):419-34. </w:t>
            </w:r>
          </w:p>
        </w:tc>
      </w:tr>
      <w:tr w:rsidR="00C67BB1" w:rsidRPr="002548ED" w14:paraId="03F9341A" w14:textId="77777777" w:rsidTr="003A1250">
        <w:tc>
          <w:tcPr>
            <w:tcW w:w="1415" w:type="dxa"/>
          </w:tcPr>
          <w:p w14:paraId="428CDE5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GSE21653</w:t>
            </w:r>
          </w:p>
        </w:tc>
        <w:tc>
          <w:tcPr>
            <w:tcW w:w="1558" w:type="dxa"/>
          </w:tcPr>
          <w:p w14:paraId="313A3A1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234</w:t>
            </w:r>
          </w:p>
        </w:tc>
        <w:tc>
          <w:tcPr>
            <w:tcW w:w="1440" w:type="dxa"/>
          </w:tcPr>
          <w:p w14:paraId="21D3950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20490655</w:t>
            </w:r>
          </w:p>
        </w:tc>
        <w:tc>
          <w:tcPr>
            <w:tcW w:w="4597" w:type="dxa"/>
          </w:tcPr>
          <w:p w14:paraId="4D09972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Sabatier R, Finetti P, Cervera N, Lambaudie E et al. A gene expression signature identifies two prognostic subgroups of basal breast cancer.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Treat 2011 Apr;126(2):407-20. </w:t>
            </w:r>
          </w:p>
        </w:tc>
      </w:tr>
      <w:tr w:rsidR="00C67BB1" w:rsidRPr="002548ED" w14:paraId="162AC939" w14:textId="77777777" w:rsidTr="003A1250">
        <w:tc>
          <w:tcPr>
            <w:tcW w:w="1415" w:type="dxa"/>
          </w:tcPr>
          <w:p w14:paraId="0A50770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F2259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9A30C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22110708</w:t>
            </w:r>
          </w:p>
        </w:tc>
        <w:tc>
          <w:tcPr>
            <w:tcW w:w="4597" w:type="dxa"/>
          </w:tcPr>
          <w:p w14:paraId="6D4F4C3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Sabatier R, Finetti P, Adelaide J, Guille A et al. Down-regulation of ECRG4, a candidate tumor suppressor gene, in human breast cancer. </w:t>
            </w:r>
            <w:r w:rsidRPr="002548ED">
              <w:rPr>
                <w:rFonts w:cs="Arial"/>
                <w:sz w:val="20"/>
                <w:szCs w:val="20"/>
              </w:rPr>
              <w:t xml:space="preserve">PLoS One 2011;6(11):e27656. </w:t>
            </w:r>
          </w:p>
        </w:tc>
      </w:tr>
      <w:tr w:rsidR="00C67BB1" w:rsidRPr="002548ED" w14:paraId="0F59D2A7" w14:textId="77777777" w:rsidTr="003A1250">
        <w:tc>
          <w:tcPr>
            <w:tcW w:w="1415" w:type="dxa"/>
          </w:tcPr>
          <w:p w14:paraId="027645E2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GSE22035</w:t>
            </w:r>
          </w:p>
        </w:tc>
        <w:tc>
          <w:tcPr>
            <w:tcW w:w="1558" w:type="dxa"/>
          </w:tcPr>
          <w:p w14:paraId="0E63AF1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440" w:type="dxa"/>
          </w:tcPr>
          <w:p w14:paraId="2140E3D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21209903</w:t>
            </w:r>
          </w:p>
        </w:tc>
        <w:tc>
          <w:tcPr>
            <w:tcW w:w="4597" w:type="dxa"/>
          </w:tcPr>
          <w:p w14:paraId="5171A1D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Cizkova M, Cizeron-Clairac G, Vacher S, Susini A et al. Gene expression profiling reveals new aspects of PIK3CA mutation in ERalpha-positive breast cancer: major implication of the Wnt signaling pathway. </w:t>
            </w:r>
            <w:r w:rsidRPr="002548ED">
              <w:rPr>
                <w:rFonts w:cs="Arial"/>
                <w:sz w:val="20"/>
                <w:szCs w:val="20"/>
              </w:rPr>
              <w:t xml:space="preserve">PLoS One 2010 Dec 30;5(12):e15647. </w:t>
            </w:r>
          </w:p>
        </w:tc>
      </w:tr>
      <w:tr w:rsidR="00C67BB1" w:rsidRPr="002548ED" w14:paraId="590FA7D0" w14:textId="77777777" w:rsidTr="003A1250">
        <w:tc>
          <w:tcPr>
            <w:tcW w:w="1415" w:type="dxa"/>
          </w:tcPr>
          <w:p w14:paraId="03F31096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GSE22513</w:t>
            </w:r>
          </w:p>
        </w:tc>
        <w:tc>
          <w:tcPr>
            <w:tcW w:w="1558" w:type="dxa"/>
          </w:tcPr>
          <w:p w14:paraId="1ECFFBA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440" w:type="dxa"/>
          </w:tcPr>
          <w:p w14:paraId="2BF5C8C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20068102</w:t>
            </w:r>
          </w:p>
          <w:p w14:paraId="7BD13B28" w14:textId="5E12BB5B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D20A967" w14:textId="1C8C1398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Bauer JA, Chakravarthy AB, Rosenbluth JM, Mi D et al. Identification of markers of taxane sensitivity using proteomic and genomic analyses of breast tumors from patients receiving neoadjuvant paclitaxel and radiation. Clin Cancer Res 2010 Jan 15;16(2):681-90. </w:t>
            </w:r>
          </w:p>
        </w:tc>
      </w:tr>
      <w:tr w:rsidR="0066248C" w:rsidRPr="002548ED" w14:paraId="5937CAEC" w14:textId="77777777" w:rsidTr="003A1250">
        <w:tc>
          <w:tcPr>
            <w:tcW w:w="1415" w:type="dxa"/>
          </w:tcPr>
          <w:p w14:paraId="0F5FEEAC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E53E9F7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217BA4" w14:textId="77777777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21633166</w:t>
            </w:r>
          </w:p>
          <w:p w14:paraId="24438C63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7451FC77" w14:textId="77777777" w:rsidR="0066248C" w:rsidRPr="00C67BB1" w:rsidRDefault="0066248C" w:rsidP="0066248C">
            <w:pPr>
              <w:rPr>
                <w:rFonts w:cs="Arial"/>
                <w:sz w:val="20"/>
                <w:szCs w:val="20"/>
                <w:lang w:val="en-US"/>
              </w:rPr>
            </w:pPr>
            <w:r w:rsidRPr="0066248C">
              <w:rPr>
                <w:rFonts w:cs="Arial"/>
                <w:sz w:val="20"/>
                <w:szCs w:val="20"/>
              </w:rPr>
              <w:t xml:space="preserve">Lehmann BD, Bauer JA, Chen X, Sanders ME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Identification of human triple-negative breast cancer subtypes and preclinical models for selection of targeted therapies. J Clin Invest 2011 Jul;121(7):2750-67. </w:t>
            </w:r>
          </w:p>
          <w:p w14:paraId="4E6D7BEB" w14:textId="77777777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6248C" w:rsidRPr="002548ED" w14:paraId="0B43E9D6" w14:textId="77777777" w:rsidTr="003A1250">
        <w:tc>
          <w:tcPr>
            <w:tcW w:w="1415" w:type="dxa"/>
          </w:tcPr>
          <w:p w14:paraId="6B22079E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38B33E2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5225C3" w14:textId="0FAA8A66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20878462</w:t>
            </w:r>
          </w:p>
        </w:tc>
        <w:tc>
          <w:tcPr>
            <w:tcW w:w="4597" w:type="dxa"/>
          </w:tcPr>
          <w:p w14:paraId="107FA0AE" w14:textId="050E7FC2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Adams S, Chakravarthy AB, Donach M, Spicer D et al. Preoperative concurrent paclitaxel-radiation in locally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advanced breast cancer: pathologic response correlates with five-year overall survival. </w:t>
            </w:r>
            <w:r w:rsidRPr="002548ED">
              <w:rPr>
                <w:rFonts w:cs="Arial"/>
                <w:sz w:val="20"/>
                <w:szCs w:val="20"/>
              </w:rPr>
              <w:t>Breast Cancer Res Treat 2010 Dec;124(3):723-32.</w:t>
            </w:r>
          </w:p>
        </w:tc>
      </w:tr>
      <w:tr w:rsidR="00C67BB1" w:rsidRPr="002548ED" w14:paraId="355A463A" w14:textId="77777777" w:rsidTr="003A1250">
        <w:tc>
          <w:tcPr>
            <w:tcW w:w="1415" w:type="dxa"/>
          </w:tcPr>
          <w:p w14:paraId="48A5B6C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lastRenderedPageBreak/>
              <w:t>GSE22840</w:t>
            </w:r>
          </w:p>
        </w:tc>
        <w:tc>
          <w:tcPr>
            <w:tcW w:w="1558" w:type="dxa"/>
          </w:tcPr>
          <w:p w14:paraId="1861861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14:paraId="7062417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20799942</w:t>
            </w:r>
          </w:p>
        </w:tc>
        <w:tc>
          <w:tcPr>
            <w:tcW w:w="4597" w:type="dxa"/>
          </w:tcPr>
          <w:p w14:paraId="0475C6D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Hawthorn L, Luce J, Stein L, Rothschild J. Integration of transcript expression, copy number and LOH analysis of infiltrating ductal carcinoma of the breast. </w:t>
            </w:r>
            <w:r w:rsidRPr="002548ED">
              <w:rPr>
                <w:rFonts w:cs="Arial"/>
                <w:sz w:val="20"/>
                <w:szCs w:val="20"/>
              </w:rPr>
              <w:t xml:space="preserve">BMC Cancer 2010 Aug 27;10:460. </w:t>
            </w:r>
          </w:p>
        </w:tc>
      </w:tr>
      <w:tr w:rsidR="00C67BB1" w:rsidRPr="002548ED" w14:paraId="08D0C64A" w14:textId="77777777" w:rsidTr="003A1250">
        <w:tc>
          <w:tcPr>
            <w:tcW w:w="1415" w:type="dxa"/>
          </w:tcPr>
          <w:p w14:paraId="6344FF47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GSE23177</w:t>
            </w:r>
          </w:p>
        </w:tc>
        <w:tc>
          <w:tcPr>
            <w:tcW w:w="1558" w:type="dxa"/>
          </w:tcPr>
          <w:p w14:paraId="6902295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1440" w:type="dxa"/>
          </w:tcPr>
          <w:p w14:paraId="12F8298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21116709</w:t>
            </w:r>
          </w:p>
        </w:tc>
        <w:tc>
          <w:tcPr>
            <w:tcW w:w="4597" w:type="dxa"/>
          </w:tcPr>
          <w:p w14:paraId="555DC16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Smeets A, Daemen A, Vanden Bempt I, Gevaert O et al. Prediction of lymph node involvement in breast cancer from primary tumor tissue using gene expression profiling and miRNAs.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Treat 2011 Oct;129(3):767-76. </w:t>
            </w:r>
          </w:p>
        </w:tc>
      </w:tr>
      <w:tr w:rsidR="00C67BB1" w:rsidRPr="002548ED" w14:paraId="44541ADB" w14:textId="77777777" w:rsidTr="003A1250">
        <w:tc>
          <w:tcPr>
            <w:tcW w:w="1415" w:type="dxa"/>
          </w:tcPr>
          <w:p w14:paraId="4C53B7C2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GSE23593</w:t>
            </w:r>
          </w:p>
        </w:tc>
        <w:tc>
          <w:tcPr>
            <w:tcW w:w="1558" w:type="dxa"/>
          </w:tcPr>
          <w:p w14:paraId="42BD742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791CE9F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20368555</w:t>
            </w:r>
          </w:p>
        </w:tc>
        <w:tc>
          <w:tcPr>
            <w:tcW w:w="4597" w:type="dxa"/>
          </w:tcPr>
          <w:p w14:paraId="654933C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Barry WT, Kernagis DN, Dressman HK, Griffis RJ et al. Intratumor heterogeneity and precision of microarray-based predictors of breast cancer biology and clinical outcome. </w:t>
            </w:r>
            <w:r w:rsidRPr="002548ED">
              <w:rPr>
                <w:rFonts w:cs="Arial"/>
                <w:sz w:val="20"/>
                <w:szCs w:val="20"/>
              </w:rPr>
              <w:t xml:space="preserve">J Clin Oncol 2010 May 1;28(13):2198-206. </w:t>
            </w:r>
          </w:p>
        </w:tc>
      </w:tr>
      <w:tr w:rsidR="00C67BB1" w:rsidRPr="002548ED" w14:paraId="5BBE27D3" w14:textId="77777777" w:rsidTr="003A1250">
        <w:tc>
          <w:tcPr>
            <w:tcW w:w="1415" w:type="dxa"/>
          </w:tcPr>
          <w:p w14:paraId="69971AE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GSE23720</w:t>
            </w:r>
          </w:p>
        </w:tc>
        <w:tc>
          <w:tcPr>
            <w:tcW w:w="1558" w:type="dxa"/>
          </w:tcPr>
          <w:p w14:paraId="64F0C7F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440" w:type="dxa"/>
          </w:tcPr>
          <w:p w14:paraId="0435499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21339811</w:t>
            </w:r>
          </w:p>
          <w:p w14:paraId="368B95CC" w14:textId="762DA723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5CEBC3AA" w14:textId="706AB060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Bekhouche I, Finetti P, Adelaïde J, Ferrari A et al. High-resolution comparative genomic hybridization of inflammatory breast cancer and identification of candidate genes. PLoS One 2011 Feb 9;6(2):e16950. </w:t>
            </w:r>
          </w:p>
        </w:tc>
      </w:tr>
      <w:tr w:rsidR="0066248C" w:rsidRPr="002548ED" w14:paraId="25B4BD28" w14:textId="77777777" w:rsidTr="003A1250">
        <w:tc>
          <w:tcPr>
            <w:tcW w:w="1415" w:type="dxa"/>
          </w:tcPr>
          <w:p w14:paraId="04907645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515F9DA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D81180" w14:textId="77777777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22110708</w:t>
            </w:r>
          </w:p>
          <w:p w14:paraId="271EF04C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39E7B04C" w14:textId="77777777" w:rsidR="0066248C" w:rsidRPr="00C67BB1" w:rsidRDefault="0066248C" w:rsidP="0066248C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Sabatier R, Finetti P, Adelaide J, Guille A et al. Down-regulation of ECRG4, a candidate tumor suppressor gene, in human breast cancer. PLoS One 2011;6(11):e27656. </w:t>
            </w:r>
          </w:p>
          <w:p w14:paraId="68F54DC0" w14:textId="77777777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6248C" w:rsidRPr="002548ED" w14:paraId="5B275FAC" w14:textId="77777777" w:rsidTr="003A1250">
        <w:tc>
          <w:tcPr>
            <w:tcW w:w="1415" w:type="dxa"/>
          </w:tcPr>
          <w:p w14:paraId="2F9DF092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22ECFA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EA07CA" w14:textId="5071EA5E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22666420</w:t>
            </w:r>
          </w:p>
        </w:tc>
        <w:tc>
          <w:tcPr>
            <w:tcW w:w="4597" w:type="dxa"/>
          </w:tcPr>
          <w:p w14:paraId="4C39A979" w14:textId="0AFB9408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Bertucci F, Lagarde A, Ferrari A, Finetti P et al. 8q24 Cancer risk allele associated with major metastatic risk in inflammatory breast cancer. </w:t>
            </w:r>
            <w:r w:rsidRPr="002548ED">
              <w:rPr>
                <w:rFonts w:cs="Arial"/>
                <w:sz w:val="20"/>
                <w:szCs w:val="20"/>
              </w:rPr>
              <w:t>PLoS One 2012;7(5):e37943.</w:t>
            </w:r>
          </w:p>
        </w:tc>
      </w:tr>
      <w:tr w:rsidR="0066248C" w:rsidRPr="002548ED" w14:paraId="49E8151D" w14:textId="77777777" w:rsidTr="003A1250">
        <w:tc>
          <w:tcPr>
            <w:tcW w:w="1415" w:type="dxa"/>
          </w:tcPr>
          <w:p w14:paraId="290AA60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GSE26639</w:t>
            </w:r>
          </w:p>
        </w:tc>
        <w:tc>
          <w:tcPr>
            <w:tcW w:w="1558" w:type="dxa"/>
          </w:tcPr>
          <w:p w14:paraId="1890A60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1440" w:type="dxa"/>
          </w:tcPr>
          <w:p w14:paraId="003F011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21631949</w:t>
            </w:r>
          </w:p>
        </w:tc>
        <w:tc>
          <w:tcPr>
            <w:tcW w:w="4597" w:type="dxa"/>
          </w:tcPr>
          <w:p w14:paraId="0C1983F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de Cremoux P, Valet F, Gentien D, Lehmann-Che J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Importance of pre-analytical steps for transcriptome and RT-qPCR analyses in the context of the phase II randomised multicentre trial REMAGUS02 of neoadjuvant chemotherapy in breast cancer patients. </w:t>
            </w:r>
            <w:r w:rsidRPr="002548ED">
              <w:rPr>
                <w:rFonts w:cs="Arial"/>
                <w:sz w:val="20"/>
                <w:szCs w:val="20"/>
              </w:rPr>
              <w:t xml:space="preserve">BMC Cancer 2011 Jun 1;11:215. </w:t>
            </w:r>
          </w:p>
        </w:tc>
      </w:tr>
      <w:tr w:rsidR="0066248C" w:rsidRPr="002548ED" w14:paraId="5E7A1DB3" w14:textId="77777777" w:rsidTr="003A1250">
        <w:tc>
          <w:tcPr>
            <w:tcW w:w="1415" w:type="dxa"/>
          </w:tcPr>
          <w:p w14:paraId="677EC9D9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GSE54219</w:t>
            </w:r>
          </w:p>
        </w:tc>
        <w:tc>
          <w:tcPr>
            <w:tcW w:w="1558" w:type="dxa"/>
          </w:tcPr>
          <w:p w14:paraId="06126FF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440" w:type="dxa"/>
          </w:tcPr>
          <w:p w14:paraId="0C5DF9F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26553136</w:t>
            </w:r>
          </w:p>
          <w:p w14:paraId="260EEF37" w14:textId="7E67AAA0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5A03CA70" w14:textId="6938C788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Massink MP, Kooi IE, Martens JW, Waisfisz Q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Genomic profiling of CHEK2*1100delC-mutated breast carcinomas. </w:t>
            </w:r>
            <w:r w:rsidRPr="002548ED">
              <w:rPr>
                <w:rFonts w:cs="Arial"/>
                <w:sz w:val="20"/>
                <w:szCs w:val="20"/>
              </w:rPr>
              <w:t>BMC Cancer 2015 Nov 9;15:877.</w:t>
            </w:r>
          </w:p>
        </w:tc>
      </w:tr>
      <w:tr w:rsidR="0066248C" w:rsidRPr="002548ED" w14:paraId="7589C140" w14:textId="77777777" w:rsidTr="003A1250">
        <w:tc>
          <w:tcPr>
            <w:tcW w:w="1415" w:type="dxa"/>
          </w:tcPr>
          <w:p w14:paraId="0563AC2A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D074D0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2C7868" w14:textId="77777777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25616998</w:t>
            </w:r>
          </w:p>
          <w:p w14:paraId="671E3A2F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45169532" w14:textId="77777777" w:rsidR="0066248C" w:rsidRPr="00C67BB1" w:rsidRDefault="0066248C" w:rsidP="0066248C">
            <w:pPr>
              <w:rPr>
                <w:rFonts w:cs="Arial"/>
                <w:sz w:val="20"/>
                <w:szCs w:val="20"/>
                <w:lang w:val="en-US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Massink MP, Kooi IE, van Mil SE, Jordanova ES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Proper genomic profiling of (BRCA1-mutated) basal-like breast carcinomas requires prior removal of tumor infiltrating lymphocytes. Mol Oncol 2015 Apr;9(4):877-88. </w:t>
            </w:r>
          </w:p>
          <w:p w14:paraId="0DAB0920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</w:tr>
      <w:tr w:rsidR="0066248C" w:rsidRPr="002548ED" w14:paraId="29D01DFB" w14:textId="77777777" w:rsidTr="003A1250">
        <w:tc>
          <w:tcPr>
            <w:tcW w:w="1415" w:type="dxa"/>
          </w:tcPr>
          <w:p w14:paraId="1C6532BB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7E6DA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403EDE" w14:textId="6A09C8EA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21614566</w:t>
            </w:r>
          </w:p>
        </w:tc>
        <w:tc>
          <w:tcPr>
            <w:tcW w:w="4597" w:type="dxa"/>
          </w:tcPr>
          <w:p w14:paraId="3FB8A649" w14:textId="4573094E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66248C">
              <w:rPr>
                <w:rFonts w:cs="Arial"/>
                <w:sz w:val="20"/>
                <w:szCs w:val="20"/>
              </w:rPr>
              <w:t xml:space="preserve">Nagel JH, Peeters JK, Smid M, Sieuwerts AM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Gene expression profiling assigns CHEK2 1100delC breast cancers to the luminal intrinsic subtypes. </w:t>
            </w:r>
            <w:r w:rsidRPr="002548ED">
              <w:rPr>
                <w:rFonts w:cs="Arial"/>
                <w:sz w:val="20"/>
                <w:szCs w:val="20"/>
              </w:rPr>
              <w:t>Breast Cancer Res Treat 2012 Apr;132(2):439-48.</w:t>
            </w:r>
          </w:p>
        </w:tc>
      </w:tr>
      <w:tr w:rsidR="0066248C" w:rsidRPr="002548ED" w14:paraId="509F1A8C" w14:textId="77777777" w:rsidTr="003A1250">
        <w:tc>
          <w:tcPr>
            <w:tcW w:w="1415" w:type="dxa"/>
          </w:tcPr>
          <w:p w14:paraId="0DD2554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GSE28844</w:t>
            </w:r>
          </w:p>
        </w:tc>
        <w:tc>
          <w:tcPr>
            <w:tcW w:w="1558" w:type="dxa"/>
          </w:tcPr>
          <w:p w14:paraId="591DC12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</w:tcPr>
          <w:p w14:paraId="65870E5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23326553</w:t>
            </w:r>
          </w:p>
        </w:tc>
        <w:tc>
          <w:tcPr>
            <w:tcW w:w="4597" w:type="dxa"/>
          </w:tcPr>
          <w:p w14:paraId="093EFDE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Vera-Ramirez L, Sanchez-Rovira P, Ramirez-Tortosa CL, Quiles JL et al. Transcriptional shift identifies a set of genes driving breast cancer chemoresistance. </w:t>
            </w:r>
            <w:r w:rsidRPr="002548ED">
              <w:rPr>
                <w:rFonts w:cs="Arial"/>
                <w:sz w:val="20"/>
                <w:szCs w:val="20"/>
              </w:rPr>
              <w:t xml:space="preserve">PLoS One 2013;8(1):e53983. </w:t>
            </w:r>
          </w:p>
        </w:tc>
      </w:tr>
      <w:tr w:rsidR="0066248C" w:rsidRPr="002548ED" w14:paraId="16FA9592" w14:textId="77777777" w:rsidTr="003A1250">
        <w:tc>
          <w:tcPr>
            <w:tcW w:w="1415" w:type="dxa"/>
          </w:tcPr>
          <w:p w14:paraId="02CA5D5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GSE28796</w:t>
            </w:r>
          </w:p>
        </w:tc>
        <w:tc>
          <w:tcPr>
            <w:tcW w:w="1558" w:type="dxa"/>
          </w:tcPr>
          <w:p w14:paraId="286B2BA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14:paraId="3276216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21633166</w:t>
            </w:r>
          </w:p>
        </w:tc>
        <w:tc>
          <w:tcPr>
            <w:tcW w:w="4597" w:type="dxa"/>
          </w:tcPr>
          <w:p w14:paraId="78EC295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Lehmann BD, Bauer JA, Chen X, Sanders ME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Identification of human triple-negative breast cancer subtypes and preclinical models for selection of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targeted therapies. </w:t>
            </w:r>
            <w:r w:rsidRPr="002548ED">
              <w:rPr>
                <w:rFonts w:cs="Arial"/>
                <w:sz w:val="20"/>
                <w:szCs w:val="20"/>
              </w:rPr>
              <w:t xml:space="preserve">J Clin Invest 2011 Jul;121(7):2750-67. </w:t>
            </w:r>
          </w:p>
        </w:tc>
      </w:tr>
      <w:tr w:rsidR="0066248C" w:rsidRPr="002548ED" w14:paraId="76FBC911" w14:textId="77777777" w:rsidTr="003A1250">
        <w:tc>
          <w:tcPr>
            <w:tcW w:w="1415" w:type="dxa"/>
          </w:tcPr>
          <w:p w14:paraId="2648C6E6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lastRenderedPageBreak/>
              <w:t>GSE28821</w:t>
            </w:r>
          </w:p>
        </w:tc>
        <w:tc>
          <w:tcPr>
            <w:tcW w:w="1558" w:type="dxa"/>
          </w:tcPr>
          <w:p w14:paraId="51033C9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1440" w:type="dxa"/>
          </w:tcPr>
          <w:p w14:paraId="04397C2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21633166</w:t>
            </w:r>
          </w:p>
        </w:tc>
        <w:tc>
          <w:tcPr>
            <w:tcW w:w="4597" w:type="dxa"/>
          </w:tcPr>
          <w:p w14:paraId="2C5C963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Lehmann BD, Bauer JA, Chen X, Sanders ME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Identification of human triple-negative breast cancer subtypes and preclinical models for selection of targeted therapies. </w:t>
            </w:r>
            <w:r w:rsidRPr="002548ED">
              <w:rPr>
                <w:rFonts w:cs="Arial"/>
                <w:sz w:val="20"/>
                <w:szCs w:val="20"/>
              </w:rPr>
              <w:t xml:space="preserve">J Clin Invest 2011 Jul;121(7):2750-67. </w:t>
            </w:r>
          </w:p>
        </w:tc>
      </w:tr>
      <w:tr w:rsidR="0066248C" w:rsidRPr="002548ED" w14:paraId="64DB44D4" w14:textId="77777777" w:rsidTr="003A1250">
        <w:tc>
          <w:tcPr>
            <w:tcW w:w="1415" w:type="dxa"/>
          </w:tcPr>
          <w:p w14:paraId="345D928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GSE29044</w:t>
            </w:r>
          </w:p>
        </w:tc>
        <w:tc>
          <w:tcPr>
            <w:tcW w:w="1558" w:type="dxa"/>
          </w:tcPr>
          <w:p w14:paraId="04CA262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14:paraId="5A25432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23704896</w:t>
            </w:r>
          </w:p>
        </w:tc>
        <w:tc>
          <w:tcPr>
            <w:tcW w:w="4597" w:type="dxa"/>
          </w:tcPr>
          <w:p w14:paraId="628D615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Colak D, Nofal A, Albakheet A, Nirmal M et al. Age-specific gene expression signatures for breast tumors and cross-species conserved potential cancer progression markers in young women. </w:t>
            </w:r>
            <w:r w:rsidRPr="002548ED">
              <w:rPr>
                <w:rFonts w:cs="Arial"/>
                <w:sz w:val="20"/>
                <w:szCs w:val="20"/>
              </w:rPr>
              <w:t xml:space="preserve">PLoS One 2013;8(5):e63204. </w:t>
            </w:r>
          </w:p>
        </w:tc>
      </w:tr>
      <w:tr w:rsidR="0066248C" w:rsidRPr="00C67BB1" w14:paraId="79A5AFC3" w14:textId="77777777" w:rsidTr="003A1250">
        <w:tc>
          <w:tcPr>
            <w:tcW w:w="1415" w:type="dxa"/>
          </w:tcPr>
          <w:p w14:paraId="4AEC622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GSE29431</w:t>
            </w:r>
          </w:p>
        </w:tc>
        <w:tc>
          <w:tcPr>
            <w:tcW w:w="1558" w:type="dxa"/>
          </w:tcPr>
          <w:p w14:paraId="697DD2D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1B0EAB8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1CD6DB3F" w14:textId="77777777" w:rsidR="00C67BB1" w:rsidRPr="00C67BB1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>Cuadros M, Cano C, Lopez FJ, Blanco A, Concha A, 2011</w:t>
            </w:r>
          </w:p>
        </w:tc>
      </w:tr>
      <w:tr w:rsidR="0066248C" w:rsidRPr="002548ED" w14:paraId="251D6300" w14:textId="77777777" w:rsidTr="003A1250">
        <w:tc>
          <w:tcPr>
            <w:tcW w:w="1415" w:type="dxa"/>
          </w:tcPr>
          <w:p w14:paraId="6454CEA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GSE29832</w:t>
            </w:r>
          </w:p>
        </w:tc>
        <w:tc>
          <w:tcPr>
            <w:tcW w:w="1558" w:type="dxa"/>
          </w:tcPr>
          <w:p w14:paraId="24892F4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3DE81A6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22110609</w:t>
            </w:r>
          </w:p>
        </w:tc>
        <w:tc>
          <w:tcPr>
            <w:tcW w:w="4597" w:type="dxa"/>
          </w:tcPr>
          <w:p w14:paraId="0C4A9AB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Gong T, Hartmann N, Kohane IS, Brinkmann V et al. Optimal deconvolution of transcriptional profiling data using quadratic programming with application to complex clinical blood samples. </w:t>
            </w:r>
            <w:r w:rsidRPr="002548ED">
              <w:rPr>
                <w:rFonts w:cs="Arial"/>
                <w:sz w:val="20"/>
                <w:szCs w:val="20"/>
              </w:rPr>
              <w:t>PLoS One 2011;6(11):e27156.</w:t>
            </w:r>
          </w:p>
        </w:tc>
      </w:tr>
      <w:tr w:rsidR="0066248C" w:rsidRPr="002548ED" w14:paraId="38B91210" w14:textId="77777777" w:rsidTr="003A1250">
        <w:tc>
          <w:tcPr>
            <w:tcW w:w="1415" w:type="dxa"/>
          </w:tcPr>
          <w:p w14:paraId="736BC3A6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GSE31192</w:t>
            </w:r>
          </w:p>
        </w:tc>
        <w:tc>
          <w:tcPr>
            <w:tcW w:w="1558" w:type="dxa"/>
          </w:tcPr>
          <w:p w14:paraId="083DB08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14:paraId="41AA741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23479404</w:t>
            </w:r>
          </w:p>
        </w:tc>
        <w:tc>
          <w:tcPr>
            <w:tcW w:w="4597" w:type="dxa"/>
          </w:tcPr>
          <w:p w14:paraId="4333E3D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Harvell DM, Kim J, O'Brien J, Tan AC et al. Genomic signatures of pregnancy-associated breast cancer epithelia and stroma and their regulation by estrogens and progesterone. </w:t>
            </w:r>
            <w:r w:rsidRPr="002548ED">
              <w:rPr>
                <w:rFonts w:cs="Arial"/>
                <w:sz w:val="20"/>
                <w:szCs w:val="20"/>
              </w:rPr>
              <w:t xml:space="preserve">Horm Cancer 2013 Jun;4(3):140-53. </w:t>
            </w:r>
          </w:p>
        </w:tc>
      </w:tr>
      <w:tr w:rsidR="0066248C" w:rsidRPr="002548ED" w14:paraId="7642BBD4" w14:textId="77777777" w:rsidTr="003A1250">
        <w:tc>
          <w:tcPr>
            <w:tcW w:w="1415" w:type="dxa"/>
          </w:tcPr>
          <w:p w14:paraId="2EF6D0E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GSE31448</w:t>
            </w:r>
          </w:p>
        </w:tc>
        <w:tc>
          <w:tcPr>
            <w:tcW w:w="1558" w:type="dxa"/>
          </w:tcPr>
          <w:p w14:paraId="4DB9B0C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14:paraId="67C04B6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22110708</w:t>
            </w:r>
          </w:p>
        </w:tc>
        <w:tc>
          <w:tcPr>
            <w:tcW w:w="4597" w:type="dxa"/>
          </w:tcPr>
          <w:p w14:paraId="5719078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Sabatier R, Finetti P, Adelaide J, Guille A et al. Down-regulation of ECRG4, a candidate tumor suppressor gene, in human breast cancer. </w:t>
            </w:r>
            <w:r w:rsidRPr="002548ED">
              <w:rPr>
                <w:rFonts w:cs="Arial"/>
                <w:sz w:val="20"/>
                <w:szCs w:val="20"/>
              </w:rPr>
              <w:t>PLoS One 2011;6(11):e27656.</w:t>
            </w:r>
          </w:p>
        </w:tc>
      </w:tr>
      <w:tr w:rsidR="0066248C" w:rsidRPr="002548ED" w14:paraId="42A2276D" w14:textId="77777777" w:rsidTr="003A1250">
        <w:tc>
          <w:tcPr>
            <w:tcW w:w="1415" w:type="dxa"/>
          </w:tcPr>
          <w:p w14:paraId="792CA288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GSE32646</w:t>
            </w:r>
          </w:p>
        </w:tc>
        <w:tc>
          <w:tcPr>
            <w:tcW w:w="1558" w:type="dxa"/>
          </w:tcPr>
          <w:p w14:paraId="4064389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1440" w:type="dxa"/>
          </w:tcPr>
          <w:p w14:paraId="5FDCA69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22320227</w:t>
            </w:r>
          </w:p>
        </w:tc>
        <w:tc>
          <w:tcPr>
            <w:tcW w:w="4597" w:type="dxa"/>
          </w:tcPr>
          <w:p w14:paraId="2EEFDA9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Miyake T, Nakayama T, Naoi Y, Yamamoto N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GSTP1 expression predicts poor pathological complete response to neoadjuvant chemotherapy in ER-negative breast cancer. </w:t>
            </w:r>
            <w:r w:rsidRPr="002548ED">
              <w:rPr>
                <w:rFonts w:cs="Arial"/>
                <w:sz w:val="20"/>
                <w:szCs w:val="20"/>
              </w:rPr>
              <w:t>Cancer Sci 2012 May;103(5):913-20.</w:t>
            </w:r>
          </w:p>
        </w:tc>
      </w:tr>
      <w:tr w:rsidR="0066248C" w:rsidRPr="002548ED" w14:paraId="192D664A" w14:textId="77777777" w:rsidTr="003A1250">
        <w:tc>
          <w:tcPr>
            <w:tcW w:w="1415" w:type="dxa"/>
          </w:tcPr>
          <w:p w14:paraId="61CF6680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GSE33658</w:t>
            </w:r>
          </w:p>
        </w:tc>
        <w:tc>
          <w:tcPr>
            <w:tcW w:w="1558" w:type="dxa"/>
          </w:tcPr>
          <w:p w14:paraId="6C9C178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14:paraId="3B3FD73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21792626</w:t>
            </w:r>
          </w:p>
        </w:tc>
        <w:tc>
          <w:tcPr>
            <w:tcW w:w="4597" w:type="dxa"/>
          </w:tcPr>
          <w:p w14:paraId="1B2FF09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Massarweh S, Tham YL, Huang J, Sexton K et al. A phase II neoadjuvant trial of anastrozole, fulvestrant, and gefitinib in patients with newly diagnosed estrogen receptor positive breast cancer.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Treat 2011 Oct;129(3):819-27. </w:t>
            </w:r>
          </w:p>
        </w:tc>
      </w:tr>
      <w:tr w:rsidR="0066248C" w:rsidRPr="002548ED" w14:paraId="38451637" w14:textId="77777777" w:rsidTr="003A1250">
        <w:tc>
          <w:tcPr>
            <w:tcW w:w="1415" w:type="dxa"/>
          </w:tcPr>
          <w:p w14:paraId="7DB9D668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GSE35925</w:t>
            </w:r>
          </w:p>
        </w:tc>
        <w:tc>
          <w:tcPr>
            <w:tcW w:w="1558" w:type="dxa"/>
          </w:tcPr>
          <w:p w14:paraId="5D63567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14:paraId="46F897F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23623780</w:t>
            </w:r>
          </w:p>
        </w:tc>
        <w:tc>
          <w:tcPr>
            <w:tcW w:w="4597" w:type="dxa"/>
          </w:tcPr>
          <w:p w14:paraId="49EA302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Urata YN, Lyra EC, Katayama ML, Basso RA et al. Calcitriol supplementation effects on Ki67 expression and transcriptional profile of breast cancer specimens from post-menopausal patients. </w:t>
            </w:r>
            <w:r w:rsidRPr="002548ED">
              <w:rPr>
                <w:rFonts w:cs="Arial"/>
                <w:sz w:val="20"/>
                <w:szCs w:val="20"/>
              </w:rPr>
              <w:t>Clin Nutr 2014 Feb;33(1):136-42.</w:t>
            </w:r>
          </w:p>
        </w:tc>
      </w:tr>
      <w:tr w:rsidR="0066248C" w:rsidRPr="002548ED" w14:paraId="52F4D53C" w14:textId="77777777" w:rsidTr="003A1250">
        <w:tc>
          <w:tcPr>
            <w:tcW w:w="1415" w:type="dxa"/>
          </w:tcPr>
          <w:p w14:paraId="4D72069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GSE36774</w:t>
            </w:r>
          </w:p>
        </w:tc>
        <w:tc>
          <w:tcPr>
            <w:tcW w:w="1558" w:type="dxa"/>
          </w:tcPr>
          <w:p w14:paraId="2A74653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106</w:t>
            </w:r>
          </w:p>
        </w:tc>
        <w:tc>
          <w:tcPr>
            <w:tcW w:w="1440" w:type="dxa"/>
          </w:tcPr>
          <w:p w14:paraId="4E5BC0F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31061F8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2548ED">
              <w:rPr>
                <w:rFonts w:cs="Arial"/>
                <w:sz w:val="20"/>
                <w:szCs w:val="20"/>
              </w:rPr>
              <w:t>Cris Print 2012</w:t>
            </w:r>
          </w:p>
        </w:tc>
      </w:tr>
      <w:tr w:rsidR="0066248C" w:rsidRPr="002548ED" w14:paraId="5C029EC8" w14:textId="77777777" w:rsidTr="003A1250">
        <w:tc>
          <w:tcPr>
            <w:tcW w:w="1415" w:type="dxa"/>
          </w:tcPr>
          <w:p w14:paraId="15A5526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GSE40837</w:t>
            </w:r>
          </w:p>
        </w:tc>
        <w:tc>
          <w:tcPr>
            <w:tcW w:w="1558" w:type="dxa"/>
          </w:tcPr>
          <w:p w14:paraId="02576A6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E99A63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24826798</w:t>
            </w:r>
          </w:p>
        </w:tc>
        <w:tc>
          <w:tcPr>
            <w:tcW w:w="4597" w:type="dxa"/>
          </w:tcPr>
          <w:p w14:paraId="178B748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Massarweh S, Moss J, Wang C, Romond E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Impact of adding the multikinase inhibitor sorafenib to endocrine therapy in metastatic estrogen receptor-positive breast cancer. </w:t>
            </w:r>
            <w:r w:rsidRPr="002548ED">
              <w:rPr>
                <w:rFonts w:cs="Arial"/>
                <w:sz w:val="20"/>
                <w:szCs w:val="20"/>
              </w:rPr>
              <w:t xml:space="preserve">Future Oncol 2014 Dec;10(15):2435-48. </w:t>
            </w:r>
          </w:p>
        </w:tc>
      </w:tr>
      <w:tr w:rsidR="0066248C" w:rsidRPr="002548ED" w14:paraId="465670E2" w14:textId="77777777" w:rsidTr="003A1250">
        <w:tc>
          <w:tcPr>
            <w:tcW w:w="1415" w:type="dxa"/>
          </w:tcPr>
          <w:p w14:paraId="6B9257E3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GSE42568</w:t>
            </w:r>
          </w:p>
        </w:tc>
        <w:tc>
          <w:tcPr>
            <w:tcW w:w="1558" w:type="dxa"/>
          </w:tcPr>
          <w:p w14:paraId="68429B9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101</w:t>
            </w:r>
          </w:p>
        </w:tc>
        <w:tc>
          <w:tcPr>
            <w:tcW w:w="1440" w:type="dxa"/>
          </w:tcPr>
          <w:p w14:paraId="5E58FBD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23740839</w:t>
            </w:r>
          </w:p>
        </w:tc>
        <w:tc>
          <w:tcPr>
            <w:tcW w:w="4597" w:type="dxa"/>
          </w:tcPr>
          <w:p w14:paraId="16C2B2E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Clarke C, Madden SF, Doolan P, Aherne ST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Correlating transcriptional networks to breast cancer survival: a large-scale coexpression analysis. </w:t>
            </w:r>
            <w:r w:rsidRPr="002548ED">
              <w:rPr>
                <w:rFonts w:cs="Arial"/>
                <w:sz w:val="20"/>
                <w:szCs w:val="20"/>
              </w:rPr>
              <w:t xml:space="preserve">Carcinogenesis 2013 Oct;34(10):2300-8. </w:t>
            </w:r>
          </w:p>
        </w:tc>
      </w:tr>
      <w:tr w:rsidR="0066248C" w:rsidRPr="002548ED" w14:paraId="537E195C" w14:textId="77777777" w:rsidTr="003A1250">
        <w:tc>
          <w:tcPr>
            <w:tcW w:w="1415" w:type="dxa"/>
          </w:tcPr>
          <w:p w14:paraId="7D35589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GSE43358</w:t>
            </w:r>
          </w:p>
        </w:tc>
        <w:tc>
          <w:tcPr>
            <w:tcW w:w="1558" w:type="dxa"/>
          </w:tcPr>
          <w:p w14:paraId="029414BD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14:paraId="05EC4A9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25412710</w:t>
            </w:r>
          </w:p>
          <w:p w14:paraId="54F6319D" w14:textId="27E276A8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7E5D11BA" w14:textId="44BAC4F6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Fumagalli D, Blanchet-Cohen A, Brown D, Desmedt C et al. Transfer of clinically relevant gene expression signatures in breast cancer: from Affymetrix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microarray to Illumina RNA-Sequencing technology. BMC Genomics 2014 Nov 21;15:1008. </w:t>
            </w:r>
          </w:p>
        </w:tc>
      </w:tr>
      <w:tr w:rsidR="0066248C" w:rsidRPr="002548ED" w14:paraId="4DF9BD28" w14:textId="77777777" w:rsidTr="003A1250">
        <w:tc>
          <w:tcPr>
            <w:tcW w:w="1415" w:type="dxa"/>
          </w:tcPr>
          <w:p w14:paraId="63F02535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ED043E4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C928F0" w14:textId="35EECED8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26440892</w:t>
            </w:r>
          </w:p>
        </w:tc>
        <w:tc>
          <w:tcPr>
            <w:tcW w:w="4597" w:type="dxa"/>
          </w:tcPr>
          <w:p w14:paraId="4E347859" w14:textId="1D1B8B46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Fumagalli D, Gacquer D, Rothé F, Lefort A et al. Principles Governing A-to-I RNA Editing in the Breast Cancer Transcriptome. </w:t>
            </w:r>
            <w:r w:rsidRPr="002548ED">
              <w:rPr>
                <w:rFonts w:cs="Arial"/>
                <w:sz w:val="20"/>
                <w:szCs w:val="20"/>
              </w:rPr>
              <w:t>Cell Rep 2015 Oct 13;13(2):277-89.</w:t>
            </w:r>
          </w:p>
        </w:tc>
      </w:tr>
      <w:tr w:rsidR="0066248C" w:rsidRPr="002548ED" w14:paraId="38BFEFF6" w14:textId="77777777" w:rsidTr="003A1250">
        <w:tc>
          <w:tcPr>
            <w:tcW w:w="1415" w:type="dxa"/>
          </w:tcPr>
          <w:p w14:paraId="279FC3F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GSE43365</w:t>
            </w:r>
          </w:p>
        </w:tc>
        <w:tc>
          <w:tcPr>
            <w:tcW w:w="1558" w:type="dxa"/>
          </w:tcPr>
          <w:p w14:paraId="372D1FD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1440" w:type="dxa"/>
          </w:tcPr>
          <w:p w14:paraId="592B376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23990869</w:t>
            </w:r>
          </w:p>
        </w:tc>
        <w:tc>
          <w:tcPr>
            <w:tcW w:w="4597" w:type="dxa"/>
          </w:tcPr>
          <w:p w14:paraId="69FA0C8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Metzger-Filho O, Catteau A, Michiels S, Buyse M et al. Genomic Grade Index (GGI): feasibility in routine practice and impact on treatment decisions in early breast cancer. </w:t>
            </w:r>
            <w:r w:rsidRPr="002548ED">
              <w:rPr>
                <w:rFonts w:cs="Arial"/>
                <w:sz w:val="20"/>
                <w:szCs w:val="20"/>
              </w:rPr>
              <w:t xml:space="preserve">PLoS One 2013;8(8):e66848. </w:t>
            </w:r>
          </w:p>
        </w:tc>
      </w:tr>
      <w:tr w:rsidR="0066248C" w:rsidRPr="002548ED" w14:paraId="3E94AFA1" w14:textId="77777777" w:rsidTr="003A1250">
        <w:tc>
          <w:tcPr>
            <w:tcW w:w="1415" w:type="dxa"/>
          </w:tcPr>
          <w:p w14:paraId="36658470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GSE43502</w:t>
            </w:r>
          </w:p>
        </w:tc>
        <w:tc>
          <w:tcPr>
            <w:tcW w:w="1558" w:type="dxa"/>
          </w:tcPr>
          <w:p w14:paraId="6F968EE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7DF457E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23549873</w:t>
            </w:r>
          </w:p>
        </w:tc>
        <w:tc>
          <w:tcPr>
            <w:tcW w:w="4597" w:type="dxa"/>
          </w:tcPr>
          <w:p w14:paraId="21DD370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Yu KD, Zhu R, Zhan M, Rodriguez AA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Identification of prognosis-relevant subgroups in patients with chemoresistant triple-negative breast cancer. </w:t>
            </w:r>
            <w:r w:rsidRPr="002548ED">
              <w:rPr>
                <w:rFonts w:cs="Arial"/>
                <w:sz w:val="20"/>
                <w:szCs w:val="20"/>
              </w:rPr>
              <w:t xml:space="preserve">Clin Cancer Res 2013 May 15;19(10):2723-33. </w:t>
            </w:r>
          </w:p>
        </w:tc>
      </w:tr>
      <w:tr w:rsidR="0066248C" w:rsidRPr="002548ED" w14:paraId="6C130ADA" w14:textId="77777777" w:rsidTr="003A1250">
        <w:tc>
          <w:tcPr>
            <w:tcW w:w="1415" w:type="dxa"/>
          </w:tcPr>
          <w:p w14:paraId="6922942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GSE45827</w:t>
            </w:r>
          </w:p>
        </w:tc>
        <w:tc>
          <w:tcPr>
            <w:tcW w:w="1558" w:type="dxa"/>
          </w:tcPr>
          <w:p w14:paraId="6E9A356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1440" w:type="dxa"/>
          </w:tcPr>
          <w:p w14:paraId="2D002BE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27006338</w:t>
            </w:r>
          </w:p>
        </w:tc>
        <w:tc>
          <w:tcPr>
            <w:tcW w:w="4597" w:type="dxa"/>
          </w:tcPr>
          <w:p w14:paraId="7AA020B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Gruosso T, Mieulet V, Cardon M, Bourachot B et al. Chronic oxidative stress promotes H2AX protein degradation and enhances chemosensitivity in breast cancer patients. </w:t>
            </w:r>
            <w:r w:rsidRPr="002548ED">
              <w:rPr>
                <w:rFonts w:cs="Arial"/>
                <w:sz w:val="20"/>
                <w:szCs w:val="20"/>
              </w:rPr>
              <w:t xml:space="preserve">EMBO Mol Med 2016 May;8(5):527-49. </w:t>
            </w:r>
          </w:p>
        </w:tc>
      </w:tr>
      <w:tr w:rsidR="0066248C" w:rsidRPr="00C67BB1" w14:paraId="1D32E4E6" w14:textId="77777777" w:rsidTr="003A1250">
        <w:tc>
          <w:tcPr>
            <w:tcW w:w="1415" w:type="dxa"/>
          </w:tcPr>
          <w:p w14:paraId="31944468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GSE46222</w:t>
            </w:r>
          </w:p>
        </w:tc>
        <w:tc>
          <w:tcPr>
            <w:tcW w:w="1558" w:type="dxa"/>
          </w:tcPr>
          <w:p w14:paraId="2011235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14:paraId="4C84DCF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201D4027" w14:textId="77777777" w:rsidR="00C67BB1" w:rsidRPr="00C67BB1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>Cho Y, Jin L, Riggins RB, Xuan J, Liu M, Clarke R, 2015</w:t>
            </w:r>
          </w:p>
        </w:tc>
      </w:tr>
      <w:tr w:rsidR="0066248C" w:rsidRPr="002548ED" w14:paraId="50B3BC3A" w14:textId="77777777" w:rsidTr="003A1250">
        <w:tc>
          <w:tcPr>
            <w:tcW w:w="1415" w:type="dxa"/>
          </w:tcPr>
          <w:p w14:paraId="4483FF08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GSE47389</w:t>
            </w:r>
          </w:p>
        </w:tc>
        <w:tc>
          <w:tcPr>
            <w:tcW w:w="1558" w:type="dxa"/>
          </w:tcPr>
          <w:p w14:paraId="16DBA79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440" w:type="dxa"/>
          </w:tcPr>
          <w:p w14:paraId="03B8B22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23993096</w:t>
            </w:r>
          </w:p>
        </w:tc>
        <w:tc>
          <w:tcPr>
            <w:tcW w:w="4597" w:type="dxa"/>
          </w:tcPr>
          <w:p w14:paraId="5F9776C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Zhang XH, Jin X, Malladi S, Zou Y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Selection of bone metastasis seeds by mesenchymal signals in the primary tumor stroma. </w:t>
            </w:r>
            <w:r w:rsidRPr="002548ED">
              <w:rPr>
                <w:rFonts w:cs="Arial"/>
                <w:sz w:val="20"/>
                <w:szCs w:val="20"/>
              </w:rPr>
              <w:t xml:space="preserve">Cell 2013 Aug 29;154(5):1060-1073. </w:t>
            </w:r>
          </w:p>
        </w:tc>
      </w:tr>
      <w:tr w:rsidR="0066248C" w:rsidRPr="002548ED" w14:paraId="05569B96" w14:textId="77777777" w:rsidTr="003A1250">
        <w:tc>
          <w:tcPr>
            <w:tcW w:w="1415" w:type="dxa"/>
          </w:tcPr>
          <w:p w14:paraId="1A48EF6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GSE48391</w:t>
            </w:r>
          </w:p>
        </w:tc>
        <w:tc>
          <w:tcPr>
            <w:tcW w:w="1558" w:type="dxa"/>
          </w:tcPr>
          <w:p w14:paraId="7B15700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440" w:type="dxa"/>
          </w:tcPr>
          <w:p w14:paraId="0077911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24098497</w:t>
            </w:r>
          </w:p>
        </w:tc>
        <w:tc>
          <w:tcPr>
            <w:tcW w:w="4597" w:type="dxa"/>
          </w:tcPr>
          <w:p w14:paraId="0604E87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Huang CC, Tu SH, Lien HH, Jeng JY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Concurrent gene signatures for han chinese breast cancers. </w:t>
            </w:r>
            <w:r w:rsidRPr="002548ED">
              <w:rPr>
                <w:rFonts w:cs="Arial"/>
                <w:sz w:val="20"/>
                <w:szCs w:val="20"/>
              </w:rPr>
              <w:t xml:space="preserve">PLoS One 2013;8(10):e76421. </w:t>
            </w:r>
          </w:p>
        </w:tc>
      </w:tr>
      <w:tr w:rsidR="0066248C" w:rsidRPr="002548ED" w14:paraId="2CBA4834" w14:textId="77777777" w:rsidTr="003A1250">
        <w:tc>
          <w:tcPr>
            <w:tcW w:w="1415" w:type="dxa"/>
          </w:tcPr>
          <w:p w14:paraId="669B889D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GSE50567</w:t>
            </w:r>
          </w:p>
        </w:tc>
        <w:tc>
          <w:tcPr>
            <w:tcW w:w="1558" w:type="dxa"/>
          </w:tcPr>
          <w:p w14:paraId="77D4D5A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14:paraId="3B15AEF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21196292</w:t>
            </w:r>
          </w:p>
        </w:tc>
        <w:tc>
          <w:tcPr>
            <w:tcW w:w="4597" w:type="dxa"/>
          </w:tcPr>
          <w:p w14:paraId="49E68CF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Lisowska KM, Dudaladava V, Jarzab M, Huzarski T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BRCA1-related gene signature in breast cancer: the role of ER status and molecular type. </w:t>
            </w:r>
            <w:r w:rsidRPr="002548ED">
              <w:rPr>
                <w:rFonts w:cs="Arial"/>
                <w:sz w:val="20"/>
                <w:szCs w:val="20"/>
              </w:rPr>
              <w:t xml:space="preserve">Front Biosci (Elite Ed) 2011 Jan 1;3:125-36. </w:t>
            </w:r>
          </w:p>
        </w:tc>
      </w:tr>
      <w:tr w:rsidR="0066248C" w:rsidRPr="002548ED" w14:paraId="46E53C96" w14:textId="77777777" w:rsidTr="003A1250">
        <w:tc>
          <w:tcPr>
            <w:tcW w:w="1415" w:type="dxa"/>
          </w:tcPr>
          <w:p w14:paraId="0170CB63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GSE52322</w:t>
            </w:r>
          </w:p>
        </w:tc>
        <w:tc>
          <w:tcPr>
            <w:tcW w:w="1558" w:type="dxa"/>
          </w:tcPr>
          <w:p w14:paraId="5F3735E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</w:tcPr>
          <w:p w14:paraId="641CE8A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16467094</w:t>
            </w:r>
          </w:p>
          <w:p w14:paraId="4416BB11" w14:textId="467E3C33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87C62C1" w14:textId="4C530FF5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Dressman HK, Hans C, Bild A, Olson JA et al. Gene expression profiles of multiple breast cancer phenotypes and response to neoadjuvant chemotherapy. Clin Cancer Res 2006 Feb 1;12(3 Pt 1):819-26. </w:t>
            </w:r>
          </w:p>
        </w:tc>
      </w:tr>
      <w:tr w:rsidR="0066248C" w:rsidRPr="002548ED" w14:paraId="53DDDBB4" w14:textId="77777777" w:rsidTr="003A1250">
        <w:tc>
          <w:tcPr>
            <w:tcW w:w="1415" w:type="dxa"/>
          </w:tcPr>
          <w:p w14:paraId="07517F5F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C902232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CCB55" w14:textId="73D84A3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25811737</w:t>
            </w:r>
          </w:p>
        </w:tc>
        <w:tc>
          <w:tcPr>
            <w:tcW w:w="4597" w:type="dxa"/>
          </w:tcPr>
          <w:p w14:paraId="6E913652" w14:textId="775328D9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Siamakpour-Reihani S, Owzar K, Jiang C, Scarbrough PM et al. Genomic profiling in locally advanced and inflammatory breast cancer and its link to DCE-MRI and overall survival. </w:t>
            </w:r>
            <w:r w:rsidRPr="002548ED">
              <w:rPr>
                <w:rFonts w:cs="Arial"/>
                <w:sz w:val="20"/>
                <w:szCs w:val="20"/>
              </w:rPr>
              <w:t>Int J Hyperthermia 2015 Jun;31(4):386-95.</w:t>
            </w:r>
          </w:p>
        </w:tc>
      </w:tr>
      <w:tr w:rsidR="0066248C" w:rsidRPr="002548ED" w14:paraId="21799E0F" w14:textId="77777777" w:rsidTr="003A1250">
        <w:tc>
          <w:tcPr>
            <w:tcW w:w="1415" w:type="dxa"/>
          </w:tcPr>
          <w:p w14:paraId="6352225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GSE52327</w:t>
            </w:r>
          </w:p>
        </w:tc>
        <w:tc>
          <w:tcPr>
            <w:tcW w:w="1558" w:type="dxa"/>
          </w:tcPr>
          <w:p w14:paraId="60FCCB0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14:paraId="5D06DBA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24511467</w:t>
            </w:r>
          </w:p>
        </w:tc>
        <w:tc>
          <w:tcPr>
            <w:tcW w:w="4597" w:type="dxa"/>
          </w:tcPr>
          <w:p w14:paraId="6B25BAB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Liu S, Cong Y, Wang D, Sun Y et al. Breast cancer stem cells transition between epithelial and mesenchymal states reflective of their normal counterparts. </w:t>
            </w:r>
            <w:r w:rsidRPr="002548ED">
              <w:rPr>
                <w:rFonts w:cs="Arial"/>
                <w:sz w:val="20"/>
                <w:szCs w:val="20"/>
              </w:rPr>
              <w:t xml:space="preserve">Stem Cell Reports 2014 Jan 14;2(1):78-91. </w:t>
            </w:r>
          </w:p>
        </w:tc>
      </w:tr>
      <w:tr w:rsidR="0066248C" w:rsidRPr="002548ED" w14:paraId="5641D5C1" w14:textId="77777777" w:rsidTr="003A1250">
        <w:tc>
          <w:tcPr>
            <w:tcW w:w="1415" w:type="dxa"/>
          </w:tcPr>
          <w:p w14:paraId="51B15E52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GSE54002</w:t>
            </w:r>
          </w:p>
        </w:tc>
        <w:tc>
          <w:tcPr>
            <w:tcW w:w="1558" w:type="dxa"/>
          </w:tcPr>
          <w:p w14:paraId="1C7C447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417</w:t>
            </w:r>
          </w:p>
        </w:tc>
        <w:tc>
          <w:tcPr>
            <w:tcW w:w="1440" w:type="dxa"/>
          </w:tcPr>
          <w:p w14:paraId="665B201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25214461</w:t>
            </w:r>
          </w:p>
        </w:tc>
        <w:tc>
          <w:tcPr>
            <w:tcW w:w="4597" w:type="dxa"/>
          </w:tcPr>
          <w:p w14:paraId="50EAAED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Tan TZ, Miow QH, Miki Y, Noda T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Epithelial-mesenchymal transition spectrum quantification and its efficacy in deciphering survival and drug responses of cancer patients. </w:t>
            </w:r>
            <w:r w:rsidRPr="002548ED">
              <w:rPr>
                <w:rFonts w:cs="Arial"/>
                <w:sz w:val="20"/>
                <w:szCs w:val="20"/>
              </w:rPr>
              <w:t xml:space="preserve">EMBO Mol Med 2014 Oct;6(10):1279-93. </w:t>
            </w:r>
          </w:p>
        </w:tc>
      </w:tr>
      <w:tr w:rsidR="0066248C" w:rsidRPr="002548ED" w14:paraId="3D43FAA1" w14:textId="77777777" w:rsidTr="003A1250">
        <w:tc>
          <w:tcPr>
            <w:tcW w:w="1415" w:type="dxa"/>
          </w:tcPr>
          <w:p w14:paraId="36B225AE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GSE58792</w:t>
            </w:r>
          </w:p>
        </w:tc>
        <w:tc>
          <w:tcPr>
            <w:tcW w:w="1558" w:type="dxa"/>
          </w:tcPr>
          <w:p w14:paraId="6B5C528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2548ED">
              <w:rPr>
                <w:rFonts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40" w:type="dxa"/>
          </w:tcPr>
          <w:p w14:paraId="4FD63E4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25190728</w:t>
            </w:r>
          </w:p>
        </w:tc>
        <w:tc>
          <w:tcPr>
            <w:tcW w:w="4597" w:type="dxa"/>
          </w:tcPr>
          <w:p w14:paraId="69214AE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Shike M, Doane AS, Russo L, Cabal R et al. The effects of soy supplementation on gene expression in breast cancer: a randomized placebo-controlled study. </w:t>
            </w:r>
            <w:r w:rsidRPr="002548ED">
              <w:rPr>
                <w:rFonts w:cs="Arial"/>
                <w:sz w:val="20"/>
                <w:szCs w:val="20"/>
              </w:rPr>
              <w:t>J Natl Cancer Inst 2014 Sep;106(9). PMID: 25190728</w:t>
            </w:r>
          </w:p>
        </w:tc>
      </w:tr>
      <w:tr w:rsidR="0066248C" w:rsidRPr="002548ED" w14:paraId="4EAF35C2" w14:textId="77777777" w:rsidTr="003A1250">
        <w:tc>
          <w:tcPr>
            <w:tcW w:w="1415" w:type="dxa"/>
          </w:tcPr>
          <w:p w14:paraId="73F2C37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GSE103091</w:t>
            </w:r>
          </w:p>
        </w:tc>
        <w:tc>
          <w:tcPr>
            <w:tcW w:w="1558" w:type="dxa"/>
          </w:tcPr>
          <w:p w14:paraId="4342537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1440" w:type="dxa"/>
          </w:tcPr>
          <w:p w14:paraId="62882FB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25887482</w:t>
            </w:r>
          </w:p>
          <w:p w14:paraId="1D9BE151" w14:textId="3D90FF4E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0A0AA3A" w14:textId="3D2D03D7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Jézéquel P, Loussouarn D, Guérin-Charbonnel C, Campion L et al. Gene-expression molecular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subtyping of triple-negative breast cancer tumours: importance of immune response. Breast Cancer Res 2015 Mar 20;17:43. </w:t>
            </w:r>
          </w:p>
        </w:tc>
      </w:tr>
      <w:tr w:rsidR="0066248C" w:rsidRPr="002548ED" w14:paraId="40C1FC35" w14:textId="77777777" w:rsidTr="003A1250">
        <w:tc>
          <w:tcPr>
            <w:tcW w:w="1415" w:type="dxa"/>
          </w:tcPr>
          <w:p w14:paraId="3DC5826D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D2969F6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D2DE75" w14:textId="7E9F2DFF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31101122</w:t>
            </w:r>
          </w:p>
        </w:tc>
        <w:tc>
          <w:tcPr>
            <w:tcW w:w="4597" w:type="dxa"/>
          </w:tcPr>
          <w:p w14:paraId="6CACEB0B" w14:textId="36C4F663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66248C">
              <w:rPr>
                <w:rFonts w:cs="Arial"/>
                <w:sz w:val="20"/>
                <w:szCs w:val="20"/>
              </w:rPr>
              <w:t xml:space="preserve">Jézéquel P, Kerdraon O, Hondermarck H, Guérin-Charbonnel C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Identification of three subtypes of triple-negative breast cancer with potential therapeutic implications. </w:t>
            </w:r>
            <w:r w:rsidRPr="002548ED">
              <w:rPr>
                <w:rFonts w:cs="Arial"/>
                <w:sz w:val="20"/>
                <w:szCs w:val="20"/>
              </w:rPr>
              <w:t>Breast Cancer Res 2019 May 17;21(1):65.</w:t>
            </w:r>
          </w:p>
        </w:tc>
      </w:tr>
      <w:tr w:rsidR="0066248C" w:rsidRPr="002548ED" w14:paraId="7E10829E" w14:textId="77777777" w:rsidTr="003A1250">
        <w:tc>
          <w:tcPr>
            <w:tcW w:w="1415" w:type="dxa"/>
          </w:tcPr>
          <w:p w14:paraId="32AE2047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GSE58984</w:t>
            </w:r>
          </w:p>
        </w:tc>
        <w:tc>
          <w:tcPr>
            <w:tcW w:w="1558" w:type="dxa"/>
          </w:tcPr>
          <w:p w14:paraId="5D19249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94</w:t>
            </w:r>
          </w:p>
        </w:tc>
        <w:tc>
          <w:tcPr>
            <w:tcW w:w="1440" w:type="dxa"/>
          </w:tcPr>
          <w:p w14:paraId="289DF57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4EDFE2E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Fumagalli D, Loi S, Majjaj S, Neven P, Loibl S, Denkert C, Sotiriou C, 2016</w:t>
            </w:r>
          </w:p>
        </w:tc>
      </w:tr>
      <w:tr w:rsidR="0066248C" w:rsidRPr="002548ED" w14:paraId="2299AC25" w14:textId="77777777" w:rsidTr="003A1250">
        <w:tc>
          <w:tcPr>
            <w:tcW w:w="1415" w:type="dxa"/>
          </w:tcPr>
          <w:p w14:paraId="5A6FEB45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GSE61304</w:t>
            </w:r>
          </w:p>
        </w:tc>
        <w:tc>
          <w:tcPr>
            <w:tcW w:w="1558" w:type="dxa"/>
          </w:tcPr>
          <w:p w14:paraId="12A1AA4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1440" w:type="dxa"/>
          </w:tcPr>
          <w:p w14:paraId="5F0E5B6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26517092</w:t>
            </w:r>
          </w:p>
          <w:p w14:paraId="44D66B8B" w14:textId="08324DFC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06E88DEF" w14:textId="4CD8EF5A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Grinchuk OV, Motakis E, Yenamandra SP, Ow GS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Sense-antisense gene-pairs in breast cancer and associated pathological pathways. Oncotarget 2015 Dec 8;6(39):42197-221. </w:t>
            </w:r>
          </w:p>
        </w:tc>
      </w:tr>
      <w:tr w:rsidR="0066248C" w:rsidRPr="002548ED" w14:paraId="4F1B634F" w14:textId="77777777" w:rsidTr="003A1250">
        <w:tc>
          <w:tcPr>
            <w:tcW w:w="1415" w:type="dxa"/>
          </w:tcPr>
          <w:p w14:paraId="2C8ABA75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1FE940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4438C8" w14:textId="0CE66802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26474389</w:t>
            </w:r>
          </w:p>
        </w:tc>
        <w:tc>
          <w:tcPr>
            <w:tcW w:w="4597" w:type="dxa"/>
          </w:tcPr>
          <w:p w14:paraId="74432626" w14:textId="2E13E8DB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66248C">
              <w:rPr>
                <w:rFonts w:cs="Arial"/>
                <w:sz w:val="20"/>
                <w:szCs w:val="20"/>
              </w:rPr>
              <w:t xml:space="preserve">Aswad L, Yenamandra SP, Ow GS, Grinchuk O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Genome and transcriptome delineation of two major oncogenic pathways governing invasive ductal breast cancer development. </w:t>
            </w:r>
            <w:r w:rsidRPr="002548ED">
              <w:rPr>
                <w:rFonts w:cs="Arial"/>
                <w:sz w:val="20"/>
                <w:szCs w:val="20"/>
              </w:rPr>
              <w:t>Oncotarget 2015 Nov 3;6(34):36652-74.</w:t>
            </w:r>
          </w:p>
        </w:tc>
      </w:tr>
      <w:tr w:rsidR="0066248C" w:rsidRPr="002548ED" w14:paraId="7157D9D0" w14:textId="77777777" w:rsidTr="003A1250">
        <w:tc>
          <w:tcPr>
            <w:tcW w:w="1415" w:type="dxa"/>
          </w:tcPr>
          <w:p w14:paraId="7C6DC242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GSE65216</w:t>
            </w:r>
          </w:p>
        </w:tc>
        <w:tc>
          <w:tcPr>
            <w:tcW w:w="1558" w:type="dxa"/>
          </w:tcPr>
          <w:p w14:paraId="19C24E5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14:paraId="4E4557A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25848952</w:t>
            </w:r>
          </w:p>
          <w:p w14:paraId="12163166" w14:textId="77777777" w:rsidR="00C67BB1" w:rsidRPr="002548ED" w:rsidRDefault="00C67BB1" w:rsidP="006624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64CEEC9B" w14:textId="7C50AE07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Maubant S, Tesson B, Maire V, Ye M et al. Transcriptome analysis of Wnt3a-treated triple-negative breast cancer cells. PLoS One 2015;10(4):e0122333. </w:t>
            </w:r>
          </w:p>
        </w:tc>
      </w:tr>
      <w:tr w:rsidR="0066248C" w:rsidRPr="002548ED" w14:paraId="6F112CAB" w14:textId="77777777" w:rsidTr="003A1250">
        <w:tc>
          <w:tcPr>
            <w:tcW w:w="1415" w:type="dxa"/>
          </w:tcPr>
          <w:p w14:paraId="7ED5554D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366DDF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EA581C" w14:textId="77777777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23700430</w:t>
            </w:r>
          </w:p>
          <w:p w14:paraId="1821EA71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09193704" w14:textId="77777777" w:rsidR="0066248C" w:rsidRPr="00C67BB1" w:rsidRDefault="0066248C" w:rsidP="0066248C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Maire V, Baldeyron C, Richardson M, Tesson B et al. TTK/hMPS1 is an attractive therapeutic target for triple-negative breast cancer. PLoS One 2013;8(5):e63712. </w:t>
            </w:r>
          </w:p>
          <w:p w14:paraId="682BB023" w14:textId="77777777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6248C" w:rsidRPr="002548ED" w14:paraId="2C169BCF" w14:textId="77777777" w:rsidTr="003A1250">
        <w:tc>
          <w:tcPr>
            <w:tcW w:w="1415" w:type="dxa"/>
          </w:tcPr>
          <w:p w14:paraId="64B6157C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324DE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2EED95" w14:textId="77777777" w:rsidR="0066248C" w:rsidRPr="002548ED" w:rsidRDefault="0066248C" w:rsidP="0066248C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23144294</w:t>
            </w:r>
          </w:p>
          <w:p w14:paraId="4E8A24ED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4B76E7E" w14:textId="0A2303AD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Maire V, Némati F, Richardson M, Vincent-Salomon A et al. Polo-like kinase 1: a potential therapeutic option in combination with conventional chemotherapy for the management of patients with triple-negative breast cancer. </w:t>
            </w:r>
            <w:r w:rsidRPr="002548ED">
              <w:rPr>
                <w:rFonts w:cs="Arial"/>
                <w:sz w:val="20"/>
                <w:szCs w:val="20"/>
              </w:rPr>
              <w:t>Cancer Res 2013 Jan 15;73(2):813-23.</w:t>
            </w:r>
          </w:p>
        </w:tc>
      </w:tr>
      <w:tr w:rsidR="0066248C" w:rsidRPr="002548ED" w14:paraId="06FF4867" w14:textId="77777777" w:rsidTr="003A1250">
        <w:tc>
          <w:tcPr>
            <w:tcW w:w="1415" w:type="dxa"/>
          </w:tcPr>
          <w:p w14:paraId="524BE2CB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GSE66399</w:t>
            </w:r>
          </w:p>
        </w:tc>
        <w:tc>
          <w:tcPr>
            <w:tcW w:w="1558" w:type="dxa"/>
          </w:tcPr>
          <w:p w14:paraId="444864AE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84</w:t>
            </w:r>
          </w:p>
        </w:tc>
        <w:tc>
          <w:tcPr>
            <w:tcW w:w="1440" w:type="dxa"/>
          </w:tcPr>
          <w:p w14:paraId="284B465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26245675</w:t>
            </w:r>
          </w:p>
          <w:p w14:paraId="6AD77836" w14:textId="712A8CDA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03AC6084" w14:textId="70E62845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>Guarneri V, Dieci MV, Frassoldati A, Maiorana A et al. Prospective Biomarker Analysis of the Randomized CHER-LOB Study Evaluating the Dual Anti-HER2 Treatment With Trastuzumab and Lapatinib Plus Chemotherapy as Neoadjuvant Therapy for HER2-Positive Breast Cancer. Oncologist 2015 Sep;20(9):1001-10.</w:t>
            </w:r>
          </w:p>
        </w:tc>
      </w:tr>
      <w:tr w:rsidR="0066248C" w:rsidRPr="002548ED" w14:paraId="3068B85B" w14:textId="77777777" w:rsidTr="003A1250">
        <w:tc>
          <w:tcPr>
            <w:tcW w:w="1415" w:type="dxa"/>
          </w:tcPr>
          <w:p w14:paraId="637EDCC2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E7E25C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39BC5" w14:textId="086A6ED3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27484801</w:t>
            </w:r>
          </w:p>
        </w:tc>
        <w:tc>
          <w:tcPr>
            <w:tcW w:w="4597" w:type="dxa"/>
          </w:tcPr>
          <w:p w14:paraId="1CDB9ED3" w14:textId="10C501E3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Dieci MV, Prat A, Tagliafico E, Paré L et al. Integrated evaluation of PAM50 subtypes and immune modulation of pCR in HER2-positive breast cancer patients treated with chemotherapy and HER2-targeted agents in the CherLOB trial. </w:t>
            </w:r>
            <w:r w:rsidRPr="002548ED">
              <w:rPr>
                <w:rFonts w:cs="Arial"/>
                <w:sz w:val="20"/>
                <w:szCs w:val="20"/>
              </w:rPr>
              <w:t>Ann Oncol 2016 Oct;27(10):1867-73.</w:t>
            </w:r>
          </w:p>
        </w:tc>
      </w:tr>
      <w:tr w:rsidR="0066248C" w:rsidRPr="002548ED" w14:paraId="1C35FF9B" w14:textId="77777777" w:rsidTr="003A1250">
        <w:tc>
          <w:tcPr>
            <w:tcW w:w="1415" w:type="dxa"/>
          </w:tcPr>
          <w:p w14:paraId="0A893D7C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GSE70233</w:t>
            </w:r>
          </w:p>
        </w:tc>
        <w:tc>
          <w:tcPr>
            <w:tcW w:w="1558" w:type="dxa"/>
          </w:tcPr>
          <w:p w14:paraId="4E087C0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</w:tcPr>
          <w:p w14:paraId="368A613F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17317830</w:t>
            </w:r>
          </w:p>
        </w:tc>
        <w:tc>
          <w:tcPr>
            <w:tcW w:w="4597" w:type="dxa"/>
          </w:tcPr>
          <w:p w14:paraId="75C185C6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Harris LN, You F, Schnitt SJ, Witkiewicz A et al. Predictors of resistance to preoperative trastuzumab and vinorelbine for HER2-positive early breast cancer. </w:t>
            </w:r>
            <w:r w:rsidRPr="002548ED">
              <w:rPr>
                <w:rFonts w:cs="Arial"/>
                <w:sz w:val="20"/>
                <w:szCs w:val="20"/>
              </w:rPr>
              <w:t>Clin Cancer Res 2007 Feb 15;13(4):1198-207.</w:t>
            </w:r>
          </w:p>
        </w:tc>
      </w:tr>
      <w:tr w:rsidR="0066248C" w:rsidRPr="002548ED" w14:paraId="2586E565" w14:textId="77777777" w:rsidTr="003A1250">
        <w:tc>
          <w:tcPr>
            <w:tcW w:w="1415" w:type="dxa"/>
          </w:tcPr>
          <w:p w14:paraId="5E9BAEC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GSE71258</w:t>
            </w:r>
          </w:p>
        </w:tc>
        <w:tc>
          <w:tcPr>
            <w:tcW w:w="1558" w:type="dxa"/>
          </w:tcPr>
          <w:p w14:paraId="158C0CF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1440" w:type="dxa"/>
          </w:tcPr>
          <w:p w14:paraId="38DA13F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26269605</w:t>
            </w:r>
          </w:p>
        </w:tc>
        <w:tc>
          <w:tcPr>
            <w:tcW w:w="4597" w:type="dxa"/>
          </w:tcPr>
          <w:p w14:paraId="213C68A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Xiang J, Hurchla MA, Fontana F, Su X et al. CXCR4 Protein Epitope Mimetic Antagonist POL5551 Disrupts Metastasis and Enhances Chemotherapy Effect in Triple-Negative Breast Cancer. </w:t>
            </w:r>
            <w:r w:rsidRPr="002548ED">
              <w:rPr>
                <w:rFonts w:cs="Arial"/>
                <w:sz w:val="20"/>
                <w:szCs w:val="20"/>
              </w:rPr>
              <w:t xml:space="preserve">Mol Cancer Ther 2015 Nov;14(11):2473-85. </w:t>
            </w:r>
          </w:p>
        </w:tc>
      </w:tr>
      <w:tr w:rsidR="0066248C" w:rsidRPr="002548ED" w14:paraId="725CAEBA" w14:textId="77777777" w:rsidTr="003A1250">
        <w:tc>
          <w:tcPr>
            <w:tcW w:w="1415" w:type="dxa"/>
          </w:tcPr>
          <w:p w14:paraId="431B25A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lastRenderedPageBreak/>
              <w:t>GSE76275</w:t>
            </w:r>
          </w:p>
        </w:tc>
        <w:tc>
          <w:tcPr>
            <w:tcW w:w="1558" w:type="dxa"/>
          </w:tcPr>
          <w:p w14:paraId="0380B9A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1440" w:type="dxa"/>
          </w:tcPr>
          <w:p w14:paraId="7C5F462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25208879</w:t>
            </w:r>
          </w:p>
          <w:p w14:paraId="6E1279F7" w14:textId="37D54B88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48E77412" w14:textId="5E450FE8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>Burstein MD, Tsimelzon A, Poage GM, Covington KR et al. Comprehensive genomic analysis identifies novel subtypes and targets of triple-negative breast cancer. Clin Cancer Res 2015 Apr 1;21(7):1688-98.</w:t>
            </w:r>
          </w:p>
        </w:tc>
      </w:tr>
      <w:tr w:rsidR="0066248C" w:rsidRPr="002548ED" w14:paraId="5284B902" w14:textId="77777777" w:rsidTr="003A1250">
        <w:tc>
          <w:tcPr>
            <w:tcW w:w="1415" w:type="dxa"/>
          </w:tcPr>
          <w:p w14:paraId="3D9BC1FB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6D8BA2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928A56" w14:textId="0CBF8484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26921331</w:t>
            </w:r>
          </w:p>
        </w:tc>
        <w:tc>
          <w:tcPr>
            <w:tcW w:w="4597" w:type="dxa"/>
          </w:tcPr>
          <w:p w14:paraId="14D1DFD5" w14:textId="6E49B6AE" w:rsidR="0066248C" w:rsidRPr="00C67BB1" w:rsidRDefault="0066248C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66248C">
              <w:rPr>
                <w:rFonts w:cs="Arial"/>
                <w:sz w:val="20"/>
                <w:szCs w:val="20"/>
              </w:rPr>
              <w:t xml:space="preserve">den Hollander P, Rawls K, Tsimelzon A, Shepherd J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Phosphatase PTP4A3 Promotes Triple-Negative Breast Cancer Growth and Predicts Poor Patient Survival. </w:t>
            </w:r>
            <w:r w:rsidRPr="002548ED">
              <w:rPr>
                <w:rFonts w:cs="Arial"/>
                <w:sz w:val="20"/>
                <w:szCs w:val="20"/>
              </w:rPr>
              <w:t>Cancer Res 2016 Apr 1;76(7):1942-53.</w:t>
            </w:r>
          </w:p>
        </w:tc>
      </w:tr>
      <w:tr w:rsidR="0066248C" w:rsidRPr="002548ED" w14:paraId="07E4C9E2" w14:textId="77777777" w:rsidTr="003A1250">
        <w:tc>
          <w:tcPr>
            <w:tcW w:w="1415" w:type="dxa"/>
          </w:tcPr>
          <w:p w14:paraId="68A80DC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GSE82173</w:t>
            </w:r>
          </w:p>
        </w:tc>
        <w:tc>
          <w:tcPr>
            <w:tcW w:w="1558" w:type="dxa"/>
          </w:tcPr>
          <w:p w14:paraId="12248C7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14:paraId="1F2C910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28522855</w:t>
            </w:r>
          </w:p>
          <w:p w14:paraId="0BC4D2C6" w14:textId="090EA12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1C1FB80F" w14:textId="74956CF9" w:rsidR="00C67BB1" w:rsidRPr="0066248C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De Marchi T, Timmermans MA, Sieuwerts AM, Smid M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Phosphoserine aminotransferase 1 is associated to poor outcome on tamoxifen therapy in recurrent breast cancer. Sci Rep 2017 May 18;7(1):2099. </w:t>
            </w:r>
          </w:p>
        </w:tc>
      </w:tr>
      <w:tr w:rsidR="0066248C" w:rsidRPr="002548ED" w14:paraId="7978022B" w14:textId="77777777" w:rsidTr="003A1250">
        <w:tc>
          <w:tcPr>
            <w:tcW w:w="1415" w:type="dxa"/>
          </w:tcPr>
          <w:p w14:paraId="56D99B40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25D717" w14:textId="77777777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97C53" w14:textId="1149147C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32230714</w:t>
            </w:r>
          </w:p>
        </w:tc>
        <w:tc>
          <w:tcPr>
            <w:tcW w:w="4597" w:type="dxa"/>
          </w:tcPr>
          <w:p w14:paraId="31E35671" w14:textId="15D3ACB6" w:rsidR="0066248C" w:rsidRPr="002548ED" w:rsidRDefault="0066248C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Sieuwerts AM, Inda MA, Smid M, van Ooijen H et al. ER and PI3K Pathway Activity in Primary ER Positive Breast Cancer Is Associated with Progression-Free Survival of Metastatic Patients under First-Line Tamoxifen. </w:t>
            </w:r>
            <w:r w:rsidRPr="002548ED">
              <w:rPr>
                <w:rFonts w:cs="Arial"/>
                <w:sz w:val="20"/>
                <w:szCs w:val="20"/>
              </w:rPr>
              <w:t>Cancers (Basel) 2020 Mar 27;12(4).</w:t>
            </w:r>
          </w:p>
        </w:tc>
      </w:tr>
      <w:tr w:rsidR="0066248C" w:rsidRPr="002548ED" w14:paraId="748DD792" w14:textId="77777777" w:rsidTr="003A1250">
        <w:tc>
          <w:tcPr>
            <w:tcW w:w="1415" w:type="dxa"/>
          </w:tcPr>
          <w:p w14:paraId="6F218514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GSE87008</w:t>
            </w:r>
          </w:p>
        </w:tc>
        <w:tc>
          <w:tcPr>
            <w:tcW w:w="1558" w:type="dxa"/>
          </w:tcPr>
          <w:p w14:paraId="73FB4BA2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</w:tcPr>
          <w:p w14:paraId="0A9175B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28566333</w:t>
            </w:r>
          </w:p>
        </w:tc>
        <w:tc>
          <w:tcPr>
            <w:tcW w:w="4597" w:type="dxa"/>
          </w:tcPr>
          <w:p w14:paraId="095DF50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Raspé E, Coulonval K, Pita JM, Paternot S et al. CDK4 phosphorylation status and a linked gene expression profile predict sensitivity to palbociclib. </w:t>
            </w:r>
            <w:r w:rsidRPr="002548ED">
              <w:rPr>
                <w:rFonts w:cs="Arial"/>
                <w:sz w:val="20"/>
                <w:szCs w:val="20"/>
              </w:rPr>
              <w:t xml:space="preserve">EMBO Mol Med 2017 Aug;9(8):1052-1066. </w:t>
            </w:r>
          </w:p>
        </w:tc>
      </w:tr>
      <w:tr w:rsidR="0066248C" w:rsidRPr="002548ED" w14:paraId="79FE19E3" w14:textId="77777777" w:rsidTr="003A1250">
        <w:tc>
          <w:tcPr>
            <w:tcW w:w="1415" w:type="dxa"/>
          </w:tcPr>
          <w:p w14:paraId="0093E791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GSE87377</w:t>
            </w:r>
          </w:p>
        </w:tc>
        <w:tc>
          <w:tcPr>
            <w:tcW w:w="1558" w:type="dxa"/>
          </w:tcPr>
          <w:p w14:paraId="45274BF7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440" w:type="dxa"/>
          </w:tcPr>
          <w:p w14:paraId="0F9A159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253B9634" w14:textId="77777777" w:rsidR="00C67BB1" w:rsidRPr="00C67BB1" w:rsidRDefault="00C67BB1" w:rsidP="00AE0F42">
            <w:pPr>
              <w:rPr>
                <w:sz w:val="20"/>
                <w:szCs w:val="20"/>
              </w:rPr>
            </w:pPr>
            <w:r w:rsidRPr="002548ED">
              <w:rPr>
                <w:sz w:val="20"/>
                <w:szCs w:val="20"/>
              </w:rPr>
              <w:t>Hu Z, Yang B, Chou J, Wang C, Rashid N, Chu Y, Zhou T, Kaufmann W, Wu J</w:t>
            </w:r>
            <w:r w:rsidRPr="00C67BB1">
              <w:rPr>
                <w:sz w:val="20"/>
                <w:szCs w:val="20"/>
              </w:rPr>
              <w:t>, 2016</w:t>
            </w:r>
          </w:p>
        </w:tc>
      </w:tr>
      <w:tr w:rsidR="0066248C" w:rsidRPr="002548ED" w14:paraId="262058E9" w14:textId="77777777" w:rsidTr="003A1250">
        <w:tc>
          <w:tcPr>
            <w:tcW w:w="1415" w:type="dxa"/>
          </w:tcPr>
          <w:p w14:paraId="243400DE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GSE88770</w:t>
            </w:r>
          </w:p>
        </w:tc>
        <w:tc>
          <w:tcPr>
            <w:tcW w:w="1558" w:type="dxa"/>
          </w:tcPr>
          <w:p w14:paraId="7A121199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1440" w:type="dxa"/>
          </w:tcPr>
          <w:p w14:paraId="223A095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23028037</w:t>
            </w:r>
          </w:p>
        </w:tc>
        <w:tc>
          <w:tcPr>
            <w:tcW w:w="4597" w:type="dxa"/>
          </w:tcPr>
          <w:p w14:paraId="2784A0FA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Metzger-Filho O, Michiels S, Bertucci F, Catteau A et al. Genomic grade adds prognostic value in invasive lobular carcinoma. </w:t>
            </w:r>
            <w:r w:rsidRPr="002548ED">
              <w:rPr>
                <w:rFonts w:cs="Arial"/>
                <w:sz w:val="20"/>
                <w:szCs w:val="20"/>
              </w:rPr>
              <w:t xml:space="preserve">Ann Oncol 2013 Feb;24(2):377-384. </w:t>
            </w:r>
          </w:p>
        </w:tc>
      </w:tr>
      <w:tr w:rsidR="0066248C" w:rsidRPr="002548ED" w14:paraId="515D841F" w14:textId="77777777" w:rsidTr="003A1250">
        <w:tc>
          <w:tcPr>
            <w:tcW w:w="1415" w:type="dxa"/>
          </w:tcPr>
          <w:p w14:paraId="41FF9E10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GSE90521</w:t>
            </w:r>
          </w:p>
        </w:tc>
        <w:tc>
          <w:tcPr>
            <w:tcW w:w="1558" w:type="dxa"/>
          </w:tcPr>
          <w:p w14:paraId="065FA73B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E9F26A0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28673354</w:t>
            </w:r>
          </w:p>
        </w:tc>
        <w:tc>
          <w:tcPr>
            <w:tcW w:w="4597" w:type="dxa"/>
          </w:tcPr>
          <w:p w14:paraId="5A9997B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Brouwers B, Fumagalli D, Brohee S, Hatse S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The footprint of the ageing stroma in older patients with breast cancer.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2017 Jul 3;19(1):78. </w:t>
            </w:r>
          </w:p>
        </w:tc>
      </w:tr>
      <w:tr w:rsidR="0066248C" w:rsidRPr="002548ED" w14:paraId="73AA73F2" w14:textId="77777777" w:rsidTr="003A1250">
        <w:tc>
          <w:tcPr>
            <w:tcW w:w="1415" w:type="dxa"/>
          </w:tcPr>
          <w:p w14:paraId="0BA267CA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GSE95700</w:t>
            </w:r>
          </w:p>
        </w:tc>
        <w:tc>
          <w:tcPr>
            <w:tcW w:w="1558" w:type="dxa"/>
          </w:tcPr>
          <w:p w14:paraId="707471A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14:paraId="3E38A8C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28299476</w:t>
            </w:r>
          </w:p>
        </w:tc>
        <w:tc>
          <w:tcPr>
            <w:tcW w:w="4597" w:type="dxa"/>
          </w:tcPr>
          <w:p w14:paraId="1EB07CA4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 xml:space="preserve">Tseng LM, Chiu JH, Liu CY, Tsai YF et al. </w:t>
            </w: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A comparison of the molecular subtypes of triple-negative breast cancer among non-Asian and Taiwanese women. </w:t>
            </w:r>
            <w:r w:rsidRPr="002548ED">
              <w:rPr>
                <w:rFonts w:cs="Arial"/>
                <w:sz w:val="20"/>
                <w:szCs w:val="20"/>
              </w:rPr>
              <w:t xml:space="preserve">Breast Cancer Res Treat 2017 Jun;163(2):241-254. </w:t>
            </w:r>
          </w:p>
        </w:tc>
      </w:tr>
      <w:tr w:rsidR="0066248C" w:rsidRPr="000F4E94" w14:paraId="217C96FD" w14:textId="77777777" w:rsidTr="003A1250">
        <w:tc>
          <w:tcPr>
            <w:tcW w:w="1415" w:type="dxa"/>
          </w:tcPr>
          <w:p w14:paraId="6D2EF8FB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GSE102484</w:t>
            </w:r>
          </w:p>
        </w:tc>
        <w:tc>
          <w:tcPr>
            <w:tcW w:w="1558" w:type="dxa"/>
          </w:tcPr>
          <w:p w14:paraId="3E12AEF1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682</w:t>
            </w:r>
          </w:p>
        </w:tc>
        <w:tc>
          <w:tcPr>
            <w:tcW w:w="1440" w:type="dxa"/>
          </w:tcPr>
          <w:p w14:paraId="6DCE33D5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28886126</w:t>
            </w:r>
          </w:p>
        </w:tc>
        <w:tc>
          <w:tcPr>
            <w:tcW w:w="4597" w:type="dxa"/>
          </w:tcPr>
          <w:p w14:paraId="1AA75BE1" w14:textId="77777777" w:rsidR="00C67BB1" w:rsidRPr="000F4E94" w:rsidRDefault="00C67BB1" w:rsidP="00AE0F42">
            <w:pPr>
              <w:rPr>
                <w:rFonts w:cs="Arial"/>
                <w:sz w:val="20"/>
                <w:szCs w:val="20"/>
                <w:lang w:val="en-US"/>
              </w:rPr>
            </w:pPr>
            <w:r w:rsidRPr="00C67BB1">
              <w:rPr>
                <w:rFonts w:cs="Arial"/>
                <w:sz w:val="20"/>
                <w:szCs w:val="20"/>
                <w:lang w:val="en-US"/>
              </w:rPr>
              <w:t xml:space="preserve">Cheng SH, Huang TT, Cheng YH, Tan TBK et al. Validation of the 18-gene classifier as a prognostic biomarker of distant metastasis in breast cancer. </w:t>
            </w:r>
            <w:r w:rsidRPr="000F4E94">
              <w:rPr>
                <w:rFonts w:cs="Arial"/>
                <w:sz w:val="20"/>
                <w:szCs w:val="20"/>
                <w:lang w:val="en-US"/>
              </w:rPr>
              <w:t xml:space="preserve">PLoS One 2017;12(9):e0184372. </w:t>
            </w:r>
          </w:p>
        </w:tc>
      </w:tr>
      <w:tr w:rsidR="0066248C" w:rsidRPr="002548ED" w14:paraId="691FDA12" w14:textId="77777777" w:rsidTr="003A1250">
        <w:tc>
          <w:tcPr>
            <w:tcW w:w="1415" w:type="dxa"/>
          </w:tcPr>
          <w:p w14:paraId="43B92FFE" w14:textId="77777777" w:rsidR="00C67BB1" w:rsidRPr="002548ED" w:rsidRDefault="00C67BB1" w:rsidP="00AE0F4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GSE102907</w:t>
            </w:r>
          </w:p>
        </w:tc>
        <w:tc>
          <w:tcPr>
            <w:tcW w:w="1558" w:type="dxa"/>
          </w:tcPr>
          <w:p w14:paraId="3272F313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440" w:type="dxa"/>
          </w:tcPr>
          <w:p w14:paraId="7EE3E488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4597" w:type="dxa"/>
          </w:tcPr>
          <w:p w14:paraId="07C3444C" w14:textId="77777777" w:rsidR="00C67BB1" w:rsidRPr="002548ED" w:rsidRDefault="00C67BB1" w:rsidP="00AE0F42">
            <w:pPr>
              <w:rPr>
                <w:rFonts w:cs="Arial"/>
                <w:sz w:val="20"/>
                <w:szCs w:val="20"/>
              </w:rPr>
            </w:pPr>
            <w:r w:rsidRPr="002548ED">
              <w:rPr>
                <w:rFonts w:cs="Arial"/>
                <w:sz w:val="20"/>
                <w:szCs w:val="20"/>
              </w:rPr>
              <w:t>Nobuyuki Fukui, 2017</w:t>
            </w:r>
          </w:p>
        </w:tc>
      </w:tr>
    </w:tbl>
    <w:p w14:paraId="1DDDA7A6" w14:textId="5D71F9B0" w:rsidR="00C67BB1" w:rsidRPr="00C67BB1" w:rsidRDefault="000F4E94">
      <w:pPr>
        <w:rPr>
          <w:lang w:val="en-US"/>
        </w:rPr>
      </w:pPr>
      <w:r>
        <w:rPr>
          <w:lang w:val="en-US"/>
        </w:rPr>
        <w:t>PMID: Pubmed identification number</w:t>
      </w:r>
    </w:p>
    <w:sectPr w:rsidR="00C67BB1" w:rsidRPr="00C67BB1" w:rsidSect="00887E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B1"/>
    <w:rsid w:val="000F4E94"/>
    <w:rsid w:val="00175488"/>
    <w:rsid w:val="003A1250"/>
    <w:rsid w:val="0066248C"/>
    <w:rsid w:val="007E635C"/>
    <w:rsid w:val="00887E30"/>
    <w:rsid w:val="00C67BB1"/>
    <w:rsid w:val="00C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E300B"/>
  <w15:chartTrackingRefBased/>
  <w15:docId w15:val="{E3423A2E-F130-FA42-A717-9F59E858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2-Accent1">
    <w:name w:val="Grid Table 2 Accent 1"/>
    <w:basedOn w:val="Standaardtabel"/>
    <w:uiPriority w:val="47"/>
    <w:rsid w:val="00C67BB1"/>
    <w:rPr>
      <w:rFonts w:eastAsiaTheme="minorEastAsia"/>
      <w:lang w:eastAsia="zh-CN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C67BB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BB1"/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uiPriority w:val="39"/>
    <w:rsid w:val="003A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3224</Words>
  <Characters>17735</Characters>
  <Application>Microsoft Office Word</Application>
  <DocSecurity>0</DocSecurity>
  <Lines>147</Lines>
  <Paragraphs>41</Paragraphs>
  <ScaleCrop>false</ScaleCrop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arjaans</dc:creator>
  <cp:keywords/>
  <dc:description/>
  <cp:lastModifiedBy>marlous arjaans</cp:lastModifiedBy>
  <cp:revision>5</cp:revision>
  <dcterms:created xsi:type="dcterms:W3CDTF">2023-04-06T07:16:00Z</dcterms:created>
  <dcterms:modified xsi:type="dcterms:W3CDTF">2025-07-28T18:28:00Z</dcterms:modified>
</cp:coreProperties>
</file>