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41602BC" w14:textId="77777777" w:rsidR="00F35D51" w:rsidRPr="003B40E6" w:rsidRDefault="00F35D51" w:rsidP="00F35D51">
      <w:pPr>
        <w:jc w:val="center"/>
        <w:rPr>
          <w:sz w:val="36"/>
          <w:szCs w:val="36"/>
        </w:rPr>
      </w:pPr>
      <w:bookmarkStart w:id="0" w:name="OLE_LINK25"/>
      <w:r>
        <w:rPr>
          <w:sz w:val="36"/>
          <w:szCs w:val="36"/>
        </w:rPr>
        <w:t xml:space="preserve">Supplementary Information </w:t>
      </w:r>
      <w:bookmarkEnd w:id="0"/>
      <w:r>
        <w:rPr>
          <w:sz w:val="36"/>
          <w:szCs w:val="36"/>
        </w:rPr>
        <w:t>for</w:t>
      </w:r>
    </w:p>
    <w:p w14:paraId="7B739952" w14:textId="77777777" w:rsidR="00F35D51" w:rsidRPr="002E4ABF" w:rsidRDefault="00F35D51" w:rsidP="00F35D51">
      <w:pPr>
        <w:autoSpaceDE w:val="0"/>
        <w:autoSpaceDN w:val="0"/>
        <w:adjustRightInd w:val="0"/>
        <w:jc w:val="center"/>
        <w:rPr>
          <w:noProof/>
          <w:lang w:eastAsia="zh-CN"/>
        </w:rPr>
      </w:pPr>
    </w:p>
    <w:p w14:paraId="0793D1EE" w14:textId="2E9617B8" w:rsidR="006D5ABB" w:rsidRPr="009D725B" w:rsidRDefault="006D5ABB" w:rsidP="006D5ABB">
      <w:pPr>
        <w:autoSpaceDE w:val="0"/>
        <w:autoSpaceDN w:val="0"/>
        <w:adjustRightInd w:val="0"/>
        <w:jc w:val="center"/>
        <w:rPr>
          <w:rFonts w:ascii="Times New Roman" w:eastAsia="SimSun" w:hAnsi="Times New Roman" w:cs="Times New Roman"/>
          <w:bCs/>
          <w:kern w:val="28"/>
          <w:sz w:val="32"/>
          <w:szCs w:val="32"/>
          <w:lang w:val="en-US" w:eastAsia="zh-CN"/>
        </w:rPr>
      </w:pPr>
      <w:r w:rsidRPr="009D725B">
        <w:rPr>
          <w:rFonts w:ascii="Times New Roman" w:eastAsia="SimSun" w:hAnsi="Times New Roman" w:cs="Times New Roman"/>
          <w:bCs/>
          <w:kern w:val="28"/>
          <w:sz w:val="32"/>
          <w:szCs w:val="32"/>
          <w:lang w:val="en-US" w:eastAsia="zh-CN"/>
        </w:rPr>
        <w:t>Cryomilled Ni-Co-Se Enables Water Oxidation Electrocatalysts</w:t>
      </w:r>
    </w:p>
    <w:p w14:paraId="374A77B0" w14:textId="4CE95607" w:rsidR="00110B04" w:rsidRPr="009D725B" w:rsidRDefault="006D5ABB" w:rsidP="006D5ABB">
      <w:pPr>
        <w:autoSpaceDE w:val="0"/>
        <w:autoSpaceDN w:val="0"/>
        <w:adjustRightInd w:val="0"/>
        <w:jc w:val="center"/>
        <w:rPr>
          <w:rFonts w:ascii="Times New Roman" w:hAnsi="Times New Roman" w:cs="Times New Roman"/>
          <w:b/>
          <w:bCs/>
          <w:sz w:val="28"/>
          <w:szCs w:val="28"/>
          <w:lang w:eastAsia="zh-CN"/>
        </w:rPr>
      </w:pPr>
      <w:r w:rsidRPr="009D725B">
        <w:rPr>
          <w:rFonts w:ascii="Times New Roman" w:eastAsia="SimSun" w:hAnsi="Times New Roman" w:cs="Times New Roman"/>
          <w:bCs/>
          <w:kern w:val="28"/>
          <w:sz w:val="32"/>
          <w:szCs w:val="32"/>
          <w:lang w:val="en-US" w:eastAsia="zh-CN"/>
        </w:rPr>
        <w:t>Durable at High Current Densities</w:t>
      </w:r>
    </w:p>
    <w:p w14:paraId="0E55B3CB" w14:textId="77777777" w:rsidR="009D725B" w:rsidRDefault="009D725B" w:rsidP="009D725B">
      <w:pPr>
        <w:spacing w:line="480" w:lineRule="auto"/>
        <w:rPr>
          <w:rFonts w:ascii="Times New Roman" w:hAnsi="Times New Roman"/>
          <w:b/>
          <w:color w:val="000000" w:themeColor="text1"/>
          <w:sz w:val="36"/>
          <w:szCs w:val="36"/>
        </w:rPr>
      </w:pPr>
    </w:p>
    <w:p w14:paraId="706F82BB" w14:textId="22861EBB" w:rsidR="00F35D51" w:rsidRPr="009D725B" w:rsidRDefault="00F35D51" w:rsidP="009D725B">
      <w:pPr>
        <w:spacing w:line="480" w:lineRule="auto"/>
        <w:rPr>
          <w:rFonts w:ascii="Times New Roman" w:hAnsi="Times New Roman"/>
          <w:b/>
          <w:color w:val="000000" w:themeColor="text1"/>
          <w:sz w:val="32"/>
          <w:szCs w:val="32"/>
        </w:rPr>
      </w:pPr>
      <w:r w:rsidRPr="009D725B">
        <w:rPr>
          <w:rFonts w:ascii="Times New Roman" w:hAnsi="Times New Roman"/>
          <w:b/>
          <w:color w:val="000000" w:themeColor="text1"/>
          <w:sz w:val="32"/>
          <w:szCs w:val="32"/>
        </w:rPr>
        <w:t xml:space="preserve">Contents: </w:t>
      </w:r>
    </w:p>
    <w:p w14:paraId="00F72F48" w14:textId="394F632E" w:rsidR="00F35D51" w:rsidRPr="008647D5" w:rsidRDefault="009D725B" w:rsidP="008647D5">
      <w:pPr>
        <w:pStyle w:val="ListParagraph"/>
        <w:numPr>
          <w:ilvl w:val="0"/>
          <w:numId w:val="11"/>
        </w:numPr>
        <w:autoSpaceDE w:val="0"/>
        <w:autoSpaceDN w:val="0"/>
        <w:adjustRightInd w:val="0"/>
        <w:spacing w:line="360" w:lineRule="auto"/>
        <w:rPr>
          <w:rFonts w:ascii="Times New Roman" w:hAnsi="Times New Roman" w:cs="Times New Roman"/>
          <w:lang w:eastAsia="zh-CN"/>
        </w:rPr>
      </w:pPr>
      <w:r w:rsidRPr="008647D5">
        <w:rPr>
          <w:rFonts w:ascii="Times New Roman" w:hAnsi="Times New Roman" w:cs="Times New Roman"/>
          <w:lang w:eastAsia="zh-CN"/>
        </w:rPr>
        <w:t>Methods</w:t>
      </w:r>
    </w:p>
    <w:p w14:paraId="25DD8DA3" w14:textId="359CA657" w:rsidR="00F35D51" w:rsidRPr="008647D5" w:rsidRDefault="00F35D51" w:rsidP="008647D5">
      <w:pPr>
        <w:pStyle w:val="ListParagraph"/>
        <w:numPr>
          <w:ilvl w:val="1"/>
          <w:numId w:val="11"/>
        </w:numPr>
        <w:autoSpaceDE w:val="0"/>
        <w:autoSpaceDN w:val="0"/>
        <w:adjustRightInd w:val="0"/>
        <w:spacing w:line="360" w:lineRule="auto"/>
        <w:rPr>
          <w:rFonts w:ascii="Times New Roman" w:hAnsi="Times New Roman" w:cs="Times New Roman"/>
          <w:lang w:eastAsia="zh-CN"/>
        </w:rPr>
      </w:pPr>
      <w:r w:rsidRPr="008647D5">
        <w:rPr>
          <w:rFonts w:ascii="Times New Roman" w:hAnsi="Times New Roman" w:cs="Times New Roman"/>
          <w:lang w:eastAsia="zh-CN"/>
        </w:rPr>
        <w:t xml:space="preserve">Materials </w:t>
      </w:r>
    </w:p>
    <w:p w14:paraId="50B3B704" w14:textId="24795FA3" w:rsidR="008960BE" w:rsidRPr="008647D5" w:rsidRDefault="008960BE" w:rsidP="008647D5">
      <w:pPr>
        <w:pStyle w:val="ListParagraph"/>
        <w:numPr>
          <w:ilvl w:val="1"/>
          <w:numId w:val="11"/>
        </w:numPr>
        <w:autoSpaceDE w:val="0"/>
        <w:autoSpaceDN w:val="0"/>
        <w:adjustRightInd w:val="0"/>
        <w:spacing w:line="360" w:lineRule="auto"/>
        <w:rPr>
          <w:rFonts w:ascii="Times New Roman" w:hAnsi="Times New Roman" w:cs="Times New Roman"/>
          <w:lang w:eastAsia="zh-CN"/>
        </w:rPr>
      </w:pPr>
      <w:r w:rsidRPr="008647D5">
        <w:rPr>
          <w:rFonts w:ascii="Times New Roman" w:hAnsi="Times New Roman" w:cs="Times New Roman"/>
          <w:lang w:eastAsia="zh-CN"/>
        </w:rPr>
        <w:t>Characterization</w:t>
      </w:r>
    </w:p>
    <w:p w14:paraId="5F56AAE2" w14:textId="6732FD81" w:rsidR="008960BE" w:rsidRPr="008647D5" w:rsidRDefault="008960BE" w:rsidP="008647D5">
      <w:pPr>
        <w:pStyle w:val="ListParagraph"/>
        <w:numPr>
          <w:ilvl w:val="1"/>
          <w:numId w:val="11"/>
        </w:numPr>
        <w:autoSpaceDE w:val="0"/>
        <w:autoSpaceDN w:val="0"/>
        <w:adjustRightInd w:val="0"/>
        <w:spacing w:line="360" w:lineRule="auto"/>
        <w:rPr>
          <w:rFonts w:ascii="Times New Roman" w:hAnsi="Times New Roman" w:cs="Times New Roman"/>
          <w:lang w:eastAsia="zh-CN"/>
        </w:rPr>
      </w:pPr>
      <w:r w:rsidRPr="008647D5">
        <w:rPr>
          <w:rFonts w:ascii="Times New Roman" w:hAnsi="Times New Roman" w:cs="Times New Roman"/>
          <w:lang w:eastAsia="zh-CN"/>
        </w:rPr>
        <w:t>Electrochemical testing</w:t>
      </w:r>
    </w:p>
    <w:p w14:paraId="2A342AF6" w14:textId="44FD8E1F" w:rsidR="008960BE" w:rsidRPr="008647D5" w:rsidRDefault="008960BE" w:rsidP="008647D5">
      <w:pPr>
        <w:pStyle w:val="ListParagraph"/>
        <w:numPr>
          <w:ilvl w:val="1"/>
          <w:numId w:val="11"/>
        </w:numPr>
        <w:autoSpaceDE w:val="0"/>
        <w:autoSpaceDN w:val="0"/>
        <w:adjustRightInd w:val="0"/>
        <w:spacing w:line="360" w:lineRule="auto"/>
        <w:rPr>
          <w:rFonts w:ascii="Times New Roman" w:hAnsi="Times New Roman" w:cs="Times New Roman"/>
          <w:lang w:eastAsia="zh-CN"/>
        </w:rPr>
      </w:pPr>
      <w:r w:rsidRPr="008647D5">
        <w:rPr>
          <w:rFonts w:ascii="Times New Roman" w:hAnsi="Times New Roman" w:cs="Times New Roman"/>
          <w:lang w:eastAsia="zh-CN"/>
        </w:rPr>
        <w:t>X-ray absorption spectroscopy</w:t>
      </w:r>
    </w:p>
    <w:p w14:paraId="4E4220A4" w14:textId="55A62E26" w:rsidR="00165A5C" w:rsidRPr="008647D5" w:rsidRDefault="00165A5C" w:rsidP="008647D5">
      <w:pPr>
        <w:pStyle w:val="ListParagraph"/>
        <w:numPr>
          <w:ilvl w:val="1"/>
          <w:numId w:val="11"/>
        </w:numPr>
        <w:autoSpaceDE w:val="0"/>
        <w:autoSpaceDN w:val="0"/>
        <w:adjustRightInd w:val="0"/>
        <w:spacing w:line="360" w:lineRule="auto"/>
        <w:rPr>
          <w:rFonts w:ascii="Times New Roman" w:hAnsi="Times New Roman" w:cs="Times New Roman"/>
          <w:lang w:eastAsia="zh-CN"/>
        </w:rPr>
      </w:pPr>
      <w:r w:rsidRPr="008647D5">
        <w:rPr>
          <w:rFonts w:ascii="Times New Roman" w:hAnsi="Times New Roman" w:cs="Times New Roman"/>
          <w:lang w:eastAsia="zh-CN"/>
        </w:rPr>
        <w:t>Computational methods</w:t>
      </w:r>
    </w:p>
    <w:p w14:paraId="634539C6" w14:textId="521ED3BF" w:rsidR="009D725B" w:rsidRPr="008647D5" w:rsidRDefault="0081506F" w:rsidP="008647D5">
      <w:pPr>
        <w:pStyle w:val="ListParagraph"/>
        <w:numPr>
          <w:ilvl w:val="1"/>
          <w:numId w:val="11"/>
        </w:numPr>
        <w:autoSpaceDE w:val="0"/>
        <w:autoSpaceDN w:val="0"/>
        <w:adjustRightInd w:val="0"/>
        <w:spacing w:line="360" w:lineRule="auto"/>
        <w:rPr>
          <w:rFonts w:ascii="Times New Roman" w:hAnsi="Times New Roman" w:cs="Times New Roman"/>
          <w:lang w:eastAsia="zh-CN"/>
        </w:rPr>
      </w:pPr>
      <w:r w:rsidRPr="008647D5">
        <w:rPr>
          <w:rFonts w:ascii="Times New Roman" w:hAnsi="Times New Roman" w:cs="Times New Roman"/>
          <w:lang w:eastAsia="zh-CN"/>
        </w:rPr>
        <w:t>AEM electrolyser test</w:t>
      </w:r>
    </w:p>
    <w:p w14:paraId="3F8F6DB3" w14:textId="70EA5746" w:rsidR="00F35D51" w:rsidRPr="008647D5" w:rsidRDefault="00F35D51" w:rsidP="008647D5">
      <w:pPr>
        <w:pStyle w:val="ListParagraph"/>
        <w:numPr>
          <w:ilvl w:val="0"/>
          <w:numId w:val="11"/>
        </w:numPr>
        <w:autoSpaceDE w:val="0"/>
        <w:autoSpaceDN w:val="0"/>
        <w:adjustRightInd w:val="0"/>
        <w:spacing w:line="360" w:lineRule="auto"/>
        <w:rPr>
          <w:rFonts w:ascii="Times New Roman" w:hAnsi="Times New Roman" w:cs="Times New Roman"/>
          <w:lang w:eastAsia="zh-CN"/>
        </w:rPr>
      </w:pPr>
      <w:r w:rsidRPr="008647D5">
        <w:rPr>
          <w:rFonts w:ascii="Times New Roman" w:hAnsi="Times New Roman" w:cs="Times New Roman"/>
          <w:lang w:eastAsia="zh-CN"/>
        </w:rPr>
        <w:t>Supplementary Figure S1 to Figure S</w:t>
      </w:r>
      <w:r w:rsidR="006C6750" w:rsidRPr="008647D5">
        <w:rPr>
          <w:rFonts w:ascii="Times New Roman" w:hAnsi="Times New Roman" w:cs="Times New Roman"/>
          <w:lang w:eastAsia="zh-CN"/>
        </w:rPr>
        <w:t>11</w:t>
      </w:r>
    </w:p>
    <w:p w14:paraId="7C7035F1" w14:textId="01F0968D" w:rsidR="00F35D51" w:rsidRPr="008647D5" w:rsidRDefault="00F35D51" w:rsidP="008647D5">
      <w:pPr>
        <w:pStyle w:val="ListParagraph"/>
        <w:numPr>
          <w:ilvl w:val="0"/>
          <w:numId w:val="11"/>
        </w:numPr>
        <w:autoSpaceDE w:val="0"/>
        <w:autoSpaceDN w:val="0"/>
        <w:adjustRightInd w:val="0"/>
        <w:spacing w:line="360" w:lineRule="auto"/>
        <w:rPr>
          <w:rFonts w:ascii="Times New Roman" w:hAnsi="Times New Roman" w:cs="Times New Roman"/>
          <w:lang w:eastAsia="zh-CN"/>
        </w:rPr>
      </w:pPr>
      <w:r w:rsidRPr="008647D5">
        <w:rPr>
          <w:rFonts w:ascii="Times New Roman" w:hAnsi="Times New Roman" w:cs="Times New Roman"/>
          <w:lang w:eastAsia="zh-CN"/>
        </w:rPr>
        <w:t>Supplementary Table S1 to Table S</w:t>
      </w:r>
      <w:r w:rsidR="006C6750" w:rsidRPr="008647D5">
        <w:rPr>
          <w:rFonts w:ascii="Times New Roman" w:hAnsi="Times New Roman" w:cs="Times New Roman"/>
          <w:lang w:eastAsia="zh-CN"/>
        </w:rPr>
        <w:t>8</w:t>
      </w:r>
    </w:p>
    <w:p w14:paraId="77D252D6" w14:textId="5065E3C7" w:rsidR="00F35D51" w:rsidRPr="008647D5" w:rsidRDefault="00F35D51" w:rsidP="008647D5">
      <w:pPr>
        <w:pStyle w:val="ListParagraph"/>
        <w:numPr>
          <w:ilvl w:val="0"/>
          <w:numId w:val="11"/>
        </w:numPr>
        <w:autoSpaceDE w:val="0"/>
        <w:autoSpaceDN w:val="0"/>
        <w:adjustRightInd w:val="0"/>
        <w:spacing w:line="360" w:lineRule="auto"/>
        <w:rPr>
          <w:rFonts w:ascii="Times New Roman" w:hAnsi="Times New Roman" w:cs="Times New Roman"/>
          <w:lang w:eastAsia="zh-CN"/>
        </w:rPr>
      </w:pPr>
      <w:r w:rsidRPr="008647D5">
        <w:rPr>
          <w:rFonts w:ascii="Times New Roman" w:hAnsi="Times New Roman" w:cs="Times New Roman"/>
          <w:lang w:eastAsia="zh-CN"/>
        </w:rPr>
        <w:t>References (</w:t>
      </w:r>
      <w:r w:rsidRPr="008647D5">
        <w:rPr>
          <w:rFonts w:ascii="Times New Roman" w:hAnsi="Times New Roman" w:cs="Times New Roman"/>
          <w:i/>
          <w:lang w:eastAsia="zh-CN"/>
        </w:rPr>
        <w:t>1-</w:t>
      </w:r>
      <w:r w:rsidR="007D5DB5">
        <w:rPr>
          <w:rFonts w:ascii="Times New Roman" w:hAnsi="Times New Roman" w:cs="Times New Roman"/>
          <w:i/>
          <w:lang w:eastAsia="zh-CN"/>
        </w:rPr>
        <w:t>79</w:t>
      </w:r>
      <w:r w:rsidRPr="008647D5">
        <w:rPr>
          <w:rFonts w:ascii="Times New Roman" w:hAnsi="Times New Roman" w:cs="Times New Roman"/>
          <w:lang w:eastAsia="zh-CN"/>
        </w:rPr>
        <w:t>)</w:t>
      </w:r>
    </w:p>
    <w:p w14:paraId="5AC0D859" w14:textId="77777777" w:rsidR="00F35D51" w:rsidRDefault="00F35D51" w:rsidP="00F35D51">
      <w:pPr>
        <w:rPr>
          <w:lang w:eastAsia="zh-CN"/>
        </w:rPr>
      </w:pPr>
    </w:p>
    <w:p w14:paraId="3338AADF" w14:textId="517577EA" w:rsidR="00F35D51" w:rsidRPr="009D725B" w:rsidRDefault="009D725B" w:rsidP="00F35D51">
      <w:pPr>
        <w:spacing w:line="480" w:lineRule="auto"/>
        <w:rPr>
          <w:rFonts w:ascii="Times New Roman" w:hAnsi="Times New Roman"/>
          <w:b/>
          <w:color w:val="000000" w:themeColor="text1"/>
          <w:sz w:val="32"/>
          <w:szCs w:val="32"/>
        </w:rPr>
      </w:pPr>
      <w:r w:rsidRPr="009D725B">
        <w:rPr>
          <w:rFonts w:ascii="Times New Roman" w:hAnsi="Times New Roman"/>
          <w:b/>
          <w:color w:val="000000" w:themeColor="text1"/>
          <w:sz w:val="32"/>
          <w:szCs w:val="32"/>
        </w:rPr>
        <w:t>Methods</w:t>
      </w:r>
    </w:p>
    <w:p w14:paraId="1FFFED01" w14:textId="7143938D" w:rsidR="00F35D51" w:rsidRDefault="00F35D51" w:rsidP="00F35D51">
      <w:pPr>
        <w:spacing w:line="480" w:lineRule="auto"/>
        <w:rPr>
          <w:rFonts w:ascii="Times New Roman" w:hAnsi="Times New Roman"/>
          <w:b/>
          <w:color w:val="000000" w:themeColor="text1"/>
        </w:rPr>
      </w:pPr>
      <w:r w:rsidRPr="00C96B0B">
        <w:rPr>
          <w:rFonts w:ascii="Times New Roman" w:hAnsi="Times New Roman"/>
          <w:b/>
          <w:color w:val="000000" w:themeColor="text1"/>
        </w:rPr>
        <w:t xml:space="preserve">Materials </w:t>
      </w:r>
    </w:p>
    <w:p w14:paraId="3833F77C" w14:textId="77777777" w:rsidR="00F35D51" w:rsidRPr="006811DB" w:rsidRDefault="00F35D51" w:rsidP="00F35D51">
      <w:pPr>
        <w:spacing w:line="480" w:lineRule="auto"/>
        <w:jc w:val="both"/>
        <w:rPr>
          <w:rFonts w:ascii="Times New Roman" w:hAnsi="Times New Roman" w:cs="Times New Roman"/>
          <w:u w:val="single"/>
          <w:lang w:val="en-US"/>
        </w:rPr>
      </w:pPr>
      <w:r>
        <w:rPr>
          <w:rFonts w:ascii="Times New Roman" w:hAnsi="Times New Roman" w:cs="Times New Roman"/>
          <w:u w:val="single"/>
          <w:lang w:val="en-US"/>
        </w:rPr>
        <w:t>Chemicals</w:t>
      </w:r>
    </w:p>
    <w:p w14:paraId="3CAA2BC2" w14:textId="4CDBF8FD" w:rsidR="00F35D51" w:rsidRPr="00E8138A" w:rsidRDefault="00F35D51" w:rsidP="00F35D51">
      <w:pPr>
        <w:pStyle w:val="Caption"/>
        <w:jc w:val="center"/>
        <w:rPr>
          <w:rFonts w:ascii="Times New Roman" w:hAnsi="Times New Roman"/>
          <w:bCs w:val="0"/>
        </w:rPr>
      </w:pPr>
      <w:bookmarkStart w:id="1" w:name="_Toc19565983"/>
      <w:r w:rsidRPr="00E8138A">
        <w:t>Table S</w:t>
      </w:r>
      <w:r w:rsidR="00FF2D61">
        <w:fldChar w:fldCharType="begin"/>
      </w:r>
      <w:r w:rsidR="00FF2D61">
        <w:instrText xml:space="preserve"> SEQ Table_S \* ARABIC </w:instrText>
      </w:r>
      <w:r w:rsidR="00FF2D61">
        <w:fldChar w:fldCharType="separate"/>
      </w:r>
      <w:r w:rsidRPr="00E8138A">
        <w:rPr>
          <w:noProof/>
        </w:rPr>
        <w:t>1</w:t>
      </w:r>
      <w:r w:rsidR="00FF2D61">
        <w:rPr>
          <w:noProof/>
        </w:rPr>
        <w:fldChar w:fldCharType="end"/>
      </w:r>
      <w:r w:rsidR="002C0286">
        <w:rPr>
          <w:noProof/>
        </w:rPr>
        <w:t>.</w:t>
      </w:r>
      <w:r w:rsidRPr="00E8138A">
        <w:rPr>
          <w:rFonts w:ascii="Times New Roman" w:hAnsi="Times New Roman"/>
          <w:bCs w:val="0"/>
        </w:rPr>
        <w:t xml:space="preserve"> </w:t>
      </w:r>
      <w:r w:rsidRPr="00E8138A">
        <w:rPr>
          <w:b w:val="0"/>
          <w:bCs w:val="0"/>
        </w:rPr>
        <w:t>Materials list</w:t>
      </w:r>
      <w:bookmarkEnd w:id="1"/>
    </w:p>
    <w:tbl>
      <w:tblPr>
        <w:tblStyle w:val="TableGrid"/>
        <w:tblW w:w="679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0"/>
        <w:gridCol w:w="90"/>
        <w:gridCol w:w="1350"/>
        <w:gridCol w:w="1386"/>
        <w:gridCol w:w="2167"/>
      </w:tblGrid>
      <w:tr w:rsidR="00F35D51" w:rsidRPr="0006357E" w14:paraId="2AEDF8D2" w14:textId="77777777" w:rsidTr="00B05959">
        <w:trPr>
          <w:trHeight w:val="503"/>
          <w:jc w:val="center"/>
        </w:trPr>
        <w:tc>
          <w:tcPr>
            <w:tcW w:w="1890" w:type="dxa"/>
            <w:gridSpan w:val="2"/>
            <w:tcBorders>
              <w:top w:val="single" w:sz="4" w:space="0" w:color="auto"/>
              <w:bottom w:val="single" w:sz="4" w:space="0" w:color="auto"/>
            </w:tcBorders>
            <w:shd w:val="clear" w:color="auto" w:fill="C00000"/>
            <w:vAlign w:val="center"/>
          </w:tcPr>
          <w:p w14:paraId="675D97E7" w14:textId="77777777" w:rsidR="00F35D51" w:rsidRPr="0006357E" w:rsidRDefault="00F35D51" w:rsidP="00B05959">
            <w:pPr>
              <w:spacing w:after="0" w:line="240" w:lineRule="auto"/>
              <w:rPr>
                <w:b/>
                <w:sz w:val="20"/>
                <w:szCs w:val="20"/>
              </w:rPr>
            </w:pPr>
            <w:r w:rsidRPr="0006357E">
              <w:rPr>
                <w:b/>
                <w:sz w:val="20"/>
                <w:szCs w:val="20"/>
              </w:rPr>
              <w:t>Material</w:t>
            </w:r>
          </w:p>
        </w:tc>
        <w:tc>
          <w:tcPr>
            <w:tcW w:w="1350" w:type="dxa"/>
            <w:tcBorders>
              <w:top w:val="single" w:sz="4" w:space="0" w:color="auto"/>
              <w:bottom w:val="single" w:sz="4" w:space="0" w:color="auto"/>
            </w:tcBorders>
            <w:shd w:val="clear" w:color="auto" w:fill="C00000"/>
            <w:vAlign w:val="center"/>
          </w:tcPr>
          <w:p w14:paraId="0C995E60" w14:textId="77777777" w:rsidR="00F35D51" w:rsidRPr="0006357E" w:rsidRDefault="00F35D51" w:rsidP="00B05959">
            <w:pPr>
              <w:spacing w:after="0" w:line="240" w:lineRule="auto"/>
              <w:rPr>
                <w:b/>
                <w:sz w:val="20"/>
                <w:szCs w:val="20"/>
              </w:rPr>
            </w:pPr>
            <w:r w:rsidRPr="0006357E">
              <w:rPr>
                <w:b/>
                <w:sz w:val="20"/>
                <w:szCs w:val="20"/>
              </w:rPr>
              <w:t>Company</w:t>
            </w:r>
          </w:p>
        </w:tc>
        <w:tc>
          <w:tcPr>
            <w:tcW w:w="1386" w:type="dxa"/>
            <w:tcBorders>
              <w:top w:val="single" w:sz="4" w:space="0" w:color="auto"/>
              <w:bottom w:val="single" w:sz="4" w:space="0" w:color="auto"/>
            </w:tcBorders>
            <w:shd w:val="clear" w:color="auto" w:fill="C00000"/>
            <w:vAlign w:val="center"/>
          </w:tcPr>
          <w:p w14:paraId="72C63A1A" w14:textId="77777777" w:rsidR="00F35D51" w:rsidRPr="0006357E" w:rsidRDefault="00F35D51" w:rsidP="00B05959">
            <w:pPr>
              <w:spacing w:after="0" w:line="240" w:lineRule="auto"/>
              <w:jc w:val="center"/>
              <w:rPr>
                <w:b/>
                <w:sz w:val="20"/>
                <w:szCs w:val="20"/>
              </w:rPr>
            </w:pPr>
            <w:r w:rsidRPr="0006357E">
              <w:rPr>
                <w:b/>
                <w:sz w:val="20"/>
                <w:szCs w:val="20"/>
              </w:rPr>
              <w:t xml:space="preserve">Purity </w:t>
            </w:r>
            <w:r w:rsidRPr="0006357E">
              <w:rPr>
                <w:bCs/>
                <w:sz w:val="20"/>
                <w:szCs w:val="20"/>
              </w:rPr>
              <w:t>(%)</w:t>
            </w:r>
          </w:p>
        </w:tc>
        <w:tc>
          <w:tcPr>
            <w:tcW w:w="2167" w:type="dxa"/>
            <w:tcBorders>
              <w:top w:val="single" w:sz="4" w:space="0" w:color="auto"/>
              <w:bottom w:val="single" w:sz="4" w:space="0" w:color="auto"/>
            </w:tcBorders>
            <w:shd w:val="clear" w:color="auto" w:fill="C00000"/>
            <w:vAlign w:val="center"/>
          </w:tcPr>
          <w:p w14:paraId="39AFDE3F" w14:textId="77777777" w:rsidR="00F35D51" w:rsidRPr="0006357E" w:rsidRDefault="00F35D51" w:rsidP="00B05959">
            <w:pPr>
              <w:spacing w:after="0" w:line="240" w:lineRule="auto"/>
              <w:jc w:val="center"/>
              <w:rPr>
                <w:b/>
                <w:sz w:val="20"/>
                <w:szCs w:val="20"/>
              </w:rPr>
            </w:pPr>
            <w:r w:rsidRPr="0006357E">
              <w:rPr>
                <w:b/>
                <w:sz w:val="20"/>
                <w:szCs w:val="20"/>
              </w:rPr>
              <w:t xml:space="preserve">Particle Size </w:t>
            </w:r>
            <w:r w:rsidRPr="0006357E">
              <w:rPr>
                <w:bCs/>
                <w:sz w:val="20"/>
                <w:szCs w:val="20"/>
              </w:rPr>
              <w:t>(µm)</w:t>
            </w:r>
          </w:p>
        </w:tc>
      </w:tr>
      <w:tr w:rsidR="00F35D51" w:rsidRPr="00FE7A1F" w14:paraId="3BFCA319" w14:textId="77777777" w:rsidTr="00B05959">
        <w:trPr>
          <w:jc w:val="center"/>
        </w:trPr>
        <w:tc>
          <w:tcPr>
            <w:tcW w:w="1890" w:type="dxa"/>
            <w:gridSpan w:val="2"/>
            <w:tcBorders>
              <w:top w:val="single" w:sz="4" w:space="0" w:color="auto"/>
            </w:tcBorders>
          </w:tcPr>
          <w:p w14:paraId="066F5347" w14:textId="77777777" w:rsidR="00F35D51" w:rsidRPr="00FE7A1F" w:rsidRDefault="00F35D51" w:rsidP="00B05959">
            <w:pPr>
              <w:spacing w:line="240" w:lineRule="auto"/>
              <w:rPr>
                <w:sz w:val="20"/>
                <w:szCs w:val="20"/>
              </w:rPr>
            </w:pPr>
            <w:r w:rsidRPr="00FE7A1F">
              <w:rPr>
                <w:sz w:val="20"/>
                <w:szCs w:val="20"/>
              </w:rPr>
              <w:t>Ni</w:t>
            </w:r>
          </w:p>
        </w:tc>
        <w:tc>
          <w:tcPr>
            <w:tcW w:w="1350" w:type="dxa"/>
            <w:tcBorders>
              <w:top w:val="single" w:sz="4" w:space="0" w:color="auto"/>
            </w:tcBorders>
          </w:tcPr>
          <w:p w14:paraId="77DA8D1A" w14:textId="77777777" w:rsidR="00F35D51" w:rsidRPr="00FE7A1F" w:rsidRDefault="00F35D51" w:rsidP="00B05959">
            <w:pPr>
              <w:spacing w:line="240" w:lineRule="auto"/>
              <w:rPr>
                <w:sz w:val="20"/>
                <w:szCs w:val="20"/>
              </w:rPr>
            </w:pPr>
            <w:r w:rsidRPr="00FE7A1F">
              <w:rPr>
                <w:sz w:val="20"/>
                <w:szCs w:val="20"/>
              </w:rPr>
              <w:t>Alfa Aesar</w:t>
            </w:r>
          </w:p>
        </w:tc>
        <w:tc>
          <w:tcPr>
            <w:tcW w:w="1386" w:type="dxa"/>
            <w:tcBorders>
              <w:top w:val="single" w:sz="4" w:space="0" w:color="auto"/>
            </w:tcBorders>
          </w:tcPr>
          <w:p w14:paraId="16641522" w14:textId="77777777" w:rsidR="00F35D51" w:rsidRPr="00FE7A1F" w:rsidRDefault="00F35D51" w:rsidP="00B05959">
            <w:pPr>
              <w:spacing w:line="240" w:lineRule="auto"/>
              <w:jc w:val="center"/>
              <w:rPr>
                <w:sz w:val="20"/>
                <w:szCs w:val="20"/>
              </w:rPr>
            </w:pPr>
            <w:r w:rsidRPr="00FE7A1F">
              <w:rPr>
                <w:sz w:val="20"/>
                <w:szCs w:val="20"/>
              </w:rPr>
              <w:t>99.9</w:t>
            </w:r>
          </w:p>
        </w:tc>
        <w:tc>
          <w:tcPr>
            <w:tcW w:w="2167" w:type="dxa"/>
            <w:tcBorders>
              <w:top w:val="single" w:sz="4" w:space="0" w:color="auto"/>
            </w:tcBorders>
          </w:tcPr>
          <w:p w14:paraId="188B8867" w14:textId="77777777" w:rsidR="00F35D51" w:rsidRPr="00FE7A1F" w:rsidRDefault="00F35D51" w:rsidP="00B05959">
            <w:pPr>
              <w:spacing w:line="240" w:lineRule="auto"/>
              <w:jc w:val="center"/>
              <w:rPr>
                <w:sz w:val="20"/>
                <w:szCs w:val="20"/>
              </w:rPr>
            </w:pPr>
            <w:r w:rsidRPr="00FE7A1F">
              <w:rPr>
                <w:sz w:val="20"/>
                <w:szCs w:val="20"/>
              </w:rPr>
              <w:t>74 - 149</w:t>
            </w:r>
          </w:p>
        </w:tc>
      </w:tr>
      <w:tr w:rsidR="00F35D51" w:rsidRPr="00FE7A1F" w14:paraId="41D521CA" w14:textId="77777777" w:rsidTr="00B05959">
        <w:trPr>
          <w:jc w:val="center"/>
        </w:trPr>
        <w:tc>
          <w:tcPr>
            <w:tcW w:w="1890" w:type="dxa"/>
            <w:gridSpan w:val="2"/>
          </w:tcPr>
          <w:p w14:paraId="6609BB17" w14:textId="77777777" w:rsidR="00F35D51" w:rsidRPr="00FE7A1F" w:rsidRDefault="00F35D51" w:rsidP="00B05959">
            <w:pPr>
              <w:spacing w:line="240" w:lineRule="auto"/>
              <w:rPr>
                <w:sz w:val="20"/>
                <w:szCs w:val="20"/>
              </w:rPr>
            </w:pPr>
            <w:r w:rsidRPr="00FE7A1F">
              <w:rPr>
                <w:sz w:val="20"/>
                <w:szCs w:val="20"/>
              </w:rPr>
              <w:t>Co</w:t>
            </w:r>
          </w:p>
        </w:tc>
        <w:tc>
          <w:tcPr>
            <w:tcW w:w="1350" w:type="dxa"/>
          </w:tcPr>
          <w:p w14:paraId="1E5B465C" w14:textId="77777777" w:rsidR="00F35D51" w:rsidRPr="00FE7A1F" w:rsidRDefault="00F35D51" w:rsidP="00B05959">
            <w:pPr>
              <w:spacing w:line="240" w:lineRule="auto"/>
              <w:rPr>
                <w:sz w:val="20"/>
                <w:szCs w:val="20"/>
              </w:rPr>
            </w:pPr>
            <w:r w:rsidRPr="00FE7A1F">
              <w:rPr>
                <w:sz w:val="20"/>
                <w:szCs w:val="20"/>
              </w:rPr>
              <w:t>Alfa Aesar</w:t>
            </w:r>
          </w:p>
        </w:tc>
        <w:tc>
          <w:tcPr>
            <w:tcW w:w="1386" w:type="dxa"/>
          </w:tcPr>
          <w:p w14:paraId="2EA70B91" w14:textId="77777777" w:rsidR="00F35D51" w:rsidRPr="00FE7A1F" w:rsidRDefault="00F35D51" w:rsidP="00B05959">
            <w:pPr>
              <w:spacing w:line="240" w:lineRule="auto"/>
              <w:jc w:val="center"/>
              <w:rPr>
                <w:sz w:val="20"/>
                <w:szCs w:val="20"/>
              </w:rPr>
            </w:pPr>
            <w:r w:rsidRPr="00FE7A1F">
              <w:rPr>
                <w:sz w:val="20"/>
                <w:szCs w:val="20"/>
              </w:rPr>
              <w:t>99.8</w:t>
            </w:r>
          </w:p>
        </w:tc>
        <w:tc>
          <w:tcPr>
            <w:tcW w:w="2167" w:type="dxa"/>
          </w:tcPr>
          <w:p w14:paraId="597392D7" w14:textId="77777777" w:rsidR="00F35D51" w:rsidRPr="00FE7A1F" w:rsidRDefault="00F35D51" w:rsidP="00B05959">
            <w:pPr>
              <w:spacing w:line="240" w:lineRule="auto"/>
              <w:jc w:val="center"/>
              <w:rPr>
                <w:sz w:val="20"/>
                <w:szCs w:val="20"/>
              </w:rPr>
            </w:pPr>
            <w:r w:rsidRPr="00FE7A1F">
              <w:rPr>
                <w:sz w:val="20"/>
                <w:szCs w:val="20"/>
              </w:rPr>
              <w:t>44 -149</w:t>
            </w:r>
          </w:p>
        </w:tc>
      </w:tr>
      <w:tr w:rsidR="00F35D51" w:rsidRPr="00FE7A1F" w14:paraId="4FD0EED2" w14:textId="77777777" w:rsidTr="00B05959">
        <w:trPr>
          <w:jc w:val="center"/>
        </w:trPr>
        <w:tc>
          <w:tcPr>
            <w:tcW w:w="1890" w:type="dxa"/>
            <w:gridSpan w:val="2"/>
          </w:tcPr>
          <w:p w14:paraId="287E1A80" w14:textId="77777777" w:rsidR="00F35D51" w:rsidRPr="00FE7A1F" w:rsidRDefault="00F35D51" w:rsidP="00B05959">
            <w:pPr>
              <w:spacing w:line="240" w:lineRule="auto"/>
              <w:rPr>
                <w:rFonts w:eastAsia="MS Mincho"/>
                <w:sz w:val="20"/>
                <w:szCs w:val="20"/>
              </w:rPr>
            </w:pPr>
            <w:r w:rsidRPr="00FE7A1F">
              <w:rPr>
                <w:rFonts w:eastAsia="MS Mincho"/>
                <w:sz w:val="20"/>
                <w:szCs w:val="20"/>
              </w:rPr>
              <w:t>Se</w:t>
            </w:r>
          </w:p>
        </w:tc>
        <w:tc>
          <w:tcPr>
            <w:tcW w:w="1350" w:type="dxa"/>
          </w:tcPr>
          <w:p w14:paraId="08CB6B5B" w14:textId="77777777" w:rsidR="00F35D51" w:rsidRPr="00FE7A1F" w:rsidRDefault="00F35D51" w:rsidP="00B05959">
            <w:pPr>
              <w:spacing w:line="240" w:lineRule="auto"/>
              <w:rPr>
                <w:sz w:val="20"/>
                <w:szCs w:val="20"/>
              </w:rPr>
            </w:pPr>
            <w:r w:rsidRPr="00FE7A1F">
              <w:rPr>
                <w:sz w:val="20"/>
                <w:szCs w:val="20"/>
              </w:rPr>
              <w:t>Alfa Aesar</w:t>
            </w:r>
          </w:p>
        </w:tc>
        <w:tc>
          <w:tcPr>
            <w:tcW w:w="1386" w:type="dxa"/>
          </w:tcPr>
          <w:p w14:paraId="7EE24724" w14:textId="77777777" w:rsidR="00F35D51" w:rsidRPr="00FE7A1F" w:rsidRDefault="00F35D51" w:rsidP="00B05959">
            <w:pPr>
              <w:spacing w:line="240" w:lineRule="auto"/>
              <w:jc w:val="center"/>
              <w:rPr>
                <w:sz w:val="20"/>
                <w:szCs w:val="20"/>
              </w:rPr>
            </w:pPr>
            <w:r w:rsidRPr="00FE7A1F">
              <w:rPr>
                <w:sz w:val="20"/>
                <w:szCs w:val="20"/>
              </w:rPr>
              <w:t>99.5</w:t>
            </w:r>
          </w:p>
        </w:tc>
        <w:tc>
          <w:tcPr>
            <w:tcW w:w="2167" w:type="dxa"/>
          </w:tcPr>
          <w:p w14:paraId="49D01C0D" w14:textId="77777777" w:rsidR="00F35D51" w:rsidRPr="00FE7A1F" w:rsidRDefault="00F35D51" w:rsidP="00B05959">
            <w:pPr>
              <w:spacing w:line="240" w:lineRule="auto"/>
              <w:jc w:val="center"/>
              <w:rPr>
                <w:sz w:val="20"/>
                <w:szCs w:val="20"/>
              </w:rPr>
            </w:pPr>
            <w:r w:rsidRPr="00FE7A1F">
              <w:rPr>
                <w:sz w:val="20"/>
                <w:szCs w:val="20"/>
              </w:rPr>
              <w:t>&lt; 44</w:t>
            </w:r>
          </w:p>
        </w:tc>
      </w:tr>
      <w:tr w:rsidR="00F35D51" w:rsidRPr="00FE7A1F" w14:paraId="764DD87A" w14:textId="77777777" w:rsidTr="00B05959">
        <w:trPr>
          <w:jc w:val="center"/>
        </w:trPr>
        <w:tc>
          <w:tcPr>
            <w:tcW w:w="1890" w:type="dxa"/>
            <w:gridSpan w:val="2"/>
          </w:tcPr>
          <w:p w14:paraId="1D66CECD" w14:textId="77777777" w:rsidR="00F35D51" w:rsidRPr="00FE7A1F" w:rsidRDefault="00F35D51" w:rsidP="00B05959">
            <w:pPr>
              <w:spacing w:line="240" w:lineRule="auto"/>
              <w:rPr>
                <w:rFonts w:eastAsia="MS Mincho"/>
                <w:sz w:val="20"/>
                <w:szCs w:val="20"/>
              </w:rPr>
            </w:pPr>
            <w:r>
              <w:rPr>
                <w:rFonts w:eastAsia="MS Mincho"/>
                <w:sz w:val="20"/>
                <w:szCs w:val="20"/>
              </w:rPr>
              <w:t>DDPA</w:t>
            </w:r>
          </w:p>
        </w:tc>
        <w:tc>
          <w:tcPr>
            <w:tcW w:w="1350" w:type="dxa"/>
          </w:tcPr>
          <w:p w14:paraId="0C184027" w14:textId="77777777" w:rsidR="00F35D51" w:rsidRPr="00FE7A1F" w:rsidRDefault="00F35D51" w:rsidP="00B05959">
            <w:pPr>
              <w:spacing w:line="240" w:lineRule="auto"/>
              <w:rPr>
                <w:sz w:val="20"/>
                <w:szCs w:val="20"/>
              </w:rPr>
            </w:pPr>
            <w:r>
              <w:rPr>
                <w:sz w:val="20"/>
                <w:szCs w:val="20"/>
              </w:rPr>
              <w:t>Alfa Aesar</w:t>
            </w:r>
          </w:p>
        </w:tc>
        <w:tc>
          <w:tcPr>
            <w:tcW w:w="1386" w:type="dxa"/>
          </w:tcPr>
          <w:p w14:paraId="1961DC0E" w14:textId="77777777" w:rsidR="00F35D51" w:rsidRPr="00FE7A1F" w:rsidRDefault="00F35D51" w:rsidP="00B05959">
            <w:pPr>
              <w:spacing w:line="240" w:lineRule="auto"/>
              <w:jc w:val="center"/>
              <w:rPr>
                <w:sz w:val="20"/>
                <w:szCs w:val="20"/>
              </w:rPr>
            </w:pPr>
            <w:r>
              <w:rPr>
                <w:sz w:val="20"/>
                <w:szCs w:val="20"/>
              </w:rPr>
              <w:t>-</w:t>
            </w:r>
          </w:p>
        </w:tc>
        <w:tc>
          <w:tcPr>
            <w:tcW w:w="2167" w:type="dxa"/>
          </w:tcPr>
          <w:p w14:paraId="5A43CE4A" w14:textId="77777777" w:rsidR="00F35D51" w:rsidRPr="00FE7A1F" w:rsidRDefault="00F35D51" w:rsidP="00B05959">
            <w:pPr>
              <w:spacing w:line="240" w:lineRule="auto"/>
              <w:jc w:val="center"/>
              <w:rPr>
                <w:sz w:val="20"/>
                <w:szCs w:val="20"/>
              </w:rPr>
            </w:pPr>
            <w:r>
              <w:rPr>
                <w:sz w:val="20"/>
                <w:szCs w:val="20"/>
              </w:rPr>
              <w:t>-</w:t>
            </w:r>
          </w:p>
        </w:tc>
      </w:tr>
      <w:tr w:rsidR="00F35D51" w:rsidRPr="00FE7A1F" w14:paraId="16030B62" w14:textId="77777777" w:rsidTr="00B05959">
        <w:trPr>
          <w:jc w:val="center"/>
        </w:trPr>
        <w:tc>
          <w:tcPr>
            <w:tcW w:w="1800" w:type="dxa"/>
          </w:tcPr>
          <w:p w14:paraId="2376BA3B" w14:textId="77777777" w:rsidR="00F35D51" w:rsidRPr="00E465A3" w:rsidRDefault="00F35D51" w:rsidP="00B05959">
            <w:pPr>
              <w:spacing w:line="240" w:lineRule="auto"/>
              <w:rPr>
                <w:sz w:val="20"/>
                <w:szCs w:val="20"/>
              </w:rPr>
            </w:pPr>
            <w:r>
              <w:rPr>
                <w:sz w:val="20"/>
                <w:szCs w:val="20"/>
              </w:rPr>
              <w:t>NiCl</w:t>
            </w:r>
            <w:r>
              <w:rPr>
                <w:sz w:val="20"/>
                <w:szCs w:val="20"/>
                <w:vertAlign w:val="subscript"/>
              </w:rPr>
              <w:t>2</w:t>
            </w:r>
            <w:r>
              <w:rPr>
                <w:sz w:val="20"/>
                <w:szCs w:val="20"/>
              </w:rPr>
              <w:t>.6H</w:t>
            </w:r>
            <w:r w:rsidRPr="00E465A3">
              <w:rPr>
                <w:sz w:val="20"/>
                <w:szCs w:val="20"/>
                <w:vertAlign w:val="subscript"/>
              </w:rPr>
              <w:t>2</w:t>
            </w:r>
            <w:r>
              <w:rPr>
                <w:sz w:val="20"/>
                <w:szCs w:val="20"/>
              </w:rPr>
              <w:t>O</w:t>
            </w:r>
          </w:p>
        </w:tc>
        <w:tc>
          <w:tcPr>
            <w:tcW w:w="1440" w:type="dxa"/>
            <w:gridSpan w:val="2"/>
          </w:tcPr>
          <w:p w14:paraId="1CD3314B" w14:textId="77777777" w:rsidR="00F35D51" w:rsidRPr="00FE7A1F" w:rsidRDefault="00F35D51" w:rsidP="00B05959">
            <w:pPr>
              <w:spacing w:line="240" w:lineRule="auto"/>
              <w:rPr>
                <w:sz w:val="20"/>
                <w:szCs w:val="20"/>
              </w:rPr>
            </w:pPr>
            <w:r>
              <w:rPr>
                <w:sz w:val="20"/>
                <w:szCs w:val="20"/>
              </w:rPr>
              <w:t>Sigma Aldrich</w:t>
            </w:r>
          </w:p>
        </w:tc>
        <w:tc>
          <w:tcPr>
            <w:tcW w:w="1386" w:type="dxa"/>
          </w:tcPr>
          <w:p w14:paraId="6D16C523" w14:textId="77777777" w:rsidR="00F35D51" w:rsidRDefault="00F35D51" w:rsidP="00B05959">
            <w:pPr>
              <w:spacing w:line="240" w:lineRule="auto"/>
              <w:jc w:val="center"/>
              <w:rPr>
                <w:sz w:val="20"/>
                <w:szCs w:val="20"/>
              </w:rPr>
            </w:pPr>
            <w:r>
              <w:rPr>
                <w:sz w:val="20"/>
                <w:szCs w:val="20"/>
              </w:rPr>
              <w:t>99.9</w:t>
            </w:r>
          </w:p>
        </w:tc>
        <w:tc>
          <w:tcPr>
            <w:tcW w:w="2167" w:type="dxa"/>
          </w:tcPr>
          <w:p w14:paraId="1D95C714" w14:textId="77777777" w:rsidR="00F35D51" w:rsidRDefault="00F35D51" w:rsidP="00B05959">
            <w:pPr>
              <w:spacing w:line="240" w:lineRule="auto"/>
              <w:jc w:val="center"/>
              <w:rPr>
                <w:sz w:val="20"/>
                <w:szCs w:val="20"/>
              </w:rPr>
            </w:pPr>
            <w:r>
              <w:rPr>
                <w:sz w:val="20"/>
                <w:szCs w:val="20"/>
              </w:rPr>
              <w:t>-</w:t>
            </w:r>
          </w:p>
        </w:tc>
      </w:tr>
      <w:tr w:rsidR="00F35D51" w:rsidRPr="00FE7A1F" w14:paraId="1E4FF6F4" w14:textId="77777777" w:rsidTr="00B05959">
        <w:trPr>
          <w:jc w:val="center"/>
        </w:trPr>
        <w:tc>
          <w:tcPr>
            <w:tcW w:w="1800" w:type="dxa"/>
          </w:tcPr>
          <w:p w14:paraId="0DD85C29" w14:textId="77777777" w:rsidR="00F35D51" w:rsidRPr="00E465A3" w:rsidRDefault="00F35D51" w:rsidP="00B05959">
            <w:pPr>
              <w:spacing w:line="240" w:lineRule="auto"/>
              <w:rPr>
                <w:sz w:val="20"/>
                <w:szCs w:val="20"/>
                <w:vertAlign w:val="subscript"/>
              </w:rPr>
            </w:pPr>
            <w:r>
              <w:rPr>
                <w:sz w:val="20"/>
                <w:szCs w:val="20"/>
              </w:rPr>
              <w:t>FeCl</w:t>
            </w:r>
            <w:r w:rsidRPr="00B019CB">
              <w:rPr>
                <w:sz w:val="20"/>
                <w:szCs w:val="20"/>
                <w:vertAlign w:val="subscript"/>
              </w:rPr>
              <w:t>3</w:t>
            </w:r>
            <w:r>
              <w:rPr>
                <w:sz w:val="20"/>
                <w:szCs w:val="20"/>
                <w:vertAlign w:val="subscript"/>
              </w:rPr>
              <w:t xml:space="preserve"> </w:t>
            </w:r>
            <w:r w:rsidRPr="00CE1C78">
              <w:rPr>
                <w:sz w:val="20"/>
                <w:szCs w:val="20"/>
              </w:rPr>
              <w:t>(Anhydrous)</w:t>
            </w:r>
          </w:p>
        </w:tc>
        <w:tc>
          <w:tcPr>
            <w:tcW w:w="1440" w:type="dxa"/>
            <w:gridSpan w:val="2"/>
          </w:tcPr>
          <w:p w14:paraId="40545528" w14:textId="77777777" w:rsidR="00F35D51" w:rsidRDefault="00F35D51" w:rsidP="00B05959">
            <w:pPr>
              <w:spacing w:line="240" w:lineRule="auto"/>
              <w:rPr>
                <w:sz w:val="20"/>
                <w:szCs w:val="20"/>
              </w:rPr>
            </w:pPr>
            <w:r>
              <w:rPr>
                <w:sz w:val="20"/>
                <w:szCs w:val="20"/>
              </w:rPr>
              <w:t>Alfa Aesar</w:t>
            </w:r>
          </w:p>
        </w:tc>
        <w:tc>
          <w:tcPr>
            <w:tcW w:w="1386" w:type="dxa"/>
          </w:tcPr>
          <w:p w14:paraId="7E53A536" w14:textId="77777777" w:rsidR="00F35D51" w:rsidRDefault="00F35D51" w:rsidP="00B05959">
            <w:pPr>
              <w:spacing w:line="240" w:lineRule="auto"/>
              <w:jc w:val="center"/>
              <w:rPr>
                <w:sz w:val="20"/>
                <w:szCs w:val="20"/>
              </w:rPr>
            </w:pPr>
            <w:r>
              <w:rPr>
                <w:sz w:val="20"/>
                <w:szCs w:val="20"/>
              </w:rPr>
              <w:t>98</w:t>
            </w:r>
          </w:p>
        </w:tc>
        <w:tc>
          <w:tcPr>
            <w:tcW w:w="2167" w:type="dxa"/>
          </w:tcPr>
          <w:p w14:paraId="69F605F8" w14:textId="77777777" w:rsidR="00F35D51" w:rsidRDefault="00F35D51" w:rsidP="00B05959">
            <w:pPr>
              <w:spacing w:line="240" w:lineRule="auto"/>
              <w:jc w:val="center"/>
              <w:rPr>
                <w:sz w:val="20"/>
                <w:szCs w:val="20"/>
              </w:rPr>
            </w:pPr>
            <w:r>
              <w:rPr>
                <w:sz w:val="20"/>
                <w:szCs w:val="20"/>
              </w:rPr>
              <w:t>-</w:t>
            </w:r>
          </w:p>
        </w:tc>
      </w:tr>
      <w:tr w:rsidR="00F35D51" w:rsidRPr="00FE7A1F" w14:paraId="4AB6ABAE" w14:textId="77777777" w:rsidTr="00B05959">
        <w:trPr>
          <w:jc w:val="center"/>
        </w:trPr>
        <w:tc>
          <w:tcPr>
            <w:tcW w:w="1800" w:type="dxa"/>
          </w:tcPr>
          <w:p w14:paraId="7CC1ABC7" w14:textId="77777777" w:rsidR="00F35D51" w:rsidRPr="00FE7A1F" w:rsidRDefault="00F35D51" w:rsidP="00B05959">
            <w:pPr>
              <w:spacing w:line="240" w:lineRule="auto"/>
              <w:rPr>
                <w:sz w:val="20"/>
                <w:szCs w:val="20"/>
              </w:rPr>
            </w:pPr>
            <w:r>
              <w:rPr>
                <w:sz w:val="20"/>
                <w:szCs w:val="20"/>
              </w:rPr>
              <w:t>Ni NPs</w:t>
            </w:r>
          </w:p>
        </w:tc>
        <w:tc>
          <w:tcPr>
            <w:tcW w:w="1440" w:type="dxa"/>
            <w:gridSpan w:val="2"/>
          </w:tcPr>
          <w:p w14:paraId="2CE7F9E4" w14:textId="77777777" w:rsidR="00F35D51" w:rsidRPr="00FE7A1F" w:rsidRDefault="00F35D51" w:rsidP="00B05959">
            <w:pPr>
              <w:spacing w:line="240" w:lineRule="auto"/>
              <w:rPr>
                <w:sz w:val="20"/>
                <w:szCs w:val="20"/>
              </w:rPr>
            </w:pPr>
            <w:r w:rsidRPr="00FE7A1F">
              <w:rPr>
                <w:sz w:val="20"/>
                <w:szCs w:val="20"/>
              </w:rPr>
              <w:t>Alfa Aesar</w:t>
            </w:r>
          </w:p>
        </w:tc>
        <w:tc>
          <w:tcPr>
            <w:tcW w:w="1386" w:type="dxa"/>
          </w:tcPr>
          <w:p w14:paraId="5A6A5866" w14:textId="77777777" w:rsidR="00F35D51" w:rsidRPr="00FE7A1F" w:rsidRDefault="00F35D51" w:rsidP="00B05959">
            <w:pPr>
              <w:spacing w:line="240" w:lineRule="auto"/>
              <w:jc w:val="center"/>
              <w:rPr>
                <w:sz w:val="20"/>
                <w:szCs w:val="20"/>
              </w:rPr>
            </w:pPr>
            <w:r>
              <w:rPr>
                <w:sz w:val="20"/>
                <w:szCs w:val="20"/>
              </w:rPr>
              <w:t>&gt;</w:t>
            </w:r>
            <w:r w:rsidRPr="00FE7A1F">
              <w:rPr>
                <w:sz w:val="20"/>
                <w:szCs w:val="20"/>
              </w:rPr>
              <w:t>99</w:t>
            </w:r>
          </w:p>
        </w:tc>
        <w:tc>
          <w:tcPr>
            <w:tcW w:w="2167" w:type="dxa"/>
          </w:tcPr>
          <w:p w14:paraId="3CCE2037" w14:textId="77777777" w:rsidR="00F35D51" w:rsidRPr="00FE7A1F" w:rsidRDefault="00F35D51" w:rsidP="00B05959">
            <w:pPr>
              <w:spacing w:line="240" w:lineRule="auto"/>
              <w:jc w:val="center"/>
              <w:rPr>
                <w:sz w:val="20"/>
                <w:szCs w:val="20"/>
              </w:rPr>
            </w:pPr>
            <w:r>
              <w:rPr>
                <w:sz w:val="20"/>
                <w:szCs w:val="20"/>
              </w:rPr>
              <w:t>&lt;100</w:t>
            </w:r>
          </w:p>
        </w:tc>
      </w:tr>
      <w:tr w:rsidR="00F35D51" w:rsidRPr="00FE7A1F" w14:paraId="29880394" w14:textId="77777777" w:rsidTr="00B05959">
        <w:trPr>
          <w:jc w:val="center"/>
        </w:trPr>
        <w:tc>
          <w:tcPr>
            <w:tcW w:w="1800" w:type="dxa"/>
          </w:tcPr>
          <w:p w14:paraId="5CE519E9" w14:textId="77777777" w:rsidR="00F35D51" w:rsidRPr="00FE7A1F" w:rsidRDefault="00F35D51" w:rsidP="00B05959">
            <w:pPr>
              <w:spacing w:line="240" w:lineRule="auto"/>
              <w:rPr>
                <w:rFonts w:eastAsia="MS Mincho"/>
                <w:sz w:val="20"/>
                <w:szCs w:val="20"/>
              </w:rPr>
            </w:pPr>
            <w:r>
              <w:rPr>
                <w:sz w:val="20"/>
                <w:szCs w:val="20"/>
              </w:rPr>
              <w:t>IrO</w:t>
            </w:r>
            <w:r w:rsidRPr="00BB48C8">
              <w:rPr>
                <w:sz w:val="20"/>
                <w:szCs w:val="20"/>
                <w:vertAlign w:val="subscript"/>
              </w:rPr>
              <w:t>2</w:t>
            </w:r>
            <w:r>
              <w:rPr>
                <w:sz w:val="20"/>
                <w:szCs w:val="20"/>
              </w:rPr>
              <w:t>-AA</w:t>
            </w:r>
          </w:p>
        </w:tc>
        <w:tc>
          <w:tcPr>
            <w:tcW w:w="1440" w:type="dxa"/>
            <w:gridSpan w:val="2"/>
          </w:tcPr>
          <w:p w14:paraId="5C1FE878" w14:textId="77777777" w:rsidR="00F35D51" w:rsidRPr="00FE7A1F" w:rsidRDefault="00F35D51" w:rsidP="00B05959">
            <w:pPr>
              <w:spacing w:line="240" w:lineRule="auto"/>
              <w:rPr>
                <w:sz w:val="20"/>
                <w:szCs w:val="20"/>
              </w:rPr>
            </w:pPr>
            <w:r w:rsidRPr="00FE7A1F">
              <w:rPr>
                <w:sz w:val="20"/>
                <w:szCs w:val="20"/>
              </w:rPr>
              <w:t>Alfa Aesar</w:t>
            </w:r>
          </w:p>
        </w:tc>
        <w:tc>
          <w:tcPr>
            <w:tcW w:w="1386" w:type="dxa"/>
          </w:tcPr>
          <w:p w14:paraId="4F2621DA" w14:textId="77777777" w:rsidR="00F35D51" w:rsidRPr="00FE7A1F" w:rsidRDefault="00F35D51" w:rsidP="00B05959">
            <w:pPr>
              <w:spacing w:line="240" w:lineRule="auto"/>
              <w:jc w:val="center"/>
              <w:rPr>
                <w:sz w:val="20"/>
                <w:szCs w:val="20"/>
              </w:rPr>
            </w:pPr>
            <w:r w:rsidRPr="00FE7A1F">
              <w:rPr>
                <w:sz w:val="20"/>
                <w:szCs w:val="20"/>
              </w:rPr>
              <w:t>99.</w:t>
            </w:r>
            <w:r>
              <w:rPr>
                <w:sz w:val="20"/>
                <w:szCs w:val="20"/>
              </w:rPr>
              <w:t>99</w:t>
            </w:r>
          </w:p>
        </w:tc>
        <w:tc>
          <w:tcPr>
            <w:tcW w:w="2167" w:type="dxa"/>
          </w:tcPr>
          <w:p w14:paraId="04ED955F" w14:textId="77777777" w:rsidR="00F35D51" w:rsidRPr="00FE7A1F" w:rsidRDefault="00F35D51" w:rsidP="00B05959">
            <w:pPr>
              <w:spacing w:line="240" w:lineRule="auto"/>
              <w:jc w:val="center"/>
              <w:rPr>
                <w:sz w:val="20"/>
                <w:szCs w:val="20"/>
              </w:rPr>
            </w:pPr>
            <w:r>
              <w:rPr>
                <w:sz w:val="20"/>
                <w:szCs w:val="20"/>
              </w:rPr>
              <w:t>-</w:t>
            </w:r>
          </w:p>
        </w:tc>
      </w:tr>
      <w:tr w:rsidR="00F35D51" w:rsidRPr="00FE7A1F" w14:paraId="6642B2F9" w14:textId="77777777" w:rsidTr="00B05959">
        <w:trPr>
          <w:jc w:val="center"/>
        </w:trPr>
        <w:tc>
          <w:tcPr>
            <w:tcW w:w="1890" w:type="dxa"/>
            <w:gridSpan w:val="2"/>
            <w:tcBorders>
              <w:bottom w:val="single" w:sz="4" w:space="0" w:color="auto"/>
            </w:tcBorders>
          </w:tcPr>
          <w:p w14:paraId="61FE02BB" w14:textId="77777777" w:rsidR="00F35D51" w:rsidRDefault="00F35D51" w:rsidP="00B05959">
            <w:pPr>
              <w:spacing w:line="240" w:lineRule="auto"/>
              <w:rPr>
                <w:rFonts w:eastAsia="MS Mincho"/>
                <w:sz w:val="20"/>
                <w:szCs w:val="20"/>
              </w:rPr>
            </w:pPr>
            <w:r>
              <w:rPr>
                <w:sz w:val="20"/>
                <w:szCs w:val="20"/>
              </w:rPr>
              <w:t>Nafion-D521</w:t>
            </w:r>
          </w:p>
        </w:tc>
        <w:tc>
          <w:tcPr>
            <w:tcW w:w="1350" w:type="dxa"/>
            <w:tcBorders>
              <w:bottom w:val="single" w:sz="4" w:space="0" w:color="auto"/>
            </w:tcBorders>
          </w:tcPr>
          <w:p w14:paraId="68BBA216" w14:textId="77777777" w:rsidR="00F35D51" w:rsidRPr="00FE7A1F" w:rsidRDefault="00F35D51" w:rsidP="00B05959">
            <w:pPr>
              <w:spacing w:line="240" w:lineRule="auto"/>
              <w:rPr>
                <w:sz w:val="20"/>
                <w:szCs w:val="20"/>
              </w:rPr>
            </w:pPr>
            <w:r>
              <w:rPr>
                <w:sz w:val="20"/>
                <w:szCs w:val="20"/>
              </w:rPr>
              <w:t>Ion Power</w:t>
            </w:r>
          </w:p>
        </w:tc>
        <w:tc>
          <w:tcPr>
            <w:tcW w:w="1386" w:type="dxa"/>
            <w:tcBorders>
              <w:bottom w:val="single" w:sz="4" w:space="0" w:color="auto"/>
            </w:tcBorders>
          </w:tcPr>
          <w:p w14:paraId="01462440" w14:textId="77777777" w:rsidR="00F35D51" w:rsidRPr="00FE7A1F" w:rsidRDefault="00F35D51" w:rsidP="00B05959">
            <w:pPr>
              <w:spacing w:line="240" w:lineRule="auto"/>
              <w:jc w:val="center"/>
              <w:rPr>
                <w:sz w:val="20"/>
                <w:szCs w:val="20"/>
              </w:rPr>
            </w:pPr>
            <w:r>
              <w:rPr>
                <w:sz w:val="20"/>
                <w:szCs w:val="20"/>
              </w:rPr>
              <w:t>-</w:t>
            </w:r>
          </w:p>
        </w:tc>
        <w:tc>
          <w:tcPr>
            <w:tcW w:w="2167" w:type="dxa"/>
            <w:tcBorders>
              <w:bottom w:val="single" w:sz="4" w:space="0" w:color="auto"/>
            </w:tcBorders>
          </w:tcPr>
          <w:p w14:paraId="7AE96132" w14:textId="77777777" w:rsidR="00F35D51" w:rsidRPr="00FE7A1F" w:rsidRDefault="00F35D51" w:rsidP="00B05959">
            <w:pPr>
              <w:keepNext/>
              <w:spacing w:line="240" w:lineRule="auto"/>
              <w:jc w:val="center"/>
              <w:rPr>
                <w:sz w:val="20"/>
                <w:szCs w:val="20"/>
              </w:rPr>
            </w:pPr>
            <w:r>
              <w:rPr>
                <w:sz w:val="20"/>
                <w:szCs w:val="20"/>
              </w:rPr>
              <w:t>-</w:t>
            </w:r>
          </w:p>
        </w:tc>
      </w:tr>
    </w:tbl>
    <w:p w14:paraId="27D8F0EC" w14:textId="77777777" w:rsidR="00F35D51" w:rsidRDefault="00F35D51" w:rsidP="00F35D51">
      <w:pPr>
        <w:spacing w:line="480" w:lineRule="auto"/>
        <w:rPr>
          <w:rFonts w:ascii="Times New Roman" w:hAnsi="Times New Roman"/>
          <w:bCs/>
          <w:color w:val="000000" w:themeColor="text1"/>
          <w:u w:val="single"/>
        </w:rPr>
      </w:pPr>
    </w:p>
    <w:p w14:paraId="489F47E1" w14:textId="5D55A9AF" w:rsidR="00F35D51" w:rsidRPr="002B3E9A" w:rsidRDefault="00772C5F" w:rsidP="00F35D51">
      <w:pPr>
        <w:spacing w:line="480" w:lineRule="auto"/>
        <w:rPr>
          <w:rFonts w:ascii="Times New Roman" w:hAnsi="Times New Roman"/>
          <w:bCs/>
          <w:color w:val="000000" w:themeColor="text1"/>
          <w:u w:val="single"/>
        </w:rPr>
      </w:pPr>
      <w:r>
        <w:rPr>
          <w:rFonts w:ascii="Times New Roman" w:hAnsi="Times New Roman"/>
          <w:bCs/>
          <w:color w:val="000000" w:themeColor="text1"/>
          <w:u w:val="single"/>
        </w:rPr>
        <w:t>Cryomilling</w:t>
      </w:r>
    </w:p>
    <w:p w14:paraId="68BF1BED" w14:textId="1329FAC2" w:rsidR="00CF1F0E" w:rsidRDefault="00772C5F" w:rsidP="00CF1F0E">
      <w:pPr>
        <w:spacing w:line="480" w:lineRule="auto"/>
        <w:jc w:val="both"/>
        <w:rPr>
          <w:rFonts w:asciiTheme="majorBidi" w:eastAsia="Arial Unicode MS" w:hAnsiTheme="majorBidi" w:cstheme="majorBidi"/>
          <w:iCs/>
        </w:rPr>
      </w:pPr>
      <w:r>
        <w:rPr>
          <w:rFonts w:ascii="Times New Roman" w:eastAsia="Arial Unicode MS" w:hAnsi="Times New Roman" w:cs="Times New Roman"/>
          <w:iCs/>
        </w:rPr>
        <w:t>Cryom</w:t>
      </w:r>
      <w:r w:rsidR="00F35D51" w:rsidRPr="00AD0181">
        <w:rPr>
          <w:rFonts w:ascii="Times New Roman" w:eastAsia="Arial Unicode MS" w:hAnsi="Times New Roman" w:cs="Times New Roman"/>
          <w:iCs/>
        </w:rPr>
        <w:t xml:space="preserve">illing was </w:t>
      </w:r>
      <w:r w:rsidR="007C78FA">
        <w:rPr>
          <w:rFonts w:ascii="Times New Roman" w:eastAsia="Arial Unicode MS" w:hAnsi="Times New Roman" w:cs="Times New Roman"/>
          <w:iCs/>
        </w:rPr>
        <w:t>conducted</w:t>
      </w:r>
      <w:r w:rsidR="00F35D51" w:rsidRPr="00AD0181">
        <w:rPr>
          <w:rFonts w:ascii="Times New Roman" w:eastAsia="Arial Unicode MS" w:hAnsi="Times New Roman" w:cs="Times New Roman"/>
          <w:iCs/>
        </w:rPr>
        <w:t xml:space="preserve"> in a Retsch Cryomill.</w:t>
      </w:r>
      <w:r w:rsidR="00E50027">
        <w:rPr>
          <w:rFonts w:ascii="Times New Roman" w:eastAsia="Arial Unicode MS" w:hAnsi="Times New Roman" w:cs="Times New Roman"/>
          <w:iCs/>
        </w:rPr>
        <w:t xml:space="preserve"> </w:t>
      </w:r>
      <w:r w:rsidR="00595E42" w:rsidRPr="00AD0181">
        <w:rPr>
          <w:rFonts w:ascii="Times New Roman" w:eastAsia="Arial Unicode MS" w:hAnsi="Times New Roman" w:cs="Times New Roman"/>
          <w:iCs/>
        </w:rPr>
        <w:t xml:space="preserve">The </w:t>
      </w:r>
      <w:r w:rsidR="00595E42" w:rsidRPr="002B4705">
        <w:rPr>
          <w:rFonts w:asciiTheme="majorBidi" w:eastAsia="Arial Unicode MS" w:hAnsiTheme="majorBidi" w:cstheme="majorBidi"/>
          <w:iCs/>
        </w:rPr>
        <w:t>Ni, Co, and Se powders</w:t>
      </w:r>
      <w:r w:rsidR="00595E42" w:rsidRPr="00AD0181">
        <w:rPr>
          <w:rFonts w:ascii="Times New Roman" w:eastAsia="Arial Unicode MS" w:hAnsi="Times New Roman" w:cs="Times New Roman"/>
          <w:iCs/>
        </w:rPr>
        <w:t xml:space="preserve"> </w:t>
      </w:r>
      <w:r w:rsidR="00595E42" w:rsidRPr="002B4705">
        <w:rPr>
          <w:rFonts w:asciiTheme="majorBidi" w:eastAsia="Arial Unicode MS" w:hAnsiTheme="majorBidi" w:cstheme="majorBidi"/>
          <w:iCs/>
        </w:rPr>
        <w:t>with two stainless steel balls (7</w:t>
      </w:r>
      <w:r w:rsidR="00595E42">
        <w:rPr>
          <w:rFonts w:asciiTheme="majorBidi" w:eastAsia="Arial Unicode MS" w:hAnsiTheme="majorBidi" w:cstheme="majorBidi"/>
          <w:iCs/>
        </w:rPr>
        <w:t xml:space="preserve"> </w:t>
      </w:r>
      <w:r w:rsidR="00595E42" w:rsidRPr="002B4705">
        <w:rPr>
          <w:rFonts w:asciiTheme="majorBidi" w:eastAsia="Arial Unicode MS" w:hAnsiTheme="majorBidi" w:cstheme="majorBidi"/>
          <w:iCs/>
        </w:rPr>
        <w:t>mm diameter)</w:t>
      </w:r>
      <w:r w:rsidR="00595E42" w:rsidRPr="00AD0181">
        <w:rPr>
          <w:rFonts w:ascii="Times New Roman" w:eastAsia="Arial Unicode MS" w:hAnsi="Times New Roman" w:cs="Times New Roman"/>
          <w:iCs/>
        </w:rPr>
        <w:t xml:space="preserve">, weighing together 2769 mg, were all placed in a 5 mL stainless steel </w:t>
      </w:r>
      <w:r w:rsidR="00466072">
        <w:rPr>
          <w:rFonts w:ascii="Times New Roman" w:eastAsia="Arial Unicode MS" w:hAnsi="Times New Roman" w:cs="Times New Roman"/>
          <w:iCs/>
        </w:rPr>
        <w:t>jar</w:t>
      </w:r>
      <w:r w:rsidR="00595E42" w:rsidRPr="00AD0181">
        <w:rPr>
          <w:rFonts w:ascii="Times New Roman" w:eastAsia="Arial Unicode MS" w:hAnsi="Times New Roman" w:cs="Times New Roman"/>
          <w:iCs/>
        </w:rPr>
        <w:t xml:space="preserve"> to maintain a ball-to-powder ratio (BPR) of 10:1</w:t>
      </w:r>
      <w:r w:rsidR="00595E42">
        <w:rPr>
          <w:rFonts w:ascii="Times New Roman" w:eastAsia="Arial Unicode MS" w:hAnsi="Times New Roman" w:cs="Times New Roman"/>
          <w:iCs/>
        </w:rPr>
        <w:t xml:space="preserve">. </w:t>
      </w:r>
      <w:r w:rsidR="00E50027" w:rsidRPr="002B4705">
        <w:rPr>
          <w:rFonts w:asciiTheme="majorBidi" w:eastAsia="Arial Unicode MS" w:hAnsiTheme="majorBidi" w:cstheme="majorBidi"/>
          <w:iCs/>
        </w:rPr>
        <w:t xml:space="preserve">To prevent undesired oxidation during milling, </w:t>
      </w:r>
      <w:r w:rsidR="00595E42">
        <w:rPr>
          <w:rFonts w:asciiTheme="majorBidi" w:eastAsia="Arial Unicode MS" w:hAnsiTheme="majorBidi" w:cstheme="majorBidi"/>
          <w:iCs/>
        </w:rPr>
        <w:t>the jar w</w:t>
      </w:r>
      <w:r w:rsidR="00466072">
        <w:rPr>
          <w:rFonts w:asciiTheme="majorBidi" w:eastAsia="Arial Unicode MS" w:hAnsiTheme="majorBidi" w:cstheme="majorBidi"/>
          <w:iCs/>
        </w:rPr>
        <w:t>as</w:t>
      </w:r>
      <w:r w:rsidR="00E50027" w:rsidRPr="002B4705">
        <w:rPr>
          <w:rFonts w:asciiTheme="majorBidi" w:eastAsia="Arial Unicode MS" w:hAnsiTheme="majorBidi" w:cstheme="majorBidi"/>
          <w:iCs/>
        </w:rPr>
        <w:t xml:space="preserve"> sealed </w:t>
      </w:r>
      <w:r w:rsidR="00E50027">
        <w:rPr>
          <w:rFonts w:asciiTheme="majorBidi" w:eastAsia="Arial Unicode MS" w:hAnsiTheme="majorBidi" w:cstheme="majorBidi"/>
          <w:iCs/>
        </w:rPr>
        <w:t>in</w:t>
      </w:r>
      <w:r w:rsidR="00E50027" w:rsidRPr="002B4705">
        <w:rPr>
          <w:rFonts w:asciiTheme="majorBidi" w:eastAsia="Arial Unicode MS" w:hAnsiTheme="majorBidi" w:cstheme="majorBidi"/>
          <w:iCs/>
        </w:rPr>
        <w:t xml:space="preserve"> Ar </w:t>
      </w:r>
      <w:r w:rsidR="00466072">
        <w:rPr>
          <w:rFonts w:asciiTheme="majorBidi" w:eastAsia="Arial Unicode MS" w:hAnsiTheme="majorBidi" w:cstheme="majorBidi"/>
          <w:iCs/>
        </w:rPr>
        <w:t>and then placed in</w:t>
      </w:r>
      <w:r w:rsidR="00E50027" w:rsidRPr="002B4705">
        <w:rPr>
          <w:rFonts w:asciiTheme="majorBidi" w:eastAsia="Arial Unicode MS" w:hAnsiTheme="majorBidi" w:cstheme="majorBidi"/>
          <w:iCs/>
        </w:rPr>
        <w:t xml:space="preserve"> a milling container</w:t>
      </w:r>
      <w:r w:rsidR="00E50027">
        <w:rPr>
          <w:rFonts w:asciiTheme="majorBidi" w:eastAsia="Arial Unicode MS" w:hAnsiTheme="majorBidi" w:cstheme="majorBidi"/>
          <w:iCs/>
        </w:rPr>
        <w:t xml:space="preserve"> (each container can hold 4 milling jars)</w:t>
      </w:r>
      <w:r w:rsidR="00E50027" w:rsidRPr="002B4705">
        <w:rPr>
          <w:rFonts w:asciiTheme="majorBidi" w:eastAsia="Arial Unicode MS" w:hAnsiTheme="majorBidi" w:cstheme="majorBidi"/>
          <w:iCs/>
        </w:rPr>
        <w:t xml:space="preserve">. Then, the powders were milled at a high linear speed (30 Hz) and forced to blend under the influence of ball-powder-ball high-energy collisions. </w:t>
      </w:r>
    </w:p>
    <w:p w14:paraId="27239B7A" w14:textId="662C9A72" w:rsidR="00CF1F0E" w:rsidRDefault="00CF1F0E" w:rsidP="00CF1F0E">
      <w:pPr>
        <w:spacing w:line="480" w:lineRule="auto"/>
        <w:jc w:val="both"/>
        <w:rPr>
          <w:rFonts w:asciiTheme="majorBidi" w:eastAsia="Arial Unicode MS" w:hAnsiTheme="majorBidi" w:cstheme="majorBidi"/>
          <w:iCs/>
        </w:rPr>
      </w:pPr>
      <w:r w:rsidRPr="00AD0181">
        <w:rPr>
          <w:rFonts w:ascii="Times New Roman" w:eastAsia="Arial Unicode MS" w:hAnsi="Times New Roman" w:cs="Times New Roman"/>
          <w:iCs/>
        </w:rPr>
        <w:t xml:space="preserve">Cryomilling was performed in cycles of 30 minutes each. Between cycles, the vails were pre-cooled by flowing liquid nitrogen (LN2) </w:t>
      </w:r>
      <w:r>
        <w:rPr>
          <w:rFonts w:asciiTheme="majorBidi" w:eastAsia="Arial Unicode MS" w:hAnsiTheme="majorBidi" w:cstheme="majorBidi"/>
          <w:iCs/>
        </w:rPr>
        <w:t>through</w:t>
      </w:r>
      <w:r w:rsidRPr="002B4705">
        <w:rPr>
          <w:rFonts w:asciiTheme="majorBidi" w:eastAsia="Arial Unicode MS" w:hAnsiTheme="majorBidi" w:cstheme="majorBidi"/>
          <w:iCs/>
        </w:rPr>
        <w:t xml:space="preserve"> the container and over the outer surface of the</w:t>
      </w:r>
      <w:r>
        <w:rPr>
          <w:rFonts w:asciiTheme="majorBidi" w:eastAsia="Arial Unicode MS" w:hAnsiTheme="majorBidi" w:cstheme="majorBidi"/>
          <w:iCs/>
        </w:rPr>
        <w:t xml:space="preserve"> milling</w:t>
      </w:r>
      <w:r w:rsidRPr="002B4705">
        <w:rPr>
          <w:rFonts w:asciiTheme="majorBidi" w:eastAsia="Arial Unicode MS" w:hAnsiTheme="majorBidi" w:cstheme="majorBidi"/>
          <w:iCs/>
        </w:rPr>
        <w:t xml:space="preserve"> jar</w:t>
      </w:r>
      <w:r w:rsidRPr="00AD0181">
        <w:rPr>
          <w:rFonts w:ascii="Times New Roman" w:eastAsia="Arial Unicode MS" w:hAnsi="Times New Roman" w:cs="Times New Roman"/>
          <w:iCs/>
        </w:rPr>
        <w:t xml:space="preserve"> for 5 minutes to sustain cryogenic temperatures during the entire ball milling process.</w:t>
      </w:r>
    </w:p>
    <w:p w14:paraId="79C86E8A" w14:textId="5F491593" w:rsidR="00F35D51" w:rsidRPr="00E4118B" w:rsidRDefault="00F35D51" w:rsidP="00F35D51">
      <w:pPr>
        <w:spacing w:line="480" w:lineRule="auto"/>
        <w:jc w:val="both"/>
        <w:rPr>
          <w:rFonts w:ascii="Times New Roman" w:hAnsi="Times New Roman" w:cs="Times New Roman"/>
          <w:lang w:val="en-US"/>
        </w:rPr>
      </w:pPr>
      <w:r w:rsidRPr="00E4118B">
        <w:rPr>
          <w:rFonts w:ascii="Times New Roman" w:hAnsi="Times New Roman" w:cs="Times New Roman"/>
          <w:lang w:val="en-US"/>
        </w:rPr>
        <w:t>Using cryo-milling, Ni-Co-Se alloy</w:t>
      </w:r>
      <w:r w:rsidR="00026C63">
        <w:rPr>
          <w:rFonts w:ascii="Times New Roman" w:hAnsi="Times New Roman" w:cs="Times New Roman"/>
          <w:lang w:val="en-US"/>
        </w:rPr>
        <w:t xml:space="preserve"> compounds </w:t>
      </w:r>
      <w:r w:rsidRPr="00E4118B">
        <w:rPr>
          <w:rFonts w:ascii="Times New Roman" w:hAnsi="Times New Roman" w:cs="Times New Roman"/>
          <w:lang w:val="en-US"/>
        </w:rPr>
        <w:t xml:space="preserve">were prepared according to quantities and the procedure shown in </w:t>
      </w:r>
      <w:r w:rsidR="00026C63">
        <w:rPr>
          <w:rFonts w:ascii="Times New Roman" w:hAnsi="Times New Roman" w:cs="Times New Roman"/>
          <w:lang w:val="en-US"/>
        </w:rPr>
        <w:t>Table S2</w:t>
      </w:r>
      <w:r w:rsidRPr="00E4118B">
        <w:rPr>
          <w:rFonts w:ascii="Times New Roman" w:hAnsi="Times New Roman" w:cs="Times New Roman"/>
          <w:lang w:val="en-US"/>
        </w:rPr>
        <w:t>.</w:t>
      </w:r>
    </w:p>
    <w:p w14:paraId="194593B4" w14:textId="2DEBE138" w:rsidR="00F35D51" w:rsidRPr="001B154E" w:rsidRDefault="00F35D51" w:rsidP="00F35D51">
      <w:pPr>
        <w:pStyle w:val="Caption"/>
        <w:keepNext/>
        <w:jc w:val="center"/>
        <w:rPr>
          <w:b w:val="0"/>
          <w:bCs w:val="0"/>
        </w:rPr>
      </w:pPr>
      <w:bookmarkStart w:id="2" w:name="_Ref19230705"/>
      <w:bookmarkStart w:id="3" w:name="_Toc19565981"/>
      <w:r>
        <w:t xml:space="preserve">Table </w:t>
      </w:r>
      <w:bookmarkEnd w:id="2"/>
      <w:r>
        <w:t>S</w:t>
      </w:r>
      <w:r>
        <w:rPr>
          <w:noProof/>
        </w:rPr>
        <w:t>2</w:t>
      </w:r>
      <w:r w:rsidR="002C0286">
        <w:rPr>
          <w:noProof/>
        </w:rPr>
        <w:t>.</w:t>
      </w:r>
      <w:r>
        <w:t xml:space="preserve"> </w:t>
      </w:r>
      <w:r w:rsidRPr="001B154E">
        <w:rPr>
          <w:b w:val="0"/>
          <w:bCs w:val="0"/>
        </w:rPr>
        <w:t>Weight percentage of Ni-Co-Se alloy system</w:t>
      </w:r>
      <w:bookmarkEnd w:id="3"/>
    </w:p>
    <w:tbl>
      <w:tblPr>
        <w:tblStyle w:val="TableGrid"/>
        <w:tblW w:w="3235" w:type="dxa"/>
        <w:jc w:val="center"/>
        <w:tblLook w:val="04A0" w:firstRow="1" w:lastRow="0" w:firstColumn="1" w:lastColumn="0" w:noHBand="0" w:noVBand="1"/>
      </w:tblPr>
      <w:tblGrid>
        <w:gridCol w:w="1142"/>
        <w:gridCol w:w="926"/>
        <w:gridCol w:w="596"/>
        <w:gridCol w:w="571"/>
      </w:tblGrid>
      <w:tr w:rsidR="00F35D51" w:rsidRPr="00FE7A1F" w14:paraId="49E77E28" w14:textId="77777777" w:rsidTr="00B05959">
        <w:trPr>
          <w:trHeight w:val="503"/>
          <w:jc w:val="center"/>
        </w:trPr>
        <w:tc>
          <w:tcPr>
            <w:tcW w:w="1143" w:type="dxa"/>
            <w:vMerge w:val="restart"/>
            <w:tcBorders>
              <w:right w:val="nil"/>
            </w:tcBorders>
            <w:shd w:val="clear" w:color="auto" w:fill="C00000"/>
            <w:vAlign w:val="center"/>
          </w:tcPr>
          <w:p w14:paraId="1D4025B4" w14:textId="77777777" w:rsidR="00F35D51" w:rsidRPr="00AC0571" w:rsidRDefault="00F35D51" w:rsidP="00B05959">
            <w:pPr>
              <w:jc w:val="center"/>
              <w:rPr>
                <w:b/>
                <w:bCs/>
                <w:sz w:val="20"/>
                <w:szCs w:val="20"/>
              </w:rPr>
            </w:pPr>
            <w:r w:rsidRPr="00AC0571">
              <w:rPr>
                <w:b/>
                <w:bCs/>
                <w:sz w:val="20"/>
                <w:szCs w:val="20"/>
              </w:rPr>
              <w:t>Alloy</w:t>
            </w:r>
          </w:p>
        </w:tc>
        <w:tc>
          <w:tcPr>
            <w:tcW w:w="2092" w:type="dxa"/>
            <w:gridSpan w:val="3"/>
            <w:tcBorders>
              <w:left w:val="nil"/>
              <w:bottom w:val="nil"/>
            </w:tcBorders>
            <w:shd w:val="clear" w:color="auto" w:fill="C00000"/>
            <w:vAlign w:val="center"/>
          </w:tcPr>
          <w:p w14:paraId="40F31E8A" w14:textId="77777777" w:rsidR="00F35D51" w:rsidRPr="00FE7A1F" w:rsidRDefault="00F35D51" w:rsidP="00B05959">
            <w:pPr>
              <w:spacing w:after="0" w:line="240" w:lineRule="auto"/>
              <w:jc w:val="center"/>
              <w:rPr>
                <w:b/>
                <w:sz w:val="20"/>
                <w:szCs w:val="20"/>
              </w:rPr>
            </w:pPr>
            <w:r>
              <w:rPr>
                <w:b/>
                <w:sz w:val="20"/>
                <w:szCs w:val="20"/>
              </w:rPr>
              <w:t>Element (wt.%)</w:t>
            </w:r>
          </w:p>
        </w:tc>
      </w:tr>
      <w:tr w:rsidR="00F35D51" w:rsidRPr="00FE7A1F" w14:paraId="4BE61451" w14:textId="77777777" w:rsidTr="00B05959">
        <w:trPr>
          <w:trHeight w:val="395"/>
          <w:jc w:val="center"/>
        </w:trPr>
        <w:tc>
          <w:tcPr>
            <w:tcW w:w="1143" w:type="dxa"/>
            <w:vMerge/>
            <w:tcBorders>
              <w:bottom w:val="single" w:sz="4" w:space="0" w:color="auto"/>
              <w:right w:val="nil"/>
            </w:tcBorders>
            <w:shd w:val="clear" w:color="auto" w:fill="C00000"/>
          </w:tcPr>
          <w:p w14:paraId="50DF9F32" w14:textId="77777777" w:rsidR="00F35D51" w:rsidRPr="00FE7A1F" w:rsidRDefault="00F35D51" w:rsidP="00B05959">
            <w:pPr>
              <w:spacing w:after="0" w:line="240" w:lineRule="auto"/>
              <w:rPr>
                <w:sz w:val="20"/>
                <w:szCs w:val="20"/>
              </w:rPr>
            </w:pPr>
          </w:p>
        </w:tc>
        <w:tc>
          <w:tcPr>
            <w:tcW w:w="930" w:type="dxa"/>
            <w:tcBorders>
              <w:top w:val="nil"/>
              <w:left w:val="nil"/>
              <w:bottom w:val="single" w:sz="4" w:space="0" w:color="auto"/>
              <w:right w:val="nil"/>
            </w:tcBorders>
            <w:shd w:val="clear" w:color="auto" w:fill="C00000"/>
            <w:vAlign w:val="center"/>
          </w:tcPr>
          <w:p w14:paraId="2DEB12C3" w14:textId="77777777" w:rsidR="00F35D51" w:rsidRPr="00FE7A1F" w:rsidRDefault="00F35D51" w:rsidP="00B05959">
            <w:pPr>
              <w:spacing w:after="0" w:line="240" w:lineRule="auto"/>
              <w:jc w:val="center"/>
              <w:rPr>
                <w:sz w:val="20"/>
                <w:szCs w:val="20"/>
              </w:rPr>
            </w:pPr>
            <w:r>
              <w:rPr>
                <w:sz w:val="20"/>
                <w:szCs w:val="20"/>
              </w:rPr>
              <w:t>Ni</w:t>
            </w:r>
          </w:p>
        </w:tc>
        <w:tc>
          <w:tcPr>
            <w:tcW w:w="596" w:type="dxa"/>
            <w:tcBorders>
              <w:top w:val="nil"/>
              <w:left w:val="nil"/>
              <w:bottom w:val="single" w:sz="4" w:space="0" w:color="auto"/>
              <w:right w:val="nil"/>
            </w:tcBorders>
            <w:shd w:val="clear" w:color="auto" w:fill="C00000"/>
            <w:vAlign w:val="center"/>
          </w:tcPr>
          <w:p w14:paraId="2E3B9543" w14:textId="77777777" w:rsidR="00F35D51" w:rsidRPr="00FE7A1F" w:rsidRDefault="00F35D51" w:rsidP="00B05959">
            <w:pPr>
              <w:spacing w:after="0" w:line="240" w:lineRule="auto"/>
              <w:jc w:val="center"/>
              <w:rPr>
                <w:sz w:val="20"/>
                <w:szCs w:val="20"/>
              </w:rPr>
            </w:pPr>
            <w:r>
              <w:rPr>
                <w:sz w:val="20"/>
                <w:szCs w:val="20"/>
              </w:rPr>
              <w:t>Co</w:t>
            </w:r>
          </w:p>
        </w:tc>
        <w:tc>
          <w:tcPr>
            <w:tcW w:w="566" w:type="dxa"/>
            <w:tcBorders>
              <w:top w:val="nil"/>
              <w:left w:val="nil"/>
              <w:bottom w:val="single" w:sz="4" w:space="0" w:color="auto"/>
            </w:tcBorders>
            <w:shd w:val="clear" w:color="auto" w:fill="C00000"/>
            <w:vAlign w:val="center"/>
          </w:tcPr>
          <w:p w14:paraId="3ED9FDB0" w14:textId="77777777" w:rsidR="00F35D51" w:rsidRPr="00FE7A1F" w:rsidRDefault="00F35D51" w:rsidP="00B05959">
            <w:pPr>
              <w:spacing w:after="0" w:line="240" w:lineRule="auto"/>
              <w:jc w:val="center"/>
              <w:rPr>
                <w:sz w:val="20"/>
                <w:szCs w:val="20"/>
              </w:rPr>
            </w:pPr>
            <w:r>
              <w:rPr>
                <w:sz w:val="20"/>
                <w:szCs w:val="20"/>
              </w:rPr>
              <w:t>Se</w:t>
            </w:r>
          </w:p>
        </w:tc>
      </w:tr>
      <w:tr w:rsidR="00F35D51" w:rsidRPr="00BC65B5" w14:paraId="381DDA4B" w14:textId="77777777" w:rsidTr="00B05959">
        <w:trPr>
          <w:trHeight w:val="410"/>
          <w:jc w:val="center"/>
        </w:trPr>
        <w:tc>
          <w:tcPr>
            <w:tcW w:w="1143" w:type="dxa"/>
            <w:tcBorders>
              <w:left w:val="nil"/>
              <w:bottom w:val="nil"/>
              <w:right w:val="nil"/>
            </w:tcBorders>
            <w:vAlign w:val="center"/>
          </w:tcPr>
          <w:p w14:paraId="54A636EC" w14:textId="77777777" w:rsidR="00F35D51" w:rsidRPr="00BC65B5" w:rsidRDefault="00F35D51" w:rsidP="00B05959">
            <w:pPr>
              <w:spacing w:after="0" w:line="240" w:lineRule="auto"/>
              <w:rPr>
                <w:sz w:val="20"/>
                <w:szCs w:val="20"/>
              </w:rPr>
            </w:pPr>
            <w:r w:rsidRPr="00BC65B5">
              <w:rPr>
                <w:sz w:val="20"/>
                <w:szCs w:val="20"/>
              </w:rPr>
              <w:t>Ni-Se</w:t>
            </w:r>
          </w:p>
        </w:tc>
        <w:tc>
          <w:tcPr>
            <w:tcW w:w="930" w:type="dxa"/>
            <w:tcBorders>
              <w:left w:val="nil"/>
              <w:bottom w:val="nil"/>
              <w:right w:val="nil"/>
            </w:tcBorders>
            <w:vAlign w:val="center"/>
          </w:tcPr>
          <w:p w14:paraId="0795F13A" w14:textId="77777777" w:rsidR="00F35D51" w:rsidRPr="00BC65B5" w:rsidRDefault="00F35D51" w:rsidP="00B05959">
            <w:pPr>
              <w:spacing w:after="0" w:line="240" w:lineRule="auto"/>
              <w:jc w:val="center"/>
              <w:rPr>
                <w:sz w:val="20"/>
                <w:szCs w:val="20"/>
              </w:rPr>
            </w:pPr>
            <w:r w:rsidRPr="00BC65B5">
              <w:rPr>
                <w:sz w:val="20"/>
                <w:szCs w:val="20"/>
              </w:rPr>
              <w:t>38.5</w:t>
            </w:r>
          </w:p>
        </w:tc>
        <w:tc>
          <w:tcPr>
            <w:tcW w:w="596" w:type="dxa"/>
            <w:tcBorders>
              <w:left w:val="nil"/>
              <w:bottom w:val="nil"/>
              <w:right w:val="nil"/>
            </w:tcBorders>
            <w:vAlign w:val="center"/>
          </w:tcPr>
          <w:p w14:paraId="1E53EA5B" w14:textId="77777777" w:rsidR="00F35D51" w:rsidRPr="00BC65B5" w:rsidRDefault="00F35D51" w:rsidP="00B05959">
            <w:pPr>
              <w:spacing w:after="0" w:line="240" w:lineRule="auto"/>
              <w:jc w:val="center"/>
              <w:rPr>
                <w:sz w:val="20"/>
                <w:szCs w:val="20"/>
              </w:rPr>
            </w:pPr>
            <w:r w:rsidRPr="00BC65B5">
              <w:rPr>
                <w:sz w:val="20"/>
                <w:szCs w:val="20"/>
              </w:rPr>
              <w:t>-</w:t>
            </w:r>
          </w:p>
        </w:tc>
        <w:tc>
          <w:tcPr>
            <w:tcW w:w="566" w:type="dxa"/>
            <w:tcBorders>
              <w:left w:val="nil"/>
              <w:bottom w:val="nil"/>
              <w:right w:val="nil"/>
            </w:tcBorders>
            <w:vAlign w:val="center"/>
          </w:tcPr>
          <w:p w14:paraId="145265F3" w14:textId="77777777" w:rsidR="00F35D51" w:rsidRPr="00BC65B5" w:rsidRDefault="00F35D51" w:rsidP="00B05959">
            <w:pPr>
              <w:spacing w:after="0" w:line="240" w:lineRule="auto"/>
              <w:jc w:val="center"/>
              <w:rPr>
                <w:sz w:val="20"/>
                <w:szCs w:val="20"/>
              </w:rPr>
            </w:pPr>
            <w:r w:rsidRPr="00BC65B5">
              <w:rPr>
                <w:sz w:val="20"/>
                <w:szCs w:val="20"/>
              </w:rPr>
              <w:t>61.5</w:t>
            </w:r>
          </w:p>
        </w:tc>
      </w:tr>
      <w:tr w:rsidR="00F35D51" w:rsidRPr="00BC65B5" w14:paraId="38C2C32A" w14:textId="77777777" w:rsidTr="00B05959">
        <w:trPr>
          <w:trHeight w:val="410"/>
          <w:jc w:val="center"/>
        </w:trPr>
        <w:tc>
          <w:tcPr>
            <w:tcW w:w="1143" w:type="dxa"/>
            <w:tcBorders>
              <w:top w:val="nil"/>
              <w:left w:val="nil"/>
              <w:bottom w:val="nil"/>
              <w:right w:val="nil"/>
            </w:tcBorders>
            <w:vAlign w:val="center"/>
          </w:tcPr>
          <w:p w14:paraId="6C4C3FDE" w14:textId="77777777" w:rsidR="00F35D51" w:rsidRPr="00BC65B5" w:rsidRDefault="00F35D51" w:rsidP="00B05959">
            <w:pPr>
              <w:spacing w:after="0" w:line="240" w:lineRule="auto"/>
              <w:rPr>
                <w:rFonts w:eastAsia="MS Mincho"/>
                <w:sz w:val="20"/>
                <w:szCs w:val="20"/>
              </w:rPr>
            </w:pPr>
            <w:r w:rsidRPr="00BC65B5">
              <w:rPr>
                <w:rFonts w:eastAsia="MS Mincho"/>
                <w:sz w:val="20"/>
                <w:szCs w:val="20"/>
              </w:rPr>
              <w:t>Co-Se</w:t>
            </w:r>
          </w:p>
        </w:tc>
        <w:tc>
          <w:tcPr>
            <w:tcW w:w="930" w:type="dxa"/>
            <w:tcBorders>
              <w:top w:val="nil"/>
              <w:left w:val="nil"/>
              <w:bottom w:val="nil"/>
              <w:right w:val="nil"/>
            </w:tcBorders>
            <w:vAlign w:val="center"/>
          </w:tcPr>
          <w:p w14:paraId="443B1292" w14:textId="77777777" w:rsidR="00F35D51" w:rsidRPr="00BC65B5" w:rsidRDefault="00F35D51" w:rsidP="00B05959">
            <w:pPr>
              <w:spacing w:after="0" w:line="240" w:lineRule="auto"/>
              <w:jc w:val="center"/>
              <w:rPr>
                <w:sz w:val="20"/>
                <w:szCs w:val="20"/>
              </w:rPr>
            </w:pPr>
            <w:r w:rsidRPr="00BC65B5">
              <w:rPr>
                <w:sz w:val="20"/>
                <w:szCs w:val="20"/>
              </w:rPr>
              <w:t>-</w:t>
            </w:r>
          </w:p>
        </w:tc>
        <w:tc>
          <w:tcPr>
            <w:tcW w:w="596" w:type="dxa"/>
            <w:tcBorders>
              <w:top w:val="nil"/>
              <w:left w:val="nil"/>
              <w:bottom w:val="nil"/>
              <w:right w:val="nil"/>
            </w:tcBorders>
            <w:vAlign w:val="center"/>
          </w:tcPr>
          <w:p w14:paraId="29444CAC" w14:textId="77777777" w:rsidR="00F35D51" w:rsidRPr="00BC65B5" w:rsidRDefault="00F35D51" w:rsidP="00B05959">
            <w:pPr>
              <w:spacing w:after="0" w:line="240" w:lineRule="auto"/>
              <w:jc w:val="center"/>
              <w:rPr>
                <w:sz w:val="20"/>
                <w:szCs w:val="20"/>
              </w:rPr>
            </w:pPr>
            <w:r w:rsidRPr="00BC65B5">
              <w:rPr>
                <w:sz w:val="20"/>
                <w:szCs w:val="20"/>
              </w:rPr>
              <w:t>38.5</w:t>
            </w:r>
          </w:p>
        </w:tc>
        <w:tc>
          <w:tcPr>
            <w:tcW w:w="566" w:type="dxa"/>
            <w:tcBorders>
              <w:top w:val="nil"/>
              <w:left w:val="nil"/>
              <w:bottom w:val="nil"/>
              <w:right w:val="nil"/>
            </w:tcBorders>
            <w:vAlign w:val="center"/>
          </w:tcPr>
          <w:p w14:paraId="3C3E2FF6" w14:textId="77777777" w:rsidR="00F35D51" w:rsidRPr="00BC65B5" w:rsidRDefault="00F35D51" w:rsidP="00B05959">
            <w:pPr>
              <w:spacing w:after="0" w:line="240" w:lineRule="auto"/>
              <w:jc w:val="center"/>
              <w:rPr>
                <w:sz w:val="20"/>
                <w:szCs w:val="20"/>
              </w:rPr>
            </w:pPr>
            <w:r w:rsidRPr="00BC65B5">
              <w:rPr>
                <w:sz w:val="20"/>
                <w:szCs w:val="20"/>
              </w:rPr>
              <w:t>61.5</w:t>
            </w:r>
          </w:p>
        </w:tc>
      </w:tr>
      <w:tr w:rsidR="00F35D51" w:rsidRPr="00BC65B5" w14:paraId="45A982DE" w14:textId="77777777" w:rsidTr="00B05959">
        <w:trPr>
          <w:trHeight w:val="410"/>
          <w:jc w:val="center"/>
        </w:trPr>
        <w:tc>
          <w:tcPr>
            <w:tcW w:w="1143" w:type="dxa"/>
            <w:tcBorders>
              <w:top w:val="nil"/>
              <w:left w:val="nil"/>
              <w:bottom w:val="nil"/>
              <w:right w:val="nil"/>
            </w:tcBorders>
            <w:vAlign w:val="center"/>
          </w:tcPr>
          <w:p w14:paraId="22C5F116" w14:textId="77777777" w:rsidR="00F35D51" w:rsidRPr="00BC65B5" w:rsidRDefault="00F35D51" w:rsidP="00B05959">
            <w:pPr>
              <w:spacing w:after="0" w:line="240" w:lineRule="auto"/>
              <w:rPr>
                <w:rFonts w:eastAsia="MS Mincho"/>
                <w:sz w:val="20"/>
                <w:szCs w:val="20"/>
              </w:rPr>
            </w:pPr>
            <w:r w:rsidRPr="00BC65B5">
              <w:rPr>
                <w:rFonts w:eastAsia="MS Mincho"/>
                <w:sz w:val="20"/>
                <w:szCs w:val="20"/>
              </w:rPr>
              <w:t>(NiCo)Se</w:t>
            </w:r>
          </w:p>
        </w:tc>
        <w:tc>
          <w:tcPr>
            <w:tcW w:w="930" w:type="dxa"/>
            <w:tcBorders>
              <w:top w:val="nil"/>
              <w:left w:val="nil"/>
              <w:bottom w:val="nil"/>
              <w:right w:val="nil"/>
            </w:tcBorders>
            <w:vAlign w:val="center"/>
          </w:tcPr>
          <w:p w14:paraId="1EBE8FC4" w14:textId="77777777" w:rsidR="00F35D51" w:rsidRPr="00BC65B5" w:rsidRDefault="00F35D51" w:rsidP="00B05959">
            <w:pPr>
              <w:spacing w:after="0" w:line="240" w:lineRule="auto"/>
              <w:jc w:val="center"/>
              <w:rPr>
                <w:sz w:val="20"/>
                <w:szCs w:val="20"/>
              </w:rPr>
            </w:pPr>
            <w:r w:rsidRPr="00BC65B5">
              <w:rPr>
                <w:sz w:val="20"/>
                <w:szCs w:val="20"/>
              </w:rPr>
              <w:t>21.3</w:t>
            </w:r>
          </w:p>
        </w:tc>
        <w:tc>
          <w:tcPr>
            <w:tcW w:w="596" w:type="dxa"/>
            <w:tcBorders>
              <w:top w:val="nil"/>
              <w:left w:val="nil"/>
              <w:bottom w:val="nil"/>
              <w:right w:val="nil"/>
            </w:tcBorders>
            <w:vAlign w:val="center"/>
          </w:tcPr>
          <w:p w14:paraId="0F9E2394" w14:textId="77777777" w:rsidR="00F35D51" w:rsidRPr="00BC65B5" w:rsidRDefault="00F35D51" w:rsidP="00B05959">
            <w:pPr>
              <w:spacing w:after="0" w:line="240" w:lineRule="auto"/>
              <w:jc w:val="center"/>
              <w:rPr>
                <w:sz w:val="20"/>
                <w:szCs w:val="20"/>
              </w:rPr>
            </w:pPr>
            <w:r w:rsidRPr="00BC65B5">
              <w:rPr>
                <w:sz w:val="20"/>
                <w:szCs w:val="20"/>
              </w:rPr>
              <w:t>21.4</w:t>
            </w:r>
          </w:p>
        </w:tc>
        <w:tc>
          <w:tcPr>
            <w:tcW w:w="566" w:type="dxa"/>
            <w:tcBorders>
              <w:top w:val="nil"/>
              <w:left w:val="nil"/>
              <w:bottom w:val="nil"/>
              <w:right w:val="nil"/>
            </w:tcBorders>
            <w:vAlign w:val="center"/>
          </w:tcPr>
          <w:p w14:paraId="40C7A248" w14:textId="77777777" w:rsidR="00F35D51" w:rsidRPr="00BC65B5" w:rsidRDefault="00F35D51" w:rsidP="00B05959">
            <w:pPr>
              <w:spacing w:after="0" w:line="240" w:lineRule="auto"/>
              <w:jc w:val="center"/>
              <w:rPr>
                <w:sz w:val="20"/>
                <w:szCs w:val="20"/>
              </w:rPr>
            </w:pPr>
            <w:r w:rsidRPr="00BC65B5">
              <w:rPr>
                <w:sz w:val="20"/>
                <w:szCs w:val="20"/>
              </w:rPr>
              <w:t>57.3</w:t>
            </w:r>
          </w:p>
        </w:tc>
      </w:tr>
      <w:tr w:rsidR="00F35D51" w:rsidRPr="00BC65B5" w14:paraId="1815DB00" w14:textId="77777777" w:rsidTr="00B05959">
        <w:trPr>
          <w:trHeight w:val="410"/>
          <w:jc w:val="center"/>
        </w:trPr>
        <w:tc>
          <w:tcPr>
            <w:tcW w:w="1143" w:type="dxa"/>
            <w:tcBorders>
              <w:top w:val="nil"/>
              <w:left w:val="nil"/>
              <w:bottom w:val="single" w:sz="4" w:space="0" w:color="auto"/>
              <w:right w:val="nil"/>
            </w:tcBorders>
            <w:vAlign w:val="center"/>
          </w:tcPr>
          <w:p w14:paraId="130E48E8" w14:textId="77777777" w:rsidR="00F35D51" w:rsidRPr="00BC65B5" w:rsidRDefault="00F35D51" w:rsidP="00B05959">
            <w:pPr>
              <w:spacing w:after="0" w:line="240" w:lineRule="auto"/>
              <w:rPr>
                <w:rFonts w:eastAsia="MS Mincho"/>
                <w:sz w:val="20"/>
                <w:szCs w:val="20"/>
                <w:vertAlign w:val="subscript"/>
              </w:rPr>
            </w:pPr>
            <w:r w:rsidRPr="00BC65B5">
              <w:rPr>
                <w:rFonts w:eastAsia="MS Mincho"/>
                <w:sz w:val="20"/>
                <w:szCs w:val="20"/>
              </w:rPr>
              <w:t>(NiCo)</w:t>
            </w:r>
            <w:r w:rsidRPr="00BC65B5">
              <w:rPr>
                <w:rFonts w:eastAsia="MS Mincho"/>
                <w:sz w:val="20"/>
                <w:szCs w:val="20"/>
                <w:vertAlign w:val="subscript"/>
              </w:rPr>
              <w:t>3</w:t>
            </w:r>
            <w:r w:rsidRPr="00BC65B5">
              <w:rPr>
                <w:rFonts w:eastAsia="MS Mincho"/>
                <w:sz w:val="20"/>
                <w:szCs w:val="20"/>
              </w:rPr>
              <w:t>Se</w:t>
            </w:r>
            <w:r w:rsidRPr="00BC65B5">
              <w:rPr>
                <w:rFonts w:eastAsia="MS Mincho"/>
                <w:sz w:val="20"/>
                <w:szCs w:val="20"/>
                <w:vertAlign w:val="subscript"/>
              </w:rPr>
              <w:t>4</w:t>
            </w:r>
          </w:p>
        </w:tc>
        <w:tc>
          <w:tcPr>
            <w:tcW w:w="930" w:type="dxa"/>
            <w:tcBorders>
              <w:top w:val="nil"/>
              <w:left w:val="nil"/>
              <w:bottom w:val="single" w:sz="4" w:space="0" w:color="auto"/>
              <w:right w:val="nil"/>
            </w:tcBorders>
            <w:vAlign w:val="center"/>
          </w:tcPr>
          <w:p w14:paraId="260F9FFC" w14:textId="77777777" w:rsidR="00F35D51" w:rsidRPr="00BC65B5" w:rsidRDefault="00F35D51" w:rsidP="00B05959">
            <w:pPr>
              <w:spacing w:after="0" w:line="240" w:lineRule="auto"/>
              <w:jc w:val="center"/>
              <w:rPr>
                <w:sz w:val="20"/>
                <w:szCs w:val="20"/>
              </w:rPr>
            </w:pPr>
            <w:r w:rsidRPr="00BC65B5">
              <w:rPr>
                <w:sz w:val="20"/>
                <w:szCs w:val="20"/>
              </w:rPr>
              <w:t>17.9</w:t>
            </w:r>
          </w:p>
        </w:tc>
        <w:tc>
          <w:tcPr>
            <w:tcW w:w="596" w:type="dxa"/>
            <w:tcBorders>
              <w:top w:val="nil"/>
              <w:left w:val="nil"/>
              <w:bottom w:val="single" w:sz="4" w:space="0" w:color="auto"/>
              <w:right w:val="nil"/>
            </w:tcBorders>
            <w:vAlign w:val="center"/>
          </w:tcPr>
          <w:p w14:paraId="407946C3" w14:textId="77777777" w:rsidR="00F35D51" w:rsidRPr="00BC65B5" w:rsidRDefault="00F35D51" w:rsidP="00B05959">
            <w:pPr>
              <w:spacing w:after="0" w:line="240" w:lineRule="auto"/>
              <w:jc w:val="center"/>
              <w:rPr>
                <w:sz w:val="20"/>
                <w:szCs w:val="20"/>
              </w:rPr>
            </w:pPr>
            <w:r w:rsidRPr="00BC65B5">
              <w:rPr>
                <w:sz w:val="20"/>
                <w:szCs w:val="20"/>
              </w:rPr>
              <w:t>18</w:t>
            </w:r>
          </w:p>
        </w:tc>
        <w:tc>
          <w:tcPr>
            <w:tcW w:w="566" w:type="dxa"/>
            <w:tcBorders>
              <w:top w:val="nil"/>
              <w:left w:val="nil"/>
              <w:bottom w:val="single" w:sz="4" w:space="0" w:color="auto"/>
              <w:right w:val="nil"/>
            </w:tcBorders>
            <w:vAlign w:val="center"/>
          </w:tcPr>
          <w:p w14:paraId="079C73DF" w14:textId="77777777" w:rsidR="00F35D51" w:rsidRPr="00BC65B5" w:rsidRDefault="00F35D51" w:rsidP="00B05959">
            <w:pPr>
              <w:spacing w:after="0" w:line="240" w:lineRule="auto"/>
              <w:jc w:val="center"/>
              <w:rPr>
                <w:sz w:val="20"/>
                <w:szCs w:val="20"/>
              </w:rPr>
            </w:pPr>
            <w:r w:rsidRPr="00BC65B5">
              <w:rPr>
                <w:sz w:val="20"/>
                <w:szCs w:val="20"/>
              </w:rPr>
              <w:t>64.1</w:t>
            </w:r>
          </w:p>
        </w:tc>
      </w:tr>
    </w:tbl>
    <w:p w14:paraId="197F5031" w14:textId="77777777" w:rsidR="00F35D51" w:rsidRDefault="00F35D51" w:rsidP="00F35D51">
      <w:pPr>
        <w:spacing w:line="360" w:lineRule="auto"/>
        <w:jc w:val="both"/>
        <w:rPr>
          <w:lang w:val="en-US"/>
        </w:rPr>
      </w:pPr>
    </w:p>
    <w:p w14:paraId="3BDE406B" w14:textId="0DE16345" w:rsidR="00772C5F" w:rsidRPr="00772C5F" w:rsidRDefault="00772C5F" w:rsidP="00F35D51">
      <w:pPr>
        <w:spacing w:line="480" w:lineRule="auto"/>
        <w:jc w:val="both"/>
        <w:rPr>
          <w:rFonts w:ascii="Times New Roman" w:hAnsi="Times New Roman" w:cs="Times New Roman"/>
          <w:u w:val="single"/>
          <w:lang w:val="en-US"/>
        </w:rPr>
      </w:pPr>
      <w:r w:rsidRPr="00772C5F">
        <w:rPr>
          <w:rFonts w:ascii="Times New Roman" w:hAnsi="Times New Roman" w:cs="Times New Roman"/>
          <w:u w:val="single"/>
          <w:lang w:val="en-US"/>
        </w:rPr>
        <w:t>Surfactant-assisted ball milling</w:t>
      </w:r>
    </w:p>
    <w:p w14:paraId="064C4BB5" w14:textId="37D41036" w:rsidR="00772C5F" w:rsidRDefault="00F35D51" w:rsidP="00680D14">
      <w:pPr>
        <w:spacing w:line="480" w:lineRule="auto"/>
        <w:jc w:val="both"/>
        <w:rPr>
          <w:rFonts w:ascii="Times New Roman" w:hAnsi="Times New Roman" w:cs="Times New Roman"/>
          <w:lang w:val="en-US"/>
        </w:rPr>
      </w:pPr>
      <w:r w:rsidRPr="00DB3D67">
        <w:rPr>
          <w:rFonts w:ascii="Times New Roman" w:hAnsi="Times New Roman" w:cs="Times New Roman"/>
          <w:lang w:val="en-US"/>
        </w:rPr>
        <w:t xml:space="preserve">In the second stage, powder was added to a 5 mL vial with a BBR of 50:1 to conduct SABM. In addition, </w:t>
      </w:r>
      <w:r w:rsidR="00D13AA2" w:rsidRPr="002F0A09">
        <w:rPr>
          <w:rFonts w:ascii="Times New Roman" w:eastAsia="Arial Unicode MS" w:hAnsi="Times New Roman" w:cs="Times New Roman"/>
          <w:iCs/>
        </w:rPr>
        <w:t xml:space="preserve">70.2 μL </w:t>
      </w:r>
      <w:r w:rsidR="00D13AA2">
        <w:rPr>
          <w:rFonts w:ascii="Times New Roman" w:eastAsia="Arial Unicode MS" w:hAnsi="Times New Roman" w:cs="Times New Roman"/>
          <w:iCs/>
        </w:rPr>
        <w:t xml:space="preserve">of </w:t>
      </w:r>
      <w:r w:rsidRPr="00DB3D67">
        <w:rPr>
          <w:rFonts w:ascii="Times New Roman" w:hAnsi="Times New Roman" w:cs="Times New Roman"/>
          <w:lang w:val="en-US"/>
        </w:rPr>
        <w:t xml:space="preserve">anhydrous ethanol </w:t>
      </w:r>
      <w:r w:rsidR="00D13AA2">
        <w:rPr>
          <w:rFonts w:ascii="Times New Roman" w:hAnsi="Times New Roman" w:cs="Times New Roman"/>
          <w:lang w:val="en-US"/>
        </w:rPr>
        <w:t>(</w:t>
      </w:r>
      <w:r w:rsidRPr="00DB3D67">
        <w:rPr>
          <w:rFonts w:ascii="Times New Roman" w:hAnsi="Times New Roman" w:cs="Times New Roman"/>
          <w:lang w:val="en-US"/>
        </w:rPr>
        <w:t>1:1 ethanol-to-powder mass ratio</w:t>
      </w:r>
      <w:r w:rsidR="00D13AA2">
        <w:rPr>
          <w:rFonts w:ascii="Times New Roman" w:hAnsi="Times New Roman" w:cs="Times New Roman"/>
          <w:lang w:val="en-US"/>
        </w:rPr>
        <w:t>)</w:t>
      </w:r>
      <w:r w:rsidRPr="00DB3D67">
        <w:rPr>
          <w:rFonts w:ascii="Times New Roman" w:hAnsi="Times New Roman" w:cs="Times New Roman"/>
          <w:lang w:val="en-US"/>
        </w:rPr>
        <w:t xml:space="preserve"> and </w:t>
      </w:r>
      <w:r w:rsidR="00D13AA2" w:rsidRPr="002F0A09">
        <w:rPr>
          <w:rFonts w:ascii="Times New Roman" w:eastAsia="Arial Unicode MS" w:hAnsi="Times New Roman" w:cs="Times New Roman"/>
          <w:iCs/>
        </w:rPr>
        <w:t xml:space="preserve">11.1 mg </w:t>
      </w:r>
      <w:r w:rsidR="00D13AA2">
        <w:rPr>
          <w:rFonts w:ascii="Times New Roman" w:eastAsia="Arial Unicode MS" w:hAnsi="Times New Roman" w:cs="Times New Roman"/>
          <w:iCs/>
        </w:rPr>
        <w:t xml:space="preserve">of </w:t>
      </w:r>
      <w:r w:rsidRPr="002A24F6">
        <w:rPr>
          <w:rFonts w:ascii="Times New Roman" w:hAnsi="Times New Roman" w:cs="Times New Roman"/>
          <w:lang w:val="en-US"/>
        </w:rPr>
        <w:t>dodecylphosphonic acid</w:t>
      </w:r>
      <w:r w:rsidRPr="00DB3D67">
        <w:rPr>
          <w:rFonts w:ascii="Times New Roman" w:hAnsi="Times New Roman" w:cs="Times New Roman"/>
          <w:lang w:val="en-US"/>
        </w:rPr>
        <w:t xml:space="preserve"> (DPPA) as surfactant </w:t>
      </w:r>
      <w:r w:rsidR="00D13AA2">
        <w:rPr>
          <w:rFonts w:ascii="Times New Roman" w:hAnsi="Times New Roman" w:cs="Times New Roman"/>
          <w:lang w:val="en-US"/>
        </w:rPr>
        <w:t>(</w:t>
      </w:r>
      <w:r w:rsidRPr="00DB3D67">
        <w:rPr>
          <w:rFonts w:ascii="Times New Roman" w:hAnsi="Times New Roman" w:cs="Times New Roman"/>
          <w:lang w:val="en-US"/>
        </w:rPr>
        <w:t>1:4 DPPA-to-powder mass ratio</w:t>
      </w:r>
      <w:r w:rsidR="00D13AA2">
        <w:rPr>
          <w:rFonts w:ascii="Times New Roman" w:hAnsi="Times New Roman" w:cs="Times New Roman"/>
          <w:lang w:val="en-US"/>
        </w:rPr>
        <w:t>)</w:t>
      </w:r>
      <w:r w:rsidRPr="00DB3D67">
        <w:rPr>
          <w:rFonts w:ascii="Times New Roman" w:hAnsi="Times New Roman" w:cs="Times New Roman"/>
          <w:lang w:val="en-US"/>
        </w:rPr>
        <w:t xml:space="preserve"> were added to the milling vial to produce nanoparticles </w:t>
      </w:r>
      <w:r w:rsidR="00D13AA2">
        <w:rPr>
          <w:rFonts w:ascii="Times New Roman" w:hAnsi="Times New Roman" w:cs="Times New Roman"/>
          <w:lang w:val="en-US"/>
        </w:rPr>
        <w:t xml:space="preserve">(&lt; </w:t>
      </w:r>
      <w:r w:rsidR="00BD4C81">
        <w:rPr>
          <w:rFonts w:ascii="Times New Roman" w:hAnsi="Times New Roman" w:cs="Times New Roman"/>
          <w:lang w:val="en-US"/>
        </w:rPr>
        <w:t>1</w:t>
      </w:r>
      <w:r w:rsidR="00D13AA2">
        <w:rPr>
          <w:rFonts w:ascii="Times New Roman" w:hAnsi="Times New Roman" w:cs="Times New Roman"/>
          <w:lang w:val="en-US"/>
        </w:rPr>
        <w:t xml:space="preserve">00nm) </w:t>
      </w:r>
      <w:r w:rsidRPr="00DB3D67">
        <w:rPr>
          <w:rFonts w:ascii="Times New Roman" w:hAnsi="Times New Roman" w:cs="Times New Roman"/>
          <w:lang w:val="en-US"/>
        </w:rPr>
        <w:t xml:space="preserve">suspension.  SABM was carried out for </w:t>
      </w:r>
      <w:r w:rsidRPr="00DB3D67">
        <w:rPr>
          <w:rFonts w:ascii="Times New Roman" w:hAnsi="Times New Roman" w:cs="Times New Roman"/>
          <w:lang w:val="en-US"/>
        </w:rPr>
        <w:lastRenderedPageBreak/>
        <w:t>10 hours in total (5 cycles of 30 mins and 80 mins of off time between cycles) for all alloy</w:t>
      </w:r>
      <w:r w:rsidR="00D13AA2">
        <w:rPr>
          <w:rFonts w:ascii="Times New Roman" w:hAnsi="Times New Roman" w:cs="Times New Roman"/>
          <w:lang w:val="en-US"/>
        </w:rPr>
        <w:t xml:space="preserve">s </w:t>
      </w:r>
      <w:r w:rsidRPr="00DB3D67">
        <w:rPr>
          <w:rFonts w:ascii="Times New Roman" w:hAnsi="Times New Roman" w:cs="Times New Roman"/>
          <w:lang w:val="en-US"/>
        </w:rPr>
        <w:t>in this study. This procedure was followed based on the optimization of parameters conducted in our previous work</w:t>
      </w:r>
      <w:r>
        <w:rPr>
          <w:rFonts w:ascii="Times New Roman" w:hAnsi="Times New Roman" w:cs="Times New Roman"/>
          <w:lang w:val="en-US"/>
        </w:rPr>
        <w:t>.</w:t>
      </w:r>
      <w:r>
        <w:rPr>
          <w:rFonts w:ascii="Times New Roman" w:hAnsi="Times New Roman" w:cs="Times New Roman"/>
          <w:lang w:val="en-US"/>
        </w:rPr>
        <w:fldChar w:fldCharType="begin" w:fldLock="1"/>
      </w:r>
      <w:r w:rsidR="0096753A">
        <w:rPr>
          <w:rFonts w:ascii="Times New Roman" w:hAnsi="Times New Roman" w:cs="Times New Roman"/>
          <w:lang w:val="en-US"/>
        </w:rPr>
        <w:instrText>ADDIN CSL_CITATION {"citationItems":[{"id":"ITEM-1","itemData":{"DOI":"10.1007/s12678-019-00519-4","ISSN":"18685994","abstract":"Ongoing improvements in the performance of anion exchange membranes (AEM) have renewed interest in alkaline water electrolysis for large-scale hydrogen production. New electrocatalysts are required to interface with such AEM water electrolyzers. Ni-Nb-Y amorphous and amorphous-nanocrystalline alloys were prepared by cryomilling and evaluated as electrocatalysts towards the hydrogen evolution reaction. The roles of microstructure and chemistry on catalytic activity were investigated. Characterization by X-ray diffraction and transmission electron microscopy identified Ni 5 Y nanocrystals finely dispersed in an amorphous Ni-Nb-Y matrix among the multiphase alloys. Capacitance measurements near open-circuit potential were used to estimate the electrochemically active surface area (ECSA) in order to elucidate the activity of various catalyst morphologies on an intrinsic basis. Enhanced intrinsic activity from these multiphase structures were found in kinetic data from Tafel and impedance spectroscopic measurements. A multiphase Ni 81.3 Nb 6.3 Y 12.5 catalyst displayed the greatest catalytic activity attributed to the presence of a nanocrystalline Ni 5 Y secondary phase finely dispersed in the Ni-Nb-Y amorphous matrix with increased yttrium content. These preliminary results demonstrate that ball milled Ni-based amorphous-based materials are promising catalysts for electrochemical hydrogen production.","author":[{"dropping-particle":"","family":"Ghobrial","given":"S.","non-dropping-particle":"","parse-names":false,"suffix":""},{"dropping-particle":"","family":"Kirk","given":"D. W.","non-dropping-particle":"","parse-names":false,"suffix":""},{"dropping-particle":"","family":"Thorpe","given":"S. J.","non-dropping-particle":"","parse-names":false,"suffix":""}],"container-title":"Electrocatalysis","id":"ITEM-1","issue":"3","issued":{"date-parts":[["2019"]]},"page":"243-252","title":"Amorphous Ni-Nb-Y Alloys as Hydrogen Evolution Electrocatalysts","type":"article-journal","volume":"10"},"uris":["http://www.mendeley.com/documents/?uuid=888f1414-2621-4422-ab56-82f805af765c"]}],"mendeley":{"formattedCitation":"&lt;sup&gt;1&lt;/sup&gt;","plainTextFormattedCitation":"1","previouslyFormattedCitation":"&lt;sup&gt;1&lt;/sup&gt;"},"properties":{"noteIndex":0},"schema":"https://github.com/citation-style-language/schema/raw/master/csl-citation.json"}</w:instrText>
      </w:r>
      <w:r>
        <w:rPr>
          <w:rFonts w:ascii="Times New Roman" w:hAnsi="Times New Roman" w:cs="Times New Roman"/>
          <w:lang w:val="en-US"/>
        </w:rPr>
        <w:fldChar w:fldCharType="separate"/>
      </w:r>
      <w:r w:rsidR="001067BB" w:rsidRPr="001067BB">
        <w:rPr>
          <w:rFonts w:ascii="Times New Roman" w:hAnsi="Times New Roman" w:cs="Times New Roman"/>
          <w:noProof/>
          <w:vertAlign w:val="superscript"/>
          <w:lang w:val="en-US"/>
        </w:rPr>
        <w:t>1</w:t>
      </w:r>
      <w:r>
        <w:rPr>
          <w:rFonts w:ascii="Times New Roman" w:hAnsi="Times New Roman" w:cs="Times New Roman"/>
          <w:lang w:val="en-US"/>
        </w:rPr>
        <w:fldChar w:fldCharType="end"/>
      </w:r>
      <w:r>
        <w:rPr>
          <w:rFonts w:ascii="Times New Roman" w:hAnsi="Times New Roman" w:cs="Times New Roman"/>
          <w:lang w:val="en-US"/>
        </w:rPr>
        <w:t xml:space="preserve"> </w:t>
      </w:r>
      <w:r w:rsidRPr="00DB3D67">
        <w:rPr>
          <w:rFonts w:ascii="Times New Roman" w:hAnsi="Times New Roman" w:cs="Times New Roman"/>
          <w:lang w:val="en-US"/>
        </w:rPr>
        <w:t xml:space="preserve">To extract nanoparticles from the suspension, the surfactant must be removed after milling. First, ethanol </w:t>
      </w:r>
      <w:r w:rsidR="0054668B">
        <w:rPr>
          <w:rFonts w:ascii="Times New Roman" w:hAnsi="Times New Roman" w:cs="Times New Roman"/>
          <w:lang w:val="en-US"/>
        </w:rPr>
        <w:t>was</w:t>
      </w:r>
      <w:r w:rsidRPr="00DB3D67">
        <w:rPr>
          <w:rFonts w:ascii="Times New Roman" w:hAnsi="Times New Roman" w:cs="Times New Roman"/>
          <w:lang w:val="en-US"/>
        </w:rPr>
        <w:t xml:space="preserve"> added to milling vials and the powder-ethanol slurry mixture </w:t>
      </w:r>
      <w:r w:rsidR="0054668B">
        <w:rPr>
          <w:rFonts w:ascii="Times New Roman" w:hAnsi="Times New Roman" w:cs="Times New Roman"/>
          <w:lang w:val="en-US"/>
        </w:rPr>
        <w:t>was</w:t>
      </w:r>
      <w:r w:rsidRPr="00DB3D67">
        <w:rPr>
          <w:rFonts w:ascii="Times New Roman" w:hAnsi="Times New Roman" w:cs="Times New Roman"/>
          <w:lang w:val="en-US"/>
        </w:rPr>
        <w:t xml:space="preserve"> extracted by pipetting into centrifuging tubes until the vials </w:t>
      </w:r>
      <w:r w:rsidR="0054668B">
        <w:rPr>
          <w:rFonts w:ascii="Times New Roman" w:hAnsi="Times New Roman" w:cs="Times New Roman"/>
          <w:lang w:val="en-US"/>
        </w:rPr>
        <w:t>were</w:t>
      </w:r>
      <w:r w:rsidRPr="00DB3D67">
        <w:rPr>
          <w:rFonts w:ascii="Times New Roman" w:hAnsi="Times New Roman" w:cs="Times New Roman"/>
          <w:lang w:val="en-US"/>
        </w:rPr>
        <w:t xml:space="preserve"> empty. Then, the tubes </w:t>
      </w:r>
      <w:r w:rsidR="003E2C11">
        <w:rPr>
          <w:rFonts w:ascii="Times New Roman" w:hAnsi="Times New Roman" w:cs="Times New Roman"/>
          <w:lang w:val="en-US"/>
        </w:rPr>
        <w:t>were</w:t>
      </w:r>
      <w:r w:rsidRPr="00DB3D67">
        <w:rPr>
          <w:rFonts w:ascii="Times New Roman" w:hAnsi="Times New Roman" w:cs="Times New Roman"/>
          <w:lang w:val="en-US"/>
        </w:rPr>
        <w:t xml:space="preserve"> sonicated for 30 min before centrifuging at 3000 rpm for 30 mins, the large particles settled at the bottom of the tube. The suspended nanoparticles in solution</w:t>
      </w:r>
      <w:r w:rsidR="00680D14">
        <w:rPr>
          <w:rFonts w:ascii="Times New Roman" w:hAnsi="Times New Roman" w:cs="Times New Roman"/>
          <w:lang w:val="en-US"/>
        </w:rPr>
        <w:t xml:space="preserve"> were</w:t>
      </w:r>
      <w:r w:rsidRPr="00DB3D67">
        <w:rPr>
          <w:rFonts w:ascii="Times New Roman" w:hAnsi="Times New Roman" w:cs="Times New Roman"/>
          <w:lang w:val="en-US"/>
        </w:rPr>
        <w:t xml:space="preserve"> extracted by pipetting into new centrifuging tubes. The tubes </w:t>
      </w:r>
      <w:r w:rsidR="0054668B">
        <w:rPr>
          <w:rFonts w:ascii="Times New Roman" w:hAnsi="Times New Roman" w:cs="Times New Roman"/>
          <w:lang w:val="en-US"/>
        </w:rPr>
        <w:t>were</w:t>
      </w:r>
      <w:r w:rsidRPr="00DB3D67">
        <w:rPr>
          <w:rFonts w:ascii="Times New Roman" w:hAnsi="Times New Roman" w:cs="Times New Roman"/>
          <w:lang w:val="en-US"/>
        </w:rPr>
        <w:t xml:space="preserve"> sonicated for 30 mins before centrifuging at 10,000 rpm</w:t>
      </w:r>
      <w:r w:rsidR="0054668B">
        <w:rPr>
          <w:rFonts w:ascii="Times New Roman" w:hAnsi="Times New Roman" w:cs="Times New Roman"/>
          <w:lang w:val="en-US"/>
        </w:rPr>
        <w:t xml:space="preserve"> </w:t>
      </w:r>
      <w:r w:rsidR="0054668B">
        <w:rPr>
          <w:rFonts w:ascii="Times New Roman" w:eastAsia="Arial Unicode MS" w:hAnsi="Times New Roman" w:cs="Times New Roman"/>
          <w:iCs/>
        </w:rPr>
        <w:t>(11,000 rcf)</w:t>
      </w:r>
      <w:r w:rsidR="0054668B" w:rsidRPr="002F0A09">
        <w:rPr>
          <w:rFonts w:ascii="Times New Roman" w:eastAsia="Arial Unicode MS" w:hAnsi="Times New Roman" w:cs="Times New Roman"/>
          <w:iCs/>
        </w:rPr>
        <w:t xml:space="preserve"> </w:t>
      </w:r>
      <w:r w:rsidRPr="00DB3D67">
        <w:rPr>
          <w:rFonts w:ascii="Times New Roman" w:hAnsi="Times New Roman" w:cs="Times New Roman"/>
          <w:lang w:val="en-US"/>
        </w:rPr>
        <w:t xml:space="preserve"> for </w:t>
      </w:r>
      <w:r w:rsidR="0054668B">
        <w:rPr>
          <w:rFonts w:ascii="Times New Roman" w:hAnsi="Times New Roman" w:cs="Times New Roman"/>
          <w:lang w:val="en-US"/>
        </w:rPr>
        <w:t>1</w:t>
      </w:r>
      <w:r w:rsidRPr="00DB3D67">
        <w:rPr>
          <w:rFonts w:ascii="Times New Roman" w:hAnsi="Times New Roman" w:cs="Times New Roman"/>
          <w:lang w:val="en-US"/>
        </w:rPr>
        <w:t xml:space="preserve"> </w:t>
      </w:r>
      <w:r w:rsidR="0054668B">
        <w:rPr>
          <w:rFonts w:ascii="Times New Roman" w:hAnsi="Times New Roman" w:cs="Times New Roman"/>
          <w:lang w:val="en-US"/>
        </w:rPr>
        <w:t>h</w:t>
      </w:r>
      <w:r w:rsidRPr="00DB3D67">
        <w:rPr>
          <w:rFonts w:ascii="Times New Roman" w:hAnsi="Times New Roman" w:cs="Times New Roman"/>
          <w:lang w:val="en-US"/>
        </w:rPr>
        <w:t xml:space="preserve"> and then the clear solution</w:t>
      </w:r>
      <w:r w:rsidR="0054668B">
        <w:rPr>
          <w:rFonts w:ascii="Times New Roman" w:hAnsi="Times New Roman" w:cs="Times New Roman"/>
          <w:lang w:val="en-US"/>
        </w:rPr>
        <w:t xml:space="preserve"> was</w:t>
      </w:r>
      <w:r w:rsidRPr="00DB3D67">
        <w:rPr>
          <w:rFonts w:ascii="Times New Roman" w:hAnsi="Times New Roman" w:cs="Times New Roman"/>
          <w:lang w:val="en-US"/>
        </w:rPr>
        <w:t xml:space="preserve"> washed and replaced with fresh ethanol, this procedure </w:t>
      </w:r>
      <w:r w:rsidR="00680D14">
        <w:rPr>
          <w:rFonts w:ascii="Times New Roman" w:hAnsi="Times New Roman" w:cs="Times New Roman"/>
          <w:lang w:val="en-US"/>
        </w:rPr>
        <w:t>was</w:t>
      </w:r>
      <w:r w:rsidRPr="00DB3D67">
        <w:rPr>
          <w:rFonts w:ascii="Times New Roman" w:hAnsi="Times New Roman" w:cs="Times New Roman"/>
          <w:lang w:val="en-US"/>
        </w:rPr>
        <w:t xml:space="preserve"> repeated at least 3 times until all nanoparticles in the solution precipitate at the bottom of the tube. The tubes </w:t>
      </w:r>
      <w:r w:rsidR="00680D14">
        <w:rPr>
          <w:rFonts w:ascii="Times New Roman" w:hAnsi="Times New Roman" w:cs="Times New Roman"/>
          <w:lang w:val="en-US"/>
        </w:rPr>
        <w:t>were</w:t>
      </w:r>
      <w:r w:rsidRPr="00DB3D67">
        <w:rPr>
          <w:rFonts w:ascii="Times New Roman" w:hAnsi="Times New Roman" w:cs="Times New Roman"/>
          <w:lang w:val="en-US"/>
        </w:rPr>
        <w:t xml:space="preserve"> then filled with ethanol and the nanoparticles-ethanol mixture </w:t>
      </w:r>
      <w:r w:rsidR="00680D14">
        <w:rPr>
          <w:rFonts w:ascii="Times New Roman" w:hAnsi="Times New Roman" w:cs="Times New Roman"/>
          <w:lang w:val="en-US"/>
        </w:rPr>
        <w:t>was</w:t>
      </w:r>
      <w:r w:rsidRPr="00DB3D67">
        <w:rPr>
          <w:rFonts w:ascii="Times New Roman" w:hAnsi="Times New Roman" w:cs="Times New Roman"/>
          <w:lang w:val="en-US"/>
        </w:rPr>
        <w:t xml:space="preserve"> transferred to 20 mL scintillation vials. Scintillation vials </w:t>
      </w:r>
      <w:r w:rsidR="00680D14">
        <w:rPr>
          <w:rFonts w:ascii="Times New Roman" w:hAnsi="Times New Roman" w:cs="Times New Roman"/>
          <w:lang w:val="en-US"/>
        </w:rPr>
        <w:t>were</w:t>
      </w:r>
      <w:r w:rsidRPr="00DB3D67">
        <w:rPr>
          <w:rFonts w:ascii="Times New Roman" w:hAnsi="Times New Roman" w:cs="Times New Roman"/>
          <w:lang w:val="en-US"/>
        </w:rPr>
        <w:t xml:space="preserve"> then heated at </w:t>
      </w:r>
      <w:r w:rsidR="00680D14">
        <w:rPr>
          <w:rFonts w:ascii="Times New Roman" w:hAnsi="Times New Roman" w:cs="Times New Roman"/>
          <w:lang w:val="en-US"/>
        </w:rPr>
        <w:t>65</w:t>
      </w:r>
      <w:r w:rsidRPr="00DB3D67">
        <w:rPr>
          <w:rFonts w:ascii="Times New Roman" w:hAnsi="Times New Roman" w:cs="Times New Roman"/>
          <w:lang w:val="en-US"/>
        </w:rPr>
        <w:t xml:space="preserve">°C in a furnace under air flow until all ethanol evaporates. The dry nanoparticle powder </w:t>
      </w:r>
      <w:r w:rsidR="00680D14">
        <w:rPr>
          <w:rFonts w:ascii="Times New Roman" w:hAnsi="Times New Roman" w:cs="Times New Roman"/>
          <w:lang w:val="en-US"/>
        </w:rPr>
        <w:t>was</w:t>
      </w:r>
      <w:r w:rsidRPr="00DB3D67">
        <w:rPr>
          <w:rFonts w:ascii="Times New Roman" w:hAnsi="Times New Roman" w:cs="Times New Roman"/>
          <w:lang w:val="en-US"/>
        </w:rPr>
        <w:t xml:space="preserve"> then collected from the vials and stored. </w:t>
      </w:r>
    </w:p>
    <w:p w14:paraId="266C70BE" w14:textId="3CC7DA33" w:rsidR="00BD4C81" w:rsidRDefault="00BD4C81" w:rsidP="00680D14">
      <w:pPr>
        <w:spacing w:line="480" w:lineRule="auto"/>
        <w:jc w:val="both"/>
        <w:rPr>
          <w:rFonts w:ascii="Times New Roman" w:hAnsi="Times New Roman" w:cs="Times New Roman"/>
          <w:u w:val="single"/>
          <w:lang w:val="en-US"/>
        </w:rPr>
      </w:pPr>
      <w:r w:rsidRPr="00BD4C81">
        <w:rPr>
          <w:rFonts w:ascii="Times New Roman" w:hAnsi="Times New Roman" w:cs="Times New Roman"/>
          <w:u w:val="single"/>
          <w:lang w:val="en-US"/>
        </w:rPr>
        <w:t>Ni-Se and Co-Se baseline samples</w:t>
      </w:r>
    </w:p>
    <w:p w14:paraId="4C7A88F8" w14:textId="4DC1997E" w:rsidR="00CB70A2" w:rsidRPr="00892621" w:rsidRDefault="00700C74" w:rsidP="00CB70A2">
      <w:pPr>
        <w:spacing w:line="480" w:lineRule="auto"/>
        <w:jc w:val="both"/>
        <w:rPr>
          <w:rFonts w:ascii="Times New Roman" w:eastAsia="Arial Unicode MS" w:hAnsi="Times New Roman" w:cs="Times New Roman"/>
          <w:iCs/>
        </w:rPr>
      </w:pPr>
      <w:r w:rsidRPr="001B2131">
        <w:rPr>
          <w:rFonts w:ascii="Times New Roman" w:eastAsia="Arial Unicode MS" w:hAnsi="Times New Roman" w:cs="Times New Roman"/>
          <w:iCs/>
        </w:rPr>
        <w:t>The structural evolution for Ni-Se and Co-Se samples was probed with respect to milling time using XRD (</w:t>
      </w:r>
      <w:r w:rsidRPr="001B2131">
        <w:rPr>
          <w:rFonts w:ascii="Times New Roman" w:eastAsia="Arial Unicode MS" w:hAnsi="Times New Roman" w:cs="Times New Roman"/>
          <w:b/>
          <w:bCs/>
          <w:iCs/>
        </w:rPr>
        <w:t>Figures S1 and S2</w:t>
      </w:r>
      <w:r w:rsidRPr="001B2131">
        <w:rPr>
          <w:rFonts w:ascii="Times New Roman" w:eastAsia="Arial Unicode MS" w:hAnsi="Times New Roman" w:cs="Times New Roman"/>
          <w:iCs/>
        </w:rPr>
        <w:t>). A high melting point intermetallic composition was identified  from Ni-Se and Co-Se phase diagrams for synthesis: 46 at. % Ni/Co and 54 at. % Se (</w:t>
      </w:r>
      <w:r w:rsidRPr="001B2131">
        <w:rPr>
          <w:rFonts w:ascii="Times New Roman" w:eastAsia="Arial Unicode MS" w:hAnsi="Times New Roman" w:cs="Times New Roman"/>
          <w:b/>
          <w:bCs/>
          <w:iCs/>
        </w:rPr>
        <w:t>Figures S1b and S2b</w:t>
      </w:r>
      <w:r w:rsidRPr="001B2131">
        <w:rPr>
          <w:rFonts w:ascii="Times New Roman" w:eastAsia="Arial Unicode MS" w:hAnsi="Times New Roman" w:cs="Times New Roman"/>
          <w:iCs/>
        </w:rPr>
        <w:t>). We observed a complete mixing of Ni and Se into a single nanocrystalline phase with an average size of 2 nm after 15 hours of milling</w:t>
      </w:r>
      <w:r w:rsidR="000E6A2B">
        <w:rPr>
          <w:rFonts w:ascii="Times New Roman" w:eastAsia="Arial Unicode MS" w:hAnsi="Times New Roman" w:cs="Times New Roman"/>
          <w:iCs/>
        </w:rPr>
        <w:t xml:space="preserve">. Furthermore, </w:t>
      </w:r>
      <w:r w:rsidR="00CB70A2" w:rsidRPr="001B2131">
        <w:rPr>
          <w:rFonts w:ascii="Times New Roman" w:eastAsia="Arial Unicode MS" w:hAnsi="Times New Roman" w:cs="Times New Roman"/>
          <w:iCs/>
        </w:rPr>
        <w:t>Co-Se formed an alloy only after 9 hours of</w:t>
      </w:r>
      <w:r w:rsidR="00CB70A2">
        <w:rPr>
          <w:rFonts w:ascii="Times New Roman" w:eastAsia="Arial Unicode MS" w:hAnsi="Times New Roman" w:cs="Times New Roman"/>
          <w:iCs/>
        </w:rPr>
        <w:t xml:space="preserve"> milling and has undergone polymorphic phase transformations during the 15 hours of milling (</w:t>
      </w:r>
      <w:r w:rsidR="00CB70A2" w:rsidRPr="00C17398">
        <w:rPr>
          <w:rFonts w:ascii="Times New Roman" w:eastAsia="Arial Unicode MS" w:hAnsi="Times New Roman" w:cs="Times New Roman"/>
          <w:b/>
          <w:bCs/>
          <w:iCs/>
        </w:rPr>
        <w:t>Figure S2a</w:t>
      </w:r>
      <w:r w:rsidR="00CB70A2">
        <w:rPr>
          <w:rFonts w:ascii="Times New Roman" w:eastAsia="Arial Unicode MS" w:hAnsi="Times New Roman" w:cs="Times New Roman"/>
          <w:iCs/>
        </w:rPr>
        <w:t xml:space="preserve">). This transformation over a range of metastable phases was observed, in previous reports, to occur repeatedly on continued ball milling for alloys that have either Co, Se, or Ti </w:t>
      </w:r>
      <w:r w:rsidR="00CB70A2">
        <w:rPr>
          <w:rFonts w:ascii="Times New Roman" w:eastAsia="Arial Unicode MS" w:hAnsi="Times New Roman" w:cs="Times New Roman"/>
          <w:iCs/>
        </w:rPr>
        <w:fldChar w:fldCharType="begin" w:fldLock="1"/>
      </w:r>
      <w:r w:rsidR="0096753A">
        <w:rPr>
          <w:rFonts w:ascii="Times New Roman" w:eastAsia="Arial Unicode MS" w:hAnsi="Times New Roman" w:cs="Times New Roman"/>
          <w:iCs/>
        </w:rPr>
        <w:instrText>ADDIN CSL_CITATION {"citationItems":[{"id":"ITEM-1","itemData":{"author":[{"dropping-particle":"","family":"El-eskandarany","given":"M Sherif","non-dropping-particle":"","parse-names":false,"suffix":""}],"id":"ITEM-1","issued":{"date-parts":[["2002"]]},"page":"1113-1123","title":"Cyclic phase transformations of mechanically alloyed Co 75 Ti 25 powders","type":"article-journal","volume":"50"},"uris":["http://www.mendeley.com/documents/?uuid=31afa90f-e93b-4f39-8534-a09538faef66","http://www.mendeley.com/documents/?uuid=f2acc6cb-49f0-48ea-8438-4e142bb8955b"]},{"id":"ITEM-2","itemData":{"DOI":"10.1103/PhysRevB.55.11010","ISBN":"0163-1829","ISSN":"1550235X","abstract":"Structural changes occurring in the crystalline element selenium upon high-energy ball milling has been studied. Milling experiments have been performed at the ambient temperature and at a cryogenic temperature of -100 °C, respectively. The final milling products under both conditions were found to be a fully amorphous phase after several hours of mechanical milling. Calorimetric evidences indicate that during cryogenic-temperature milling amorphization procedure is faster than that at ambient temperature. Our experimental results suggest that amorphization of the crystalline element selenium is driven by defects created by frequent mechanical deformation.","author":[{"dropping-particle":"","family":"Fan","given":"G.","non-dropping-particle":"","parse-names":false,"suffix":""},{"dropping-particle":"","family":"Guo","given":"F.","non-dropping-particle":"","parse-names":false,"suffix":""},{"dropping-particle":"","family":"Hu","given":"Z.","non-dropping-particle":"","parse-names":false,"suffix":""},{"dropping-particle":"","family":"Quan","given":"M.","non-dropping-particle":"","parse-names":false,"suffix":""},{"dropping-particle":"","family":"Lu","given":"K.","non-dropping-particle":"","parse-names":false,"suffix":""}],"container-title":"Physical Review B - Condensed Matter and Materials Physics","id":"ITEM-2","issue":"17","issued":{"date-parts":[["1997"]]},"page":"11010-11013","title":"Amorphization of selenium induced by high-energy ball milling","type":"article-journal","volume":"55"},"uris":["http://www.mendeley.com/documents/?uuid=9e4cb578-da66-477b-8fbb-3a1fe9292b27"]},{"id":"ITEM-3","itemData":{"ISBN":"0203020642, 9780203020647","author":[{"dropping-particle":"","family":"Suryanarayana","given":"Cury","non-dropping-particle":"","parse-names":false,"suffix":""}],"edition":"illustrate","id":"ITEM-3","issued":{"date-parts":[["2004"]]},"number-of-pages":"488","publisher":"CRC Press, 2004","title":"Mechanical Alloying And Milling","type":"book"},"uris":["http://www.mendeley.com/documents/?uuid=c1e887dd-1a89-4d9e-81dc-9216f39d4e72","http://www.mendeley.com/documents/?uuid=5e0eb9f7-7ff1-4dc9-9990-5f2d9f772611"]}],"mendeley":{"formattedCitation":"&lt;sup&gt;2–4&lt;/sup&gt;","plainTextFormattedCitation":"2–4","previouslyFormattedCitation":"&lt;sup&gt;2–4&lt;/sup&gt;"},"properties":{"noteIndex":0},"schema":"https://github.com/citation-style-language/schema/raw/master/csl-citation.json"}</w:instrText>
      </w:r>
      <w:r w:rsidR="00CB70A2">
        <w:rPr>
          <w:rFonts w:ascii="Times New Roman" w:eastAsia="Arial Unicode MS" w:hAnsi="Times New Roman" w:cs="Times New Roman"/>
          <w:iCs/>
        </w:rPr>
        <w:fldChar w:fldCharType="separate"/>
      </w:r>
      <w:r w:rsidR="001067BB" w:rsidRPr="001067BB">
        <w:rPr>
          <w:rFonts w:ascii="Times New Roman" w:eastAsia="Arial Unicode MS" w:hAnsi="Times New Roman" w:cs="Times New Roman"/>
          <w:iCs/>
          <w:noProof/>
          <w:vertAlign w:val="superscript"/>
        </w:rPr>
        <w:t>2–4</w:t>
      </w:r>
      <w:r w:rsidR="00CB70A2">
        <w:rPr>
          <w:rFonts w:ascii="Times New Roman" w:eastAsia="Arial Unicode MS" w:hAnsi="Times New Roman" w:cs="Times New Roman"/>
          <w:iCs/>
        </w:rPr>
        <w:fldChar w:fldCharType="end"/>
      </w:r>
      <w:r w:rsidR="00CB70A2">
        <w:rPr>
          <w:rFonts w:ascii="Times New Roman" w:eastAsia="Arial Unicode MS" w:hAnsi="Times New Roman" w:cs="Times New Roman"/>
          <w:iCs/>
        </w:rPr>
        <w:t xml:space="preserve">. The free energy of the actual metastable phase is determined by the interplay between two competing milling mechanisms: on one hand, accumulation of defects </w:t>
      </w:r>
      <w:r w:rsidR="00CB70A2">
        <w:rPr>
          <w:rFonts w:ascii="Times New Roman" w:eastAsia="Arial Unicode MS" w:hAnsi="Times New Roman" w:cs="Times New Roman"/>
          <w:iCs/>
        </w:rPr>
        <w:lastRenderedPageBreak/>
        <w:t>which raises the free energy of the system, on the other hand activation of a phase transformation which lowers the free energy of the system.</w:t>
      </w:r>
    </w:p>
    <w:p w14:paraId="12C54B57" w14:textId="5E2FCAFE" w:rsidR="00892621" w:rsidRPr="00892621" w:rsidRDefault="00700C74" w:rsidP="00CB70A2">
      <w:pPr>
        <w:spacing w:line="480" w:lineRule="auto"/>
        <w:jc w:val="both"/>
        <w:rPr>
          <w:rFonts w:ascii="Times New Roman" w:eastAsia="Arial Unicode MS" w:hAnsi="Times New Roman" w:cs="Times New Roman"/>
          <w:iCs/>
        </w:rPr>
      </w:pPr>
      <w:r w:rsidRPr="001B2131">
        <w:rPr>
          <w:rFonts w:ascii="Times New Roman" w:eastAsia="Arial Unicode MS" w:hAnsi="Times New Roman" w:cs="Times New Roman"/>
          <w:iCs/>
        </w:rPr>
        <w:t>Using dynamic light scattering (DLS), the size of the particles was determined to be 60 nm for NiSe and 90 nm for CoSe (</w:t>
      </w:r>
      <w:r w:rsidRPr="001B2131">
        <w:rPr>
          <w:rFonts w:ascii="Times New Roman" w:eastAsia="Arial Unicode MS" w:hAnsi="Times New Roman" w:cs="Times New Roman"/>
          <w:b/>
          <w:bCs/>
          <w:iCs/>
        </w:rPr>
        <w:t xml:space="preserve">Figures </w:t>
      </w:r>
      <w:r w:rsidR="000E6A2B">
        <w:rPr>
          <w:rFonts w:ascii="Times New Roman" w:eastAsia="Arial Unicode MS" w:hAnsi="Times New Roman" w:cs="Times New Roman"/>
          <w:b/>
          <w:bCs/>
          <w:iCs/>
        </w:rPr>
        <w:t>S</w:t>
      </w:r>
      <w:r w:rsidR="006A5DC5">
        <w:rPr>
          <w:rFonts w:ascii="Times New Roman" w:eastAsia="Arial Unicode MS" w:hAnsi="Times New Roman" w:cs="Times New Roman"/>
          <w:b/>
          <w:bCs/>
          <w:iCs/>
        </w:rPr>
        <w:t>1d</w:t>
      </w:r>
      <w:r w:rsidRPr="001B2131">
        <w:rPr>
          <w:rFonts w:ascii="Times New Roman" w:eastAsia="Arial Unicode MS" w:hAnsi="Times New Roman" w:cs="Times New Roman"/>
          <w:b/>
          <w:bCs/>
          <w:iCs/>
        </w:rPr>
        <w:t xml:space="preserve"> and </w:t>
      </w:r>
      <w:r w:rsidR="006A5DC5">
        <w:rPr>
          <w:rFonts w:ascii="Times New Roman" w:eastAsia="Arial Unicode MS" w:hAnsi="Times New Roman" w:cs="Times New Roman"/>
          <w:b/>
          <w:bCs/>
          <w:iCs/>
        </w:rPr>
        <w:t>S</w:t>
      </w:r>
      <w:r w:rsidRPr="001B2131">
        <w:rPr>
          <w:rFonts w:ascii="Times New Roman" w:eastAsia="Arial Unicode MS" w:hAnsi="Times New Roman" w:cs="Times New Roman"/>
          <w:b/>
          <w:bCs/>
          <w:iCs/>
        </w:rPr>
        <w:t>2</w:t>
      </w:r>
      <w:r w:rsidR="006A5DC5">
        <w:rPr>
          <w:rFonts w:ascii="Times New Roman" w:eastAsia="Arial Unicode MS" w:hAnsi="Times New Roman" w:cs="Times New Roman"/>
          <w:b/>
          <w:bCs/>
          <w:iCs/>
        </w:rPr>
        <w:t>d</w:t>
      </w:r>
      <w:r w:rsidRPr="001B2131">
        <w:rPr>
          <w:rFonts w:ascii="Times New Roman" w:eastAsia="Arial Unicode MS" w:hAnsi="Times New Roman" w:cs="Times New Roman"/>
          <w:iCs/>
        </w:rPr>
        <w:t>). It is worth noting that these particle sizes are at least two orders of magnitude smaller than the size of particles usually produced by cryomilling without the use of surfactant (without SABM step).</w:t>
      </w:r>
      <w:r w:rsidRPr="001B2131">
        <w:rPr>
          <w:rFonts w:ascii="Times New Roman" w:eastAsia="Arial Unicode MS" w:hAnsi="Times New Roman" w:cs="Times New Roman"/>
          <w:iCs/>
        </w:rPr>
        <w:fldChar w:fldCharType="begin" w:fldLock="1"/>
      </w:r>
      <w:r w:rsidR="0096753A">
        <w:rPr>
          <w:rFonts w:ascii="Times New Roman" w:eastAsia="Arial Unicode MS" w:hAnsi="Times New Roman" w:cs="Times New Roman"/>
          <w:iCs/>
        </w:rPr>
        <w:instrText>ADDIN CSL_CITATION {"citationItems":[{"id":"ITEM-1","itemData":{"DOI":"10.1149/2.0131815jes","ISSN":"0013-4651","abstract":"Amorphous Ni 79.2-x Co x Nb 12.5 Y 8.3 (x = 0, 5 at.%) alloys were synthesized using cryogenic mechanical alloying and evaluated as catalyst for the oxygen evolution reaction (OER) in alkaline media using cyclic voltammetry and Tafel measurements. Electrochemical testing showed that the amorphous alloys possessed lower Tafel values for the OER compared to crystalline Ni and Ni 95 Co 5. Anodic cycling of amorphous Ni 74.2 Co 5 Nb 12.5 Y 8.3 resulted in a lower onset potential for the OER and decreased Tafel values while no changes were observed for amorphous Ni 79.2 Nb 12.5 Y 8.3 and crystalline Ni 95 Co 5. Pairing of in situ confocal Raman spectroscopy with anodic cycling showed that the amorphous Ni 74.2 Co 5 Nb 12.5 Y 8.3 alloy formed reversible hydrous Co surface species instead of irreversible CoO 2 typically seen on crystalline NiCo alloys in KOH. The formation of hydrous Co surface species upon cycling was also accompanied by increased formation of β-NiOOH leading to enhanced catalytic performance of amorphous Ni 74.2 Co 5 Nb 12.5 Y 8.3 alloy over the amorphous Ni 79.2 Nb 12.5 Y 8.3 and the crystalline counterparts.","author":[{"dropping-particle":"","family":"Cole","given":"K. M.","non-dropping-particle":"","parse-names":false,"suffix":""},{"dropping-particle":"","family":"Kirk","given":"D. W.","non-dropping-particle":"","parse-names":false,"suffix":""},{"dropping-particle":"","family":"Thorpe","given":"S. J.","non-dropping-particle":"","parse-names":false,"suffix":""}],"container-title":"Journal of The Electrochemical Society","id":"ITEM-1","issue":"15","issued":{"date-parts":[["2018"]]},"page":"J3122-J3129","title":"In Situ Raman Study of Amorphous and Crystalline Ni-Co Alloys for the Alkaline Oxygen Evolution Reaction","type":"article-journal","volume":"165"},"uris":["http://www.mendeley.com/documents/?uuid=f296416d-0e5d-43ab-b7d7-38e3844d903a"]}],"mendeley":{"formattedCitation":"&lt;sup&gt;5&lt;/sup&gt;","plainTextFormattedCitation":"5","previouslyFormattedCitation":"&lt;sup&gt;5&lt;/sup&gt;"},"properties":{"noteIndex":0},"schema":"https://github.com/citation-style-language/schema/raw/master/csl-citation.json"}</w:instrText>
      </w:r>
      <w:r w:rsidRPr="001B2131">
        <w:rPr>
          <w:rFonts w:ascii="Times New Roman" w:eastAsia="Arial Unicode MS" w:hAnsi="Times New Roman" w:cs="Times New Roman"/>
          <w:iCs/>
        </w:rPr>
        <w:fldChar w:fldCharType="separate"/>
      </w:r>
      <w:r w:rsidR="001067BB" w:rsidRPr="001067BB">
        <w:rPr>
          <w:rFonts w:ascii="Times New Roman" w:eastAsia="Arial Unicode MS" w:hAnsi="Times New Roman" w:cs="Times New Roman"/>
          <w:iCs/>
          <w:noProof/>
          <w:vertAlign w:val="superscript"/>
        </w:rPr>
        <w:t>5</w:t>
      </w:r>
      <w:r w:rsidRPr="001B2131">
        <w:rPr>
          <w:rFonts w:ascii="Times New Roman" w:eastAsia="Arial Unicode MS" w:hAnsi="Times New Roman" w:cs="Times New Roman"/>
          <w:iCs/>
        </w:rPr>
        <w:fldChar w:fldCharType="end"/>
      </w:r>
      <w:r w:rsidRPr="001B2131">
        <w:rPr>
          <w:rFonts w:ascii="Times New Roman" w:eastAsia="Arial Unicode MS" w:hAnsi="Times New Roman" w:cs="Times New Roman"/>
          <w:iCs/>
        </w:rPr>
        <w:t>. This implies that despite the possibility of particles welding together due to excessive collisions, Se played an important role in stabilizing single phase nanoparticles (&lt;100nm) with Ni and Co.</w:t>
      </w:r>
      <w:r w:rsidR="00CB70A2">
        <w:rPr>
          <w:rFonts w:ascii="Times New Roman" w:eastAsia="Arial Unicode MS" w:hAnsi="Times New Roman" w:cs="Times New Roman"/>
          <w:iCs/>
        </w:rPr>
        <w:t xml:space="preserve"> </w:t>
      </w:r>
    </w:p>
    <w:p w14:paraId="1E2F82A8" w14:textId="77777777" w:rsidR="00F35D51" w:rsidRPr="002B3E9A" w:rsidRDefault="00F35D51" w:rsidP="00F35D51">
      <w:pPr>
        <w:spacing w:line="480" w:lineRule="auto"/>
        <w:rPr>
          <w:rFonts w:ascii="Times New Roman" w:hAnsi="Times New Roman"/>
          <w:bCs/>
          <w:color w:val="000000" w:themeColor="text1"/>
          <w:u w:val="single"/>
        </w:rPr>
      </w:pPr>
      <w:r>
        <w:rPr>
          <w:rFonts w:ascii="Times New Roman" w:hAnsi="Times New Roman"/>
          <w:bCs/>
          <w:color w:val="000000" w:themeColor="text1"/>
          <w:u w:val="single"/>
        </w:rPr>
        <w:t xml:space="preserve">Sol-Gel </w:t>
      </w:r>
      <w:r w:rsidRPr="002B3E9A">
        <w:rPr>
          <w:rFonts w:ascii="Times New Roman" w:hAnsi="Times New Roman"/>
          <w:bCs/>
          <w:color w:val="000000" w:themeColor="text1"/>
          <w:u w:val="single"/>
        </w:rPr>
        <w:t>Synthesis</w:t>
      </w:r>
    </w:p>
    <w:p w14:paraId="1FB42D17" w14:textId="55C78BFA" w:rsidR="00F35D51" w:rsidRPr="00086B94" w:rsidRDefault="00F35D51" w:rsidP="00F35D51">
      <w:pPr>
        <w:spacing w:line="480" w:lineRule="auto"/>
        <w:jc w:val="both"/>
        <w:rPr>
          <w:rFonts w:ascii="Times New Roman" w:hAnsi="Times New Roman" w:cs="Times New Roman"/>
          <w:b/>
          <w:lang w:eastAsia="zh-CN"/>
        </w:rPr>
      </w:pPr>
      <w:r>
        <w:rPr>
          <w:rFonts w:ascii="Times New Roman" w:hAnsi="Times New Roman" w:cs="Times New Roman"/>
          <w:lang w:eastAsia="zh-CN"/>
        </w:rPr>
        <w:t>NiFe</w:t>
      </w:r>
      <w:r w:rsidRPr="00520BDC">
        <w:rPr>
          <w:rFonts w:ascii="Times New Roman" w:hAnsi="Times New Roman" w:cs="Times New Roman"/>
          <w:lang w:eastAsia="zh-CN"/>
        </w:rPr>
        <w:t xml:space="preserve"> oxyhydroxides </w:t>
      </w:r>
      <w:r>
        <w:rPr>
          <w:rFonts w:ascii="Times New Roman" w:hAnsi="Times New Roman" w:cs="Times New Roman"/>
          <w:lang w:eastAsia="zh-CN"/>
        </w:rPr>
        <w:t>were</w:t>
      </w:r>
      <w:r w:rsidRPr="00520BDC">
        <w:rPr>
          <w:rFonts w:ascii="Times New Roman" w:hAnsi="Times New Roman" w:cs="Times New Roman"/>
          <w:lang w:eastAsia="zh-CN"/>
        </w:rPr>
        <w:t xml:space="preserve"> synthesized using a modified aqueous sol-gel technique</w:t>
      </w:r>
      <w:r>
        <w:rPr>
          <w:rFonts w:ascii="Times New Roman" w:hAnsi="Times New Roman" w:cs="Times New Roman"/>
        </w:rPr>
        <w:t xml:space="preserve"> </w:t>
      </w:r>
      <w:r>
        <w:rPr>
          <w:rFonts w:ascii="Times New Roman" w:hAnsi="Times New Roman" w:cs="Times New Roman"/>
        </w:rPr>
        <w:fldChar w:fldCharType="begin" w:fldLock="1"/>
      </w:r>
      <w:r w:rsidR="0096753A">
        <w:rPr>
          <w:rFonts w:ascii="Times New Roman" w:hAnsi="Times New Roman" w:cs="Times New Roman"/>
        </w:rPr>
        <w:instrText>ADDIN CSL_CITATION {"citationItems":[{"id":"ITEM-1","itemData":{"DOI":"10.1126/science.aaf1525","ISSN":"1095-9203","abstract":"Earth-abundant first-row (3d) transition-metal-based catalysts have been developed for the oxygen-evolution reaction (OER); however, they operate at overpotentials significantly above thermodynamic requirements. Density functional theory suggested that non-3d high-valency metals such as tungsten can modulate 3d metal oxides, providing near-optimal adsorption energies for OER intermediates. We developed a room-temperature synthesis to produce gelled oxy-hydroxide materials with an atomically homogeneous metal distribution. These gelled FeCoW oxy-hydroxide exhibits the lowest overpotential (191 mV) reported at 10 mA per square centimeter in alkaline electrolyte. The catalyst shows no evidence of degradation following more than 500 hours of operation. X-ray absorption and computational studies reveal a synergistic interplay between W, Fe and Co in producing a favorable local coordination environment and electronic structure that enhance the energetics for OER.","author":[{"dropping-particle":"","family":"Zhang","given":"Bo","non-dropping-particle":"","parse-names":false,"suffix":""},{"dropping-particle":"","family":"Zheng","given":"Xueli","non-dropping-particle":"","parse-names":false,"suffix":""},{"dropping-particle":"","family":"Voznyy","given":"Oleksandr","non-dropping-particle":"","parse-names":false,"suffix":""},{"dropping-particle":"","family":"Comin","given":"Riccardo","non-dropping-particle":"","parse-names":false,"suffix":""},{"dropping-particle":"","family":"Bajdich","given":"Michal","non-dropping-particle":"","parse-names":false,"suffix":""},{"dropping-particle":"De","family":"Arquer","given":"F Pelayo García","non-dropping-particle":"","parse-names":false,"suffix":""},{"dropping-particle":"","family":"Dinh","given":"Cao Thang","non-dropping-particle":"","parse-names":false,"suffix":""},{"dropping-particle":"","family":"Fan","given":"Fengjia","non-dropping-particle":"","parse-names":false,"suffix":""},{"dropping-particle":"","family":"Yuan","given":"Mingjian","non-dropping-particle":"","parse-names":false,"suffix":""},{"dropping-particle":"","family":"Janmohamed","given":"Alyf","non-dropping-particle":"","parse-names":false,"suffix":""},{"dropping-particle":"","family":"Xin","given":"Huolin L","non-dropping-particle":"","parse-names":false,"suffix":""},{"dropping-particle":"","family":"Yang","given":"Huagui","non-dropping-particle":"","parse-names":false,"suffix":""}],"container-title":"Science (New York, N.Y.)","id":"ITEM-1","issue":"6283","issued":{"date-parts":[["2016"]]},"page":"333-338","title":"Homogeneously dispersed, multimetal oxygen-evolving catalysts","type":"article-journal","volume":"352"},"uris":["http://www.mendeley.com/documents/?uuid=9075fc72-f45d-4dd2-bd70-4a888cddeeeb"]}],"mendeley":{"formattedCitation":"&lt;sup&gt;6&lt;/sup&gt;","plainTextFormattedCitation":"6","previouslyFormattedCitation":"&lt;sup&gt;6&lt;/sup&gt;"},"properties":{"noteIndex":0},"schema":"https://github.com/citation-style-language/schema/raw/master/csl-citation.json"}</w:instrText>
      </w:r>
      <w:r>
        <w:rPr>
          <w:rFonts w:ascii="Times New Roman" w:hAnsi="Times New Roman" w:cs="Times New Roman"/>
        </w:rPr>
        <w:fldChar w:fldCharType="separate"/>
      </w:r>
      <w:r w:rsidR="001067BB" w:rsidRPr="001067BB">
        <w:rPr>
          <w:rFonts w:ascii="Times New Roman" w:hAnsi="Times New Roman" w:cs="Times New Roman"/>
          <w:noProof/>
          <w:vertAlign w:val="superscript"/>
        </w:rPr>
        <w:t>6</w:t>
      </w:r>
      <w:r>
        <w:rPr>
          <w:rFonts w:ascii="Times New Roman" w:hAnsi="Times New Roman" w:cs="Times New Roman"/>
        </w:rPr>
        <w:fldChar w:fldCharType="end"/>
      </w:r>
      <w:r w:rsidRPr="00520BDC">
        <w:rPr>
          <w:rFonts w:ascii="Times New Roman" w:hAnsi="Times New Roman" w:cs="Times New Roman"/>
          <w:lang w:eastAsia="zh-CN"/>
        </w:rPr>
        <w:t xml:space="preserve">. Anhydrous </w:t>
      </w:r>
      <w:r w:rsidRPr="007F5679">
        <w:rPr>
          <w:rFonts w:ascii="Times New Roman" w:hAnsi="Times New Roman" w:cs="Times New Roman"/>
          <w:lang w:eastAsia="zh-CN"/>
        </w:rPr>
        <w:t>NiCl</w:t>
      </w:r>
      <w:r w:rsidRPr="007F5679">
        <w:rPr>
          <w:rFonts w:ascii="Times New Roman" w:hAnsi="Times New Roman" w:cs="Times New Roman"/>
          <w:vertAlign w:val="subscript"/>
          <w:lang w:eastAsia="zh-CN"/>
        </w:rPr>
        <w:t>2</w:t>
      </w:r>
      <w:r w:rsidRPr="007F5679">
        <w:rPr>
          <w:rFonts w:ascii="Times New Roman" w:hAnsi="Times New Roman" w:cs="Times New Roman"/>
          <w:lang w:eastAsia="zh-CN"/>
        </w:rPr>
        <w:t>.6H</w:t>
      </w:r>
      <w:r w:rsidRPr="007F5679">
        <w:rPr>
          <w:rFonts w:ascii="Times New Roman" w:hAnsi="Times New Roman" w:cs="Times New Roman"/>
          <w:vertAlign w:val="subscript"/>
          <w:lang w:eastAsia="zh-CN"/>
        </w:rPr>
        <w:t>2</w:t>
      </w:r>
      <w:r w:rsidRPr="007F5679">
        <w:rPr>
          <w:rFonts w:ascii="Times New Roman" w:hAnsi="Times New Roman" w:cs="Times New Roman"/>
          <w:lang w:eastAsia="zh-CN"/>
        </w:rPr>
        <w:t xml:space="preserve">O </w:t>
      </w:r>
      <w:r w:rsidRPr="00520BDC">
        <w:rPr>
          <w:rFonts w:ascii="Times New Roman" w:hAnsi="Times New Roman" w:cs="Times New Roman"/>
          <w:lang w:eastAsia="zh-CN"/>
        </w:rPr>
        <w:t>(</w:t>
      </w:r>
      <w:r>
        <w:rPr>
          <w:rFonts w:ascii="Times New Roman" w:hAnsi="Times New Roman" w:cs="Times New Roman"/>
          <w:lang w:eastAsia="zh-CN"/>
        </w:rPr>
        <w:t>2.0</w:t>
      </w:r>
      <w:r w:rsidRPr="00520BDC">
        <w:rPr>
          <w:rFonts w:ascii="Times New Roman" w:hAnsi="Times New Roman" w:cs="Times New Roman"/>
          <w:lang w:eastAsia="zh-CN"/>
        </w:rPr>
        <w:t xml:space="preserve"> mmo</w:t>
      </w:r>
      <w:r>
        <w:rPr>
          <w:rFonts w:ascii="Times New Roman" w:hAnsi="Times New Roman" w:cs="Times New Roman"/>
          <w:lang w:eastAsia="zh-CN"/>
        </w:rPr>
        <w:t xml:space="preserve">l) and </w:t>
      </w:r>
      <w:r w:rsidRPr="00520BDC">
        <w:rPr>
          <w:rFonts w:ascii="Times New Roman" w:hAnsi="Times New Roman" w:cs="Times New Roman"/>
          <w:lang w:eastAsia="zh-CN"/>
        </w:rPr>
        <w:t>FeCl</w:t>
      </w:r>
      <w:r w:rsidRPr="00520BDC">
        <w:rPr>
          <w:rFonts w:ascii="Times New Roman" w:hAnsi="Times New Roman" w:cs="Times New Roman"/>
          <w:vertAlign w:val="subscript"/>
          <w:lang w:eastAsia="zh-CN"/>
        </w:rPr>
        <w:t>3</w:t>
      </w:r>
      <w:r>
        <w:rPr>
          <w:rFonts w:ascii="Times New Roman" w:hAnsi="Times New Roman" w:cs="Times New Roman"/>
          <w:vertAlign w:val="subscript"/>
          <w:lang w:eastAsia="zh-CN"/>
        </w:rPr>
        <w:t xml:space="preserve"> </w:t>
      </w:r>
      <w:r>
        <w:rPr>
          <w:rFonts w:ascii="Times New Roman" w:hAnsi="Times New Roman" w:cs="Times New Roman"/>
          <w:lang w:eastAsia="zh-CN"/>
        </w:rPr>
        <w:t>anhydrous</w:t>
      </w:r>
      <w:r w:rsidRPr="00520BDC">
        <w:rPr>
          <w:rFonts w:ascii="Times New Roman" w:hAnsi="Times New Roman" w:cs="Times New Roman"/>
          <w:lang w:eastAsia="zh-CN"/>
        </w:rPr>
        <w:t xml:space="preserve"> (0.</w:t>
      </w:r>
      <w:r>
        <w:rPr>
          <w:rFonts w:ascii="Times New Roman" w:hAnsi="Times New Roman" w:cs="Times New Roman"/>
          <w:lang w:eastAsia="zh-CN"/>
        </w:rPr>
        <w:t>7</w:t>
      </w:r>
      <w:r w:rsidRPr="00520BDC">
        <w:rPr>
          <w:rFonts w:ascii="Times New Roman" w:hAnsi="Times New Roman" w:cs="Times New Roman"/>
          <w:lang w:eastAsia="zh-CN"/>
        </w:rPr>
        <w:t xml:space="preserve"> mmol) </w:t>
      </w:r>
      <w:r>
        <w:rPr>
          <w:rFonts w:ascii="Times New Roman" w:hAnsi="Times New Roman" w:cs="Times New Roman"/>
          <w:lang w:eastAsia="zh-CN"/>
        </w:rPr>
        <w:t xml:space="preserve">were </w:t>
      </w:r>
      <w:r w:rsidRPr="00520BDC">
        <w:rPr>
          <w:rFonts w:ascii="Times New Roman" w:hAnsi="Times New Roman" w:cs="Times New Roman"/>
          <w:lang w:eastAsia="zh-CN"/>
        </w:rPr>
        <w:t xml:space="preserve">first dissolved in ethanol (4 mL) in a vial. Deionized water (DI) (0.21 mL) was mixed with ethanol (2 mL) in a separate vial. All above solutions were cooled in an ice bath for 2 h. The </w:t>
      </w:r>
      <w:r>
        <w:rPr>
          <w:rFonts w:ascii="Times New Roman" w:hAnsi="Times New Roman" w:cs="Times New Roman"/>
          <w:lang w:eastAsia="zh-CN"/>
        </w:rPr>
        <w:t>Ni and Fe</w:t>
      </w:r>
      <w:r w:rsidRPr="00520BDC">
        <w:rPr>
          <w:rFonts w:ascii="Times New Roman" w:hAnsi="Times New Roman" w:cs="Times New Roman"/>
          <w:lang w:eastAsia="zh-CN"/>
        </w:rPr>
        <w:t xml:space="preserve"> precursors were then mixed with an ethanol-water mixture to form a clear solution. To this solution, propylene oxide (≈1 mL) was then slowly added, forming a dark gel. The </w:t>
      </w:r>
      <w:r>
        <w:rPr>
          <w:rFonts w:ascii="Times New Roman" w:hAnsi="Times New Roman" w:cs="Times New Roman"/>
          <w:lang w:eastAsia="zh-CN"/>
        </w:rPr>
        <w:t>NiFe</w:t>
      </w:r>
      <w:r w:rsidRPr="00520BDC">
        <w:rPr>
          <w:rFonts w:ascii="Times New Roman" w:hAnsi="Times New Roman" w:cs="Times New Roman"/>
          <w:lang w:eastAsia="zh-CN"/>
        </w:rPr>
        <w:t xml:space="preserve"> wet-gel was aged for 1 day to promote network formation, immersed in acetone, which was replaced periodically for 5 days before the gel was dried </w:t>
      </w:r>
      <w:r>
        <w:rPr>
          <w:rFonts w:ascii="Times New Roman" w:hAnsi="Times New Roman" w:cs="Times New Roman"/>
          <w:lang w:eastAsia="zh-CN"/>
        </w:rPr>
        <w:t>in vacuum oven</w:t>
      </w:r>
      <w:r w:rsidRPr="00520BDC">
        <w:rPr>
          <w:rFonts w:ascii="Times New Roman" w:hAnsi="Times New Roman" w:cs="Times New Roman"/>
          <w:lang w:eastAsia="zh-CN"/>
        </w:rPr>
        <w:t>.</w:t>
      </w:r>
      <w:r w:rsidRPr="00520BDC">
        <w:rPr>
          <w:rFonts w:ascii="Times New Roman" w:eastAsia="@AdvPS_TTI" w:hAnsi="Times New Roman" w:cs="Times New Roman"/>
          <w:sz w:val="16"/>
          <w:szCs w:val="16"/>
          <w:lang w:eastAsia="zh-CN"/>
        </w:rPr>
        <w:t xml:space="preserve"> </w:t>
      </w:r>
    </w:p>
    <w:p w14:paraId="5E329ED3" w14:textId="77777777" w:rsidR="00F35D51" w:rsidRPr="00DB3D67" w:rsidRDefault="00F35D51" w:rsidP="00F35D51">
      <w:pPr>
        <w:spacing w:line="480" w:lineRule="auto"/>
        <w:rPr>
          <w:rFonts w:ascii="Times New Roman" w:eastAsia="Arial Unicode MS" w:hAnsi="Times New Roman" w:cs="Times New Roman"/>
          <w:b/>
          <w:bCs/>
          <w:iCs/>
        </w:rPr>
      </w:pPr>
      <w:r w:rsidRPr="00DB3D67">
        <w:rPr>
          <w:rFonts w:ascii="Times New Roman" w:eastAsia="Arial Unicode MS" w:hAnsi="Times New Roman" w:cs="Times New Roman"/>
          <w:b/>
          <w:bCs/>
          <w:iCs/>
        </w:rPr>
        <w:t>Characterization</w:t>
      </w:r>
    </w:p>
    <w:p w14:paraId="5703EBD4" w14:textId="77777777" w:rsidR="00F35D51" w:rsidRPr="00CE7695" w:rsidRDefault="00F35D51" w:rsidP="00F35D51">
      <w:pPr>
        <w:spacing w:line="480" w:lineRule="auto"/>
        <w:jc w:val="both"/>
        <w:rPr>
          <w:rFonts w:ascii="Times New Roman" w:hAnsi="Times New Roman" w:cs="Times New Roman"/>
          <w:u w:val="single"/>
          <w:lang w:val="en-US"/>
        </w:rPr>
      </w:pPr>
      <w:r w:rsidRPr="00CE7695">
        <w:rPr>
          <w:rFonts w:ascii="Times New Roman" w:hAnsi="Times New Roman" w:cs="Times New Roman"/>
          <w:u w:val="single"/>
          <w:lang w:val="en-US"/>
        </w:rPr>
        <w:t>XRD</w:t>
      </w:r>
    </w:p>
    <w:p w14:paraId="4C7B026D" w14:textId="3B01057C" w:rsidR="00F35D51" w:rsidRDefault="00F35D51" w:rsidP="00F35D51">
      <w:pPr>
        <w:spacing w:line="480" w:lineRule="auto"/>
        <w:jc w:val="both"/>
        <w:rPr>
          <w:rFonts w:ascii="Times New Roman" w:hAnsi="Times New Roman" w:cs="Times New Roman"/>
          <w:lang w:val="en-US"/>
        </w:rPr>
      </w:pPr>
      <w:r w:rsidRPr="00DB3D67">
        <w:rPr>
          <w:rFonts w:ascii="Times New Roman" w:hAnsi="Times New Roman" w:cs="Times New Roman"/>
          <w:lang w:val="en-US"/>
        </w:rPr>
        <w:t>The crystal structure of catalysts was determined using X-ray Diffraction (XRD). A Miniflex 600 (Rigaku, Japan) equipped with D/tex Ultra silicon trip detector and Cu Kα radiation (λ = 1.5418 Å) was used. Powders were prepared by mixing with acetone and then dropping a small drop of the mixture to fill a 4 mm diameter x 100 μm deep groove in a single crystal silicon holder (zero-background). The angle was varied between 20° to 80° with a step size of 0.05°</w:t>
      </w:r>
      <w:r>
        <w:rPr>
          <w:rFonts w:ascii="Times New Roman" w:hAnsi="Times New Roman" w:cs="Times New Roman"/>
          <w:lang w:val="en-US"/>
        </w:rPr>
        <w:t xml:space="preserve"> every 2 seconds</w:t>
      </w:r>
      <w:r w:rsidRPr="00DB3D67">
        <w:rPr>
          <w:rFonts w:ascii="Times New Roman" w:hAnsi="Times New Roman" w:cs="Times New Roman"/>
          <w:lang w:val="en-US"/>
        </w:rPr>
        <w:t xml:space="preserve">. </w:t>
      </w:r>
    </w:p>
    <w:p w14:paraId="704ECEEB" w14:textId="77777777" w:rsidR="00892621" w:rsidRPr="00892621" w:rsidRDefault="00892621" w:rsidP="00892621">
      <w:pPr>
        <w:spacing w:line="480" w:lineRule="auto"/>
        <w:jc w:val="both"/>
        <w:rPr>
          <w:rFonts w:ascii="Times New Roman" w:hAnsi="Times New Roman" w:cs="Times New Roman"/>
          <w:lang w:val="en-US"/>
        </w:rPr>
      </w:pPr>
      <w:r w:rsidRPr="00892621">
        <w:rPr>
          <w:rFonts w:ascii="Times New Roman" w:hAnsi="Times New Roman" w:cs="Times New Roman"/>
          <w:lang w:val="en-US"/>
        </w:rPr>
        <w:lastRenderedPageBreak/>
        <w:t xml:space="preserve">Using Scherrer’s equation: </w:t>
      </w:r>
    </w:p>
    <w:p w14:paraId="1A64FA78" w14:textId="77777777" w:rsidR="00892621" w:rsidRPr="00892621" w:rsidRDefault="00892621" w:rsidP="00892621">
      <w:pPr>
        <w:spacing w:line="480" w:lineRule="auto"/>
        <w:jc w:val="both"/>
        <w:rPr>
          <w:rFonts w:ascii="Times New Roman" w:hAnsi="Times New Roman" w:cs="Times New Roman"/>
          <w:lang w:val="en-US"/>
        </w:rPr>
      </w:pPr>
      <m:oMathPara>
        <m:oMath>
          <m:r>
            <w:rPr>
              <w:rFonts w:ascii="Cambria Math" w:hAnsi="Cambria Math" w:cs="Times New Roman"/>
              <w:lang w:val="en-US"/>
            </w:rPr>
            <m:t>D</m:t>
          </m:r>
          <m:r>
            <m:rPr>
              <m:sty m:val="p"/>
            </m:rPr>
            <w:rPr>
              <w:rFonts w:ascii="Cambria Math" w:hAnsi="Cambria Math" w:cs="Times New Roman"/>
              <w:lang w:val="en-US"/>
            </w:rPr>
            <m:t xml:space="preserve"> = </m:t>
          </m:r>
          <m:f>
            <m:fPr>
              <m:ctrlPr>
                <w:rPr>
                  <w:rFonts w:ascii="Cambria Math" w:hAnsi="Cambria Math" w:cs="Times New Roman"/>
                  <w:lang w:val="en-US"/>
                </w:rPr>
              </m:ctrlPr>
            </m:fPr>
            <m:num>
              <m:r>
                <w:rPr>
                  <w:rFonts w:ascii="Cambria Math" w:hAnsi="Cambria Math" w:cs="Times New Roman"/>
                  <w:lang w:val="en-US"/>
                </w:rPr>
                <m:t>Kλ</m:t>
              </m:r>
            </m:num>
            <m:den>
              <m:r>
                <w:rPr>
                  <w:rFonts w:ascii="Cambria Math" w:hAnsi="Cambria Math" w:cs="Times New Roman"/>
                  <w:lang w:val="en-US"/>
                </w:rPr>
                <m:t>FWHM</m:t>
              </m:r>
              <m:func>
                <m:funcPr>
                  <m:ctrlPr>
                    <w:rPr>
                      <w:rFonts w:ascii="Cambria Math" w:hAnsi="Cambria Math" w:cs="Times New Roman"/>
                      <w:lang w:val="en-US"/>
                    </w:rPr>
                  </m:ctrlPr>
                </m:funcPr>
                <m:fName>
                  <m:r>
                    <m:rPr>
                      <m:sty m:val="p"/>
                    </m:rPr>
                    <w:rPr>
                      <w:rFonts w:ascii="Cambria Math" w:hAnsi="Cambria Math" w:cs="Times New Roman"/>
                      <w:lang w:val="en-US"/>
                    </w:rPr>
                    <m:t>cos</m:t>
                  </m:r>
                </m:fName>
                <m:e>
                  <m:r>
                    <w:rPr>
                      <w:rFonts w:ascii="Cambria Math" w:hAnsi="Cambria Math" w:cs="Times New Roman"/>
                      <w:lang w:val="en-US"/>
                    </w:rPr>
                    <m:t>θ</m:t>
                  </m:r>
                </m:e>
              </m:func>
            </m:den>
          </m:f>
        </m:oMath>
      </m:oMathPara>
    </w:p>
    <w:p w14:paraId="2EE9930E" w14:textId="77777777" w:rsidR="00892621" w:rsidRPr="00892621" w:rsidRDefault="00892621" w:rsidP="00892621">
      <w:pPr>
        <w:spacing w:line="480" w:lineRule="auto"/>
        <w:jc w:val="both"/>
        <w:rPr>
          <w:rFonts w:ascii="Times New Roman" w:hAnsi="Times New Roman" w:cs="Times New Roman"/>
          <w:lang w:val="en-US"/>
        </w:rPr>
      </w:pPr>
      <w:r w:rsidRPr="00892621">
        <w:rPr>
          <w:rFonts w:ascii="Times New Roman" w:hAnsi="Times New Roman" w:cs="Times New Roman"/>
          <w:lang w:val="en-US"/>
        </w:rPr>
        <w:t xml:space="preserve">D is the mean crystallite size which can be equal to or less than the particle size, </w:t>
      </w:r>
      <w:r w:rsidRPr="00892621">
        <w:rPr>
          <w:rFonts w:ascii="Times New Roman" w:hAnsi="Times New Roman" w:cs="Times New Roman"/>
          <w:lang w:val="en-US"/>
        </w:rPr>
        <w:sym w:font="Symbol" w:char="F06C"/>
      </w:r>
      <w:r w:rsidRPr="00892621">
        <w:rPr>
          <w:rFonts w:ascii="Times New Roman" w:hAnsi="Times New Roman" w:cs="Times New Roman"/>
          <w:lang w:val="en-US"/>
        </w:rPr>
        <w:t xml:space="preserve"> is 0.154 nm for Cu X-ray source, K is shape factor has a typical value between 0.9-1. </w:t>
      </w:r>
    </w:p>
    <w:p w14:paraId="51BB422C" w14:textId="53791D20" w:rsidR="00892621" w:rsidRPr="00892621" w:rsidRDefault="00892621" w:rsidP="00892621">
      <w:pPr>
        <w:spacing w:line="480" w:lineRule="auto"/>
        <w:jc w:val="both"/>
        <w:rPr>
          <w:rFonts w:ascii="Times New Roman" w:hAnsi="Times New Roman" w:cs="Times New Roman"/>
          <w:lang w:val="en-US"/>
        </w:rPr>
      </w:pPr>
      <w:r w:rsidRPr="00892621">
        <w:rPr>
          <w:rFonts w:ascii="Times New Roman" w:hAnsi="Times New Roman" w:cs="Times New Roman"/>
          <w:lang w:val="en-US"/>
        </w:rPr>
        <w:t>The analysis was carried on (NiCo)Se because, unlik</w:t>
      </w:r>
      <w:r w:rsidR="007E1DDE">
        <w:rPr>
          <w:rFonts w:ascii="Times New Roman" w:hAnsi="Times New Roman" w:cs="Times New Roman"/>
          <w:lang w:val="en-US"/>
        </w:rPr>
        <w:t>2</w:t>
      </w:r>
      <w:r w:rsidRPr="00892621">
        <w:rPr>
          <w:rFonts w:ascii="Times New Roman" w:hAnsi="Times New Roman" w:cs="Times New Roman"/>
          <w:lang w:val="en-US"/>
        </w:rPr>
        <w:t>e (NiCo)</w:t>
      </w:r>
      <w:r w:rsidRPr="00183A4B">
        <w:rPr>
          <w:rFonts w:ascii="Times New Roman" w:hAnsi="Times New Roman" w:cs="Times New Roman"/>
          <w:vertAlign w:val="subscript"/>
          <w:lang w:val="en-US"/>
        </w:rPr>
        <w:t>3</w:t>
      </w:r>
      <w:r w:rsidRPr="00892621">
        <w:rPr>
          <w:rFonts w:ascii="Times New Roman" w:hAnsi="Times New Roman" w:cs="Times New Roman"/>
          <w:lang w:val="en-US"/>
        </w:rPr>
        <w:t>Se</w:t>
      </w:r>
      <w:r w:rsidRPr="00183A4B">
        <w:rPr>
          <w:rFonts w:ascii="Times New Roman" w:hAnsi="Times New Roman" w:cs="Times New Roman"/>
          <w:vertAlign w:val="subscript"/>
          <w:lang w:val="en-US"/>
        </w:rPr>
        <w:t>4</w:t>
      </w:r>
      <w:r w:rsidRPr="00892621">
        <w:rPr>
          <w:rFonts w:ascii="Times New Roman" w:hAnsi="Times New Roman" w:cs="Times New Roman"/>
          <w:lang w:val="en-US"/>
        </w:rPr>
        <w:t xml:space="preserve">, it has </w:t>
      </w:r>
      <w:r w:rsidR="00183A4B">
        <w:rPr>
          <w:rFonts w:ascii="Times New Roman" w:hAnsi="Times New Roman" w:cs="Times New Roman"/>
          <w:lang w:val="en-US"/>
        </w:rPr>
        <w:t>fewer</w:t>
      </w:r>
      <w:r w:rsidRPr="00892621">
        <w:rPr>
          <w:rFonts w:ascii="Times New Roman" w:hAnsi="Times New Roman" w:cs="Times New Roman"/>
          <w:lang w:val="en-US"/>
        </w:rPr>
        <w:t xml:space="preserve"> overlapping peaks in its XRD pattern, which can complicate the analysis. </w:t>
      </w:r>
      <w:r w:rsidR="00183A4B" w:rsidRPr="00892621">
        <w:rPr>
          <w:rFonts w:ascii="Times New Roman" w:hAnsi="Times New Roman" w:cs="Times New Roman"/>
          <w:lang w:val="en-US"/>
        </w:rPr>
        <w:t>Also,</w:t>
      </w:r>
      <w:r w:rsidRPr="00892621">
        <w:rPr>
          <w:rFonts w:ascii="Times New Roman" w:hAnsi="Times New Roman" w:cs="Times New Roman"/>
          <w:lang w:val="en-US"/>
        </w:rPr>
        <w:t xml:space="preserve"> the analysis was carried out on planes in the 2</w:t>
      </w:r>
      <w:r w:rsidRPr="00892621">
        <w:rPr>
          <w:rFonts w:ascii="Times New Roman" w:hAnsi="Times New Roman" w:cs="Times New Roman"/>
          <w:lang w:val="en-US"/>
        </w:rPr>
        <w:sym w:font="Symbol" w:char="F071"/>
      </w:r>
      <w:r w:rsidRPr="00892621">
        <w:rPr>
          <w:rFonts w:ascii="Times New Roman" w:hAnsi="Times New Roman" w:cs="Times New Roman"/>
          <w:lang w:val="en-US"/>
        </w:rPr>
        <w:t xml:space="preserve"> range of 30 – 50 to avoid broadening caused by the instrumentation at higher 2</w:t>
      </w:r>
      <w:r w:rsidRPr="00892621">
        <w:rPr>
          <w:rFonts w:ascii="Times New Roman" w:hAnsi="Times New Roman" w:cs="Times New Roman"/>
          <w:lang w:val="en-US"/>
        </w:rPr>
        <w:sym w:font="Symbol" w:char="F071"/>
      </w:r>
      <w:r w:rsidRPr="00892621">
        <w:rPr>
          <w:rFonts w:ascii="Times New Roman" w:hAnsi="Times New Roman" w:cs="Times New Roman"/>
          <w:lang w:val="en-US"/>
        </w:rPr>
        <w:t xml:space="preserve"> values.</w:t>
      </w:r>
    </w:p>
    <w:tbl>
      <w:tblPr>
        <w:tblStyle w:val="TableGrid"/>
        <w:tblW w:w="8557" w:type="dxa"/>
        <w:jc w:val="center"/>
        <w:tblLook w:val="04A0" w:firstRow="1" w:lastRow="0" w:firstColumn="1" w:lastColumn="0" w:noHBand="0" w:noVBand="1"/>
      </w:tblPr>
      <w:tblGrid>
        <w:gridCol w:w="1797"/>
        <w:gridCol w:w="1753"/>
        <w:gridCol w:w="1563"/>
        <w:gridCol w:w="1722"/>
        <w:gridCol w:w="1722"/>
      </w:tblGrid>
      <w:tr w:rsidR="00892621" w:rsidRPr="005548BE" w14:paraId="79E7B943" w14:textId="77777777" w:rsidTr="005548BE">
        <w:trPr>
          <w:trHeight w:val="522"/>
          <w:jc w:val="center"/>
        </w:trPr>
        <w:tc>
          <w:tcPr>
            <w:tcW w:w="1797" w:type="dxa"/>
            <w:vAlign w:val="center"/>
          </w:tcPr>
          <w:p w14:paraId="17E673C5" w14:textId="77777777" w:rsidR="00892621" w:rsidRPr="005548BE" w:rsidRDefault="00892621" w:rsidP="00F86403">
            <w:pPr>
              <w:jc w:val="center"/>
              <w:rPr>
                <w:rFonts w:ascii="Times New Roman" w:hAnsi="Times New Roman" w:cs="Times New Roman"/>
                <w:sz w:val="24"/>
                <w:szCs w:val="24"/>
                <w:lang w:val="en-US"/>
              </w:rPr>
            </w:pPr>
            <w:r w:rsidRPr="005548BE">
              <w:rPr>
                <w:rFonts w:ascii="Times New Roman" w:hAnsi="Times New Roman" w:cs="Times New Roman"/>
                <w:sz w:val="24"/>
                <w:szCs w:val="24"/>
                <w:lang w:val="en-US"/>
              </w:rPr>
              <w:t>Plane</w:t>
            </w:r>
          </w:p>
        </w:tc>
        <w:tc>
          <w:tcPr>
            <w:tcW w:w="1753" w:type="dxa"/>
            <w:vAlign w:val="center"/>
          </w:tcPr>
          <w:p w14:paraId="7EF4019D" w14:textId="77777777" w:rsidR="00892621" w:rsidRPr="005548BE" w:rsidRDefault="00892621" w:rsidP="00F86403">
            <w:pPr>
              <w:jc w:val="center"/>
              <w:rPr>
                <w:rFonts w:ascii="Times New Roman" w:hAnsi="Times New Roman" w:cs="Times New Roman"/>
                <w:sz w:val="24"/>
                <w:szCs w:val="24"/>
                <w:lang w:val="en-US"/>
              </w:rPr>
            </w:pPr>
            <w:r w:rsidRPr="005548BE">
              <w:rPr>
                <w:rFonts w:ascii="Times New Roman" w:hAnsi="Times New Roman" w:cs="Times New Roman"/>
                <w:sz w:val="24"/>
                <w:szCs w:val="24"/>
                <w:lang w:val="en-US"/>
              </w:rPr>
              <w:t>d-spacing (nm)</w:t>
            </w:r>
          </w:p>
        </w:tc>
        <w:tc>
          <w:tcPr>
            <w:tcW w:w="1563" w:type="dxa"/>
            <w:vAlign w:val="center"/>
          </w:tcPr>
          <w:p w14:paraId="71EED4F3" w14:textId="77777777" w:rsidR="00892621" w:rsidRPr="005548BE" w:rsidRDefault="00892621" w:rsidP="00F86403">
            <w:pPr>
              <w:jc w:val="center"/>
              <w:rPr>
                <w:rFonts w:ascii="Times New Roman" w:hAnsi="Times New Roman" w:cs="Times New Roman"/>
                <w:sz w:val="24"/>
                <w:szCs w:val="24"/>
                <w:lang w:val="en-US"/>
              </w:rPr>
            </w:pPr>
            <w:r w:rsidRPr="005548BE">
              <w:rPr>
                <w:rFonts w:ascii="Times New Roman" w:hAnsi="Times New Roman" w:cs="Times New Roman"/>
                <w:sz w:val="24"/>
                <w:szCs w:val="24"/>
                <w:lang w:val="en-US"/>
              </w:rPr>
              <w:t>2</w:t>
            </w:r>
            <w:r w:rsidRPr="005548BE">
              <w:rPr>
                <w:rFonts w:ascii="Times New Roman" w:hAnsi="Times New Roman" w:cs="Times New Roman"/>
                <w:sz w:val="24"/>
                <w:szCs w:val="24"/>
                <w:lang w:val="en-US"/>
              </w:rPr>
              <w:sym w:font="Symbol" w:char="F071"/>
            </w:r>
          </w:p>
        </w:tc>
        <w:tc>
          <w:tcPr>
            <w:tcW w:w="1722" w:type="dxa"/>
            <w:vAlign w:val="center"/>
          </w:tcPr>
          <w:p w14:paraId="726C6449" w14:textId="77777777" w:rsidR="00892621" w:rsidRPr="005548BE" w:rsidRDefault="00892621" w:rsidP="00F86403">
            <w:pPr>
              <w:jc w:val="center"/>
              <w:rPr>
                <w:rFonts w:ascii="Times New Roman" w:hAnsi="Times New Roman" w:cs="Times New Roman"/>
                <w:sz w:val="24"/>
                <w:szCs w:val="24"/>
                <w:lang w:val="en-US"/>
              </w:rPr>
            </w:pPr>
            <w:r w:rsidRPr="005548BE">
              <w:rPr>
                <w:rFonts w:ascii="Times New Roman" w:hAnsi="Times New Roman" w:cs="Times New Roman"/>
                <w:sz w:val="24"/>
                <w:szCs w:val="24"/>
                <w:lang w:val="en-US"/>
              </w:rPr>
              <w:t>FWHM (rad)</w:t>
            </w:r>
          </w:p>
        </w:tc>
        <w:tc>
          <w:tcPr>
            <w:tcW w:w="1722" w:type="dxa"/>
            <w:vAlign w:val="center"/>
          </w:tcPr>
          <w:p w14:paraId="43504805" w14:textId="77777777" w:rsidR="00892621" w:rsidRPr="005548BE" w:rsidRDefault="00892621" w:rsidP="00F86403">
            <w:pPr>
              <w:jc w:val="center"/>
              <w:rPr>
                <w:rFonts w:ascii="Times New Roman" w:hAnsi="Times New Roman" w:cs="Times New Roman"/>
                <w:sz w:val="24"/>
                <w:szCs w:val="24"/>
                <w:lang w:val="en-US"/>
              </w:rPr>
            </w:pPr>
            <w:r w:rsidRPr="005548BE">
              <w:rPr>
                <w:rFonts w:ascii="Times New Roman" w:hAnsi="Times New Roman" w:cs="Times New Roman"/>
                <w:sz w:val="24"/>
                <w:szCs w:val="24"/>
                <w:lang w:val="en-US"/>
              </w:rPr>
              <w:t>D (nm)</w:t>
            </w:r>
          </w:p>
        </w:tc>
      </w:tr>
      <w:tr w:rsidR="00892621" w:rsidRPr="005548BE" w14:paraId="11430F18" w14:textId="77777777" w:rsidTr="005548BE">
        <w:trPr>
          <w:trHeight w:val="522"/>
          <w:jc w:val="center"/>
        </w:trPr>
        <w:tc>
          <w:tcPr>
            <w:tcW w:w="1797" w:type="dxa"/>
            <w:vAlign w:val="center"/>
          </w:tcPr>
          <w:p w14:paraId="49BB2A30" w14:textId="77777777" w:rsidR="00892621" w:rsidRPr="005548BE" w:rsidRDefault="00892621" w:rsidP="00F86403">
            <w:pPr>
              <w:jc w:val="center"/>
              <w:rPr>
                <w:rFonts w:ascii="Times New Roman" w:hAnsi="Times New Roman" w:cs="Times New Roman"/>
                <w:sz w:val="24"/>
                <w:szCs w:val="24"/>
                <w:lang w:val="en-US"/>
              </w:rPr>
            </w:pPr>
            <w:r w:rsidRPr="005548BE">
              <w:rPr>
                <w:rFonts w:ascii="Times New Roman" w:hAnsi="Times New Roman" w:cs="Times New Roman"/>
                <w:sz w:val="24"/>
                <w:szCs w:val="24"/>
                <w:lang w:val="en-US"/>
              </w:rPr>
              <w:t>(101)</w:t>
            </w:r>
          </w:p>
        </w:tc>
        <w:tc>
          <w:tcPr>
            <w:tcW w:w="1753" w:type="dxa"/>
            <w:vAlign w:val="center"/>
          </w:tcPr>
          <w:p w14:paraId="2C4E4E2D" w14:textId="77777777" w:rsidR="00892621" w:rsidRPr="005548BE" w:rsidRDefault="00892621" w:rsidP="00F86403">
            <w:pPr>
              <w:jc w:val="center"/>
              <w:rPr>
                <w:rFonts w:ascii="Times New Roman" w:hAnsi="Times New Roman" w:cs="Times New Roman"/>
                <w:sz w:val="24"/>
                <w:szCs w:val="24"/>
                <w:lang w:val="en-US"/>
              </w:rPr>
            </w:pPr>
            <w:r w:rsidRPr="005548BE">
              <w:rPr>
                <w:rFonts w:ascii="Times New Roman" w:hAnsi="Times New Roman" w:cs="Times New Roman"/>
                <w:sz w:val="24"/>
                <w:szCs w:val="24"/>
                <w:lang w:val="en-US"/>
              </w:rPr>
              <w:t>2.711</w:t>
            </w:r>
          </w:p>
        </w:tc>
        <w:tc>
          <w:tcPr>
            <w:tcW w:w="1563" w:type="dxa"/>
            <w:vAlign w:val="center"/>
          </w:tcPr>
          <w:p w14:paraId="5319ECE9" w14:textId="77777777" w:rsidR="00892621" w:rsidRPr="005548BE" w:rsidRDefault="00892621" w:rsidP="00F86403">
            <w:pPr>
              <w:jc w:val="center"/>
              <w:rPr>
                <w:rFonts w:ascii="Times New Roman" w:hAnsi="Times New Roman" w:cs="Times New Roman"/>
                <w:sz w:val="24"/>
                <w:szCs w:val="24"/>
                <w:lang w:val="en-US"/>
              </w:rPr>
            </w:pPr>
            <w:r w:rsidRPr="005548BE">
              <w:rPr>
                <w:rFonts w:ascii="Times New Roman" w:hAnsi="Times New Roman" w:cs="Times New Roman"/>
                <w:sz w:val="24"/>
                <w:szCs w:val="24"/>
                <w:lang w:val="en-US"/>
              </w:rPr>
              <w:t>33.01</w:t>
            </w:r>
          </w:p>
        </w:tc>
        <w:tc>
          <w:tcPr>
            <w:tcW w:w="1722" w:type="dxa"/>
            <w:vAlign w:val="center"/>
          </w:tcPr>
          <w:p w14:paraId="24A29B4F" w14:textId="77777777" w:rsidR="00892621" w:rsidRPr="005548BE" w:rsidRDefault="00892621" w:rsidP="00F86403">
            <w:pPr>
              <w:jc w:val="center"/>
              <w:rPr>
                <w:rFonts w:ascii="Times New Roman" w:hAnsi="Times New Roman" w:cs="Times New Roman"/>
                <w:sz w:val="24"/>
                <w:szCs w:val="24"/>
                <w:lang w:val="en-US"/>
              </w:rPr>
            </w:pPr>
            <w:r w:rsidRPr="005548BE">
              <w:rPr>
                <w:rFonts w:ascii="Times New Roman" w:hAnsi="Times New Roman" w:cs="Times New Roman"/>
                <w:sz w:val="24"/>
                <w:szCs w:val="24"/>
                <w:lang w:val="en-US"/>
              </w:rPr>
              <w:t>0.084</w:t>
            </w:r>
          </w:p>
        </w:tc>
        <w:tc>
          <w:tcPr>
            <w:tcW w:w="1722" w:type="dxa"/>
            <w:vAlign w:val="center"/>
          </w:tcPr>
          <w:p w14:paraId="0D2CF86C" w14:textId="77777777" w:rsidR="00892621" w:rsidRPr="005548BE" w:rsidRDefault="00892621" w:rsidP="00F86403">
            <w:pPr>
              <w:jc w:val="center"/>
              <w:rPr>
                <w:rFonts w:ascii="Times New Roman" w:hAnsi="Times New Roman" w:cs="Times New Roman"/>
                <w:sz w:val="24"/>
                <w:szCs w:val="24"/>
                <w:lang w:val="en-US"/>
              </w:rPr>
            </w:pPr>
            <w:r w:rsidRPr="005548BE">
              <w:rPr>
                <w:rFonts w:ascii="Times New Roman" w:hAnsi="Times New Roman" w:cs="Times New Roman"/>
                <w:sz w:val="24"/>
                <w:szCs w:val="24"/>
                <w:lang w:val="en-US"/>
              </w:rPr>
              <w:t>1.92</w:t>
            </w:r>
          </w:p>
        </w:tc>
      </w:tr>
      <w:tr w:rsidR="00892621" w:rsidRPr="005548BE" w14:paraId="55AB8E2E" w14:textId="77777777" w:rsidTr="005548BE">
        <w:trPr>
          <w:trHeight w:val="522"/>
          <w:jc w:val="center"/>
        </w:trPr>
        <w:tc>
          <w:tcPr>
            <w:tcW w:w="1797" w:type="dxa"/>
            <w:vAlign w:val="center"/>
          </w:tcPr>
          <w:p w14:paraId="54A6C69D" w14:textId="77777777" w:rsidR="00892621" w:rsidRPr="005548BE" w:rsidRDefault="00892621" w:rsidP="00F86403">
            <w:pPr>
              <w:jc w:val="center"/>
              <w:rPr>
                <w:rFonts w:ascii="Times New Roman" w:hAnsi="Times New Roman" w:cs="Times New Roman"/>
                <w:sz w:val="24"/>
                <w:szCs w:val="24"/>
                <w:lang w:val="en-US"/>
              </w:rPr>
            </w:pPr>
            <w:r w:rsidRPr="005548BE">
              <w:rPr>
                <w:rFonts w:ascii="Times New Roman" w:hAnsi="Times New Roman" w:cs="Times New Roman"/>
                <w:sz w:val="24"/>
                <w:szCs w:val="24"/>
                <w:lang w:val="en-US"/>
              </w:rPr>
              <w:t>(102)</w:t>
            </w:r>
          </w:p>
        </w:tc>
        <w:tc>
          <w:tcPr>
            <w:tcW w:w="1753" w:type="dxa"/>
            <w:vAlign w:val="center"/>
          </w:tcPr>
          <w:p w14:paraId="1D1E4609" w14:textId="77777777" w:rsidR="00892621" w:rsidRPr="005548BE" w:rsidRDefault="00892621" w:rsidP="00F86403">
            <w:pPr>
              <w:jc w:val="center"/>
              <w:rPr>
                <w:rFonts w:ascii="Times New Roman" w:hAnsi="Times New Roman" w:cs="Times New Roman"/>
                <w:sz w:val="24"/>
                <w:szCs w:val="24"/>
                <w:lang w:val="en-US"/>
              </w:rPr>
            </w:pPr>
            <w:r w:rsidRPr="005548BE">
              <w:rPr>
                <w:rFonts w:ascii="Times New Roman" w:hAnsi="Times New Roman" w:cs="Times New Roman"/>
                <w:sz w:val="24"/>
                <w:szCs w:val="24"/>
                <w:lang w:val="en-US"/>
              </w:rPr>
              <w:t>2.032</w:t>
            </w:r>
          </w:p>
        </w:tc>
        <w:tc>
          <w:tcPr>
            <w:tcW w:w="1563" w:type="dxa"/>
            <w:vAlign w:val="center"/>
          </w:tcPr>
          <w:p w14:paraId="2D71884F" w14:textId="77777777" w:rsidR="00892621" w:rsidRPr="005548BE" w:rsidRDefault="00892621" w:rsidP="00F86403">
            <w:pPr>
              <w:jc w:val="center"/>
              <w:rPr>
                <w:rFonts w:ascii="Times New Roman" w:hAnsi="Times New Roman" w:cs="Times New Roman"/>
                <w:sz w:val="24"/>
                <w:szCs w:val="24"/>
                <w:lang w:val="en-US"/>
              </w:rPr>
            </w:pPr>
            <w:r w:rsidRPr="005548BE">
              <w:rPr>
                <w:rFonts w:ascii="Times New Roman" w:hAnsi="Times New Roman" w:cs="Times New Roman"/>
                <w:sz w:val="24"/>
                <w:szCs w:val="24"/>
                <w:lang w:val="en-US"/>
              </w:rPr>
              <w:t>44.55</w:t>
            </w:r>
          </w:p>
        </w:tc>
        <w:tc>
          <w:tcPr>
            <w:tcW w:w="1722" w:type="dxa"/>
            <w:vAlign w:val="center"/>
          </w:tcPr>
          <w:p w14:paraId="77870BA6" w14:textId="77777777" w:rsidR="00892621" w:rsidRPr="005548BE" w:rsidRDefault="00892621" w:rsidP="00F86403">
            <w:pPr>
              <w:jc w:val="center"/>
              <w:rPr>
                <w:rFonts w:ascii="Times New Roman" w:hAnsi="Times New Roman" w:cs="Times New Roman"/>
                <w:sz w:val="24"/>
                <w:szCs w:val="24"/>
                <w:lang w:val="en-US"/>
              </w:rPr>
            </w:pPr>
            <w:r w:rsidRPr="005548BE">
              <w:rPr>
                <w:rFonts w:ascii="Times New Roman" w:hAnsi="Times New Roman" w:cs="Times New Roman"/>
                <w:sz w:val="24"/>
                <w:szCs w:val="24"/>
                <w:lang w:val="en-US"/>
              </w:rPr>
              <w:t>0.0910</w:t>
            </w:r>
          </w:p>
        </w:tc>
        <w:tc>
          <w:tcPr>
            <w:tcW w:w="1722" w:type="dxa"/>
            <w:vAlign w:val="center"/>
          </w:tcPr>
          <w:p w14:paraId="12D6CE0D" w14:textId="77777777" w:rsidR="00892621" w:rsidRPr="005548BE" w:rsidRDefault="00892621" w:rsidP="00F86403">
            <w:pPr>
              <w:jc w:val="center"/>
              <w:rPr>
                <w:rFonts w:ascii="Times New Roman" w:hAnsi="Times New Roman" w:cs="Times New Roman"/>
                <w:sz w:val="24"/>
                <w:szCs w:val="24"/>
                <w:lang w:val="en-US"/>
              </w:rPr>
            </w:pPr>
            <w:r w:rsidRPr="005548BE">
              <w:rPr>
                <w:rFonts w:ascii="Times New Roman" w:hAnsi="Times New Roman" w:cs="Times New Roman"/>
                <w:sz w:val="24"/>
                <w:szCs w:val="24"/>
                <w:lang w:val="en-US"/>
              </w:rPr>
              <w:t>1.83</w:t>
            </w:r>
          </w:p>
        </w:tc>
      </w:tr>
      <w:tr w:rsidR="00892621" w:rsidRPr="005548BE" w14:paraId="6C6EBE4B" w14:textId="77777777" w:rsidTr="005548BE">
        <w:trPr>
          <w:trHeight w:val="522"/>
          <w:jc w:val="center"/>
        </w:trPr>
        <w:tc>
          <w:tcPr>
            <w:tcW w:w="1797" w:type="dxa"/>
            <w:vAlign w:val="center"/>
          </w:tcPr>
          <w:p w14:paraId="317A632A" w14:textId="77777777" w:rsidR="00892621" w:rsidRPr="005548BE" w:rsidRDefault="00892621" w:rsidP="00F86403">
            <w:pPr>
              <w:jc w:val="center"/>
              <w:rPr>
                <w:rFonts w:ascii="Times New Roman" w:hAnsi="Times New Roman" w:cs="Times New Roman"/>
                <w:sz w:val="24"/>
                <w:szCs w:val="24"/>
                <w:lang w:val="en-US"/>
              </w:rPr>
            </w:pPr>
            <w:r w:rsidRPr="005548BE">
              <w:rPr>
                <w:rFonts w:ascii="Times New Roman" w:hAnsi="Times New Roman" w:cs="Times New Roman"/>
                <w:sz w:val="24"/>
                <w:szCs w:val="24"/>
                <w:lang w:val="en-US"/>
              </w:rPr>
              <w:t>(110)</w:t>
            </w:r>
          </w:p>
        </w:tc>
        <w:tc>
          <w:tcPr>
            <w:tcW w:w="1753" w:type="dxa"/>
            <w:vAlign w:val="center"/>
          </w:tcPr>
          <w:p w14:paraId="3F3AFDAD" w14:textId="77777777" w:rsidR="00892621" w:rsidRPr="005548BE" w:rsidRDefault="00892621" w:rsidP="00F86403">
            <w:pPr>
              <w:jc w:val="center"/>
              <w:rPr>
                <w:rFonts w:ascii="Times New Roman" w:hAnsi="Times New Roman" w:cs="Times New Roman"/>
                <w:sz w:val="24"/>
                <w:szCs w:val="24"/>
                <w:lang w:val="en-US"/>
              </w:rPr>
            </w:pPr>
            <w:r w:rsidRPr="005548BE">
              <w:rPr>
                <w:rFonts w:ascii="Times New Roman" w:hAnsi="Times New Roman" w:cs="Times New Roman"/>
                <w:sz w:val="24"/>
                <w:szCs w:val="24"/>
                <w:lang w:val="en-US"/>
              </w:rPr>
              <w:t>1.820</w:t>
            </w:r>
          </w:p>
        </w:tc>
        <w:tc>
          <w:tcPr>
            <w:tcW w:w="1563" w:type="dxa"/>
            <w:vAlign w:val="center"/>
          </w:tcPr>
          <w:p w14:paraId="5522B142" w14:textId="77777777" w:rsidR="00892621" w:rsidRPr="005548BE" w:rsidRDefault="00892621" w:rsidP="00F86403">
            <w:pPr>
              <w:jc w:val="center"/>
              <w:rPr>
                <w:rFonts w:ascii="Times New Roman" w:hAnsi="Times New Roman" w:cs="Times New Roman"/>
                <w:sz w:val="24"/>
                <w:szCs w:val="24"/>
                <w:lang w:val="en-US"/>
              </w:rPr>
            </w:pPr>
            <w:r w:rsidRPr="005548BE">
              <w:rPr>
                <w:rFonts w:ascii="Times New Roman" w:hAnsi="Times New Roman" w:cs="Times New Roman"/>
                <w:sz w:val="24"/>
                <w:szCs w:val="24"/>
                <w:lang w:val="en-US"/>
              </w:rPr>
              <w:t>50.08</w:t>
            </w:r>
          </w:p>
        </w:tc>
        <w:tc>
          <w:tcPr>
            <w:tcW w:w="1722" w:type="dxa"/>
            <w:vAlign w:val="center"/>
          </w:tcPr>
          <w:p w14:paraId="2EF721E5" w14:textId="77777777" w:rsidR="00892621" w:rsidRPr="005548BE" w:rsidRDefault="00892621" w:rsidP="00F86403">
            <w:pPr>
              <w:jc w:val="center"/>
              <w:rPr>
                <w:rFonts w:ascii="Times New Roman" w:hAnsi="Times New Roman" w:cs="Times New Roman"/>
                <w:sz w:val="24"/>
                <w:szCs w:val="24"/>
                <w:lang w:val="en-US"/>
              </w:rPr>
            </w:pPr>
            <w:r w:rsidRPr="005548BE">
              <w:rPr>
                <w:rFonts w:ascii="Times New Roman" w:hAnsi="Times New Roman" w:cs="Times New Roman"/>
                <w:sz w:val="24"/>
                <w:szCs w:val="24"/>
                <w:lang w:val="en-US"/>
              </w:rPr>
              <w:t>0.099</w:t>
            </w:r>
          </w:p>
        </w:tc>
        <w:tc>
          <w:tcPr>
            <w:tcW w:w="1722" w:type="dxa"/>
            <w:vAlign w:val="center"/>
          </w:tcPr>
          <w:p w14:paraId="59DC1DC4" w14:textId="77777777" w:rsidR="00892621" w:rsidRPr="005548BE" w:rsidRDefault="00892621" w:rsidP="00F86403">
            <w:pPr>
              <w:jc w:val="center"/>
              <w:rPr>
                <w:rFonts w:ascii="Times New Roman" w:hAnsi="Times New Roman" w:cs="Times New Roman"/>
                <w:sz w:val="24"/>
                <w:szCs w:val="24"/>
                <w:lang w:val="en-US"/>
              </w:rPr>
            </w:pPr>
            <w:r w:rsidRPr="005548BE">
              <w:rPr>
                <w:rFonts w:ascii="Times New Roman" w:hAnsi="Times New Roman" w:cs="Times New Roman"/>
                <w:sz w:val="24"/>
                <w:szCs w:val="24"/>
                <w:lang w:val="en-US"/>
              </w:rPr>
              <w:t>1.71</w:t>
            </w:r>
          </w:p>
        </w:tc>
      </w:tr>
    </w:tbl>
    <w:p w14:paraId="313C45CE" w14:textId="77777777" w:rsidR="00892621" w:rsidRPr="00DB3D67" w:rsidRDefault="00892621" w:rsidP="00F35D51">
      <w:pPr>
        <w:spacing w:line="480" w:lineRule="auto"/>
        <w:jc w:val="both"/>
        <w:rPr>
          <w:rFonts w:ascii="Times New Roman" w:hAnsi="Times New Roman" w:cs="Times New Roman"/>
          <w:lang w:val="en-US"/>
        </w:rPr>
      </w:pPr>
    </w:p>
    <w:p w14:paraId="2618E458" w14:textId="77777777" w:rsidR="00F35D51" w:rsidRPr="00CE7695" w:rsidRDefault="00F35D51" w:rsidP="00F35D51">
      <w:pPr>
        <w:spacing w:line="480" w:lineRule="auto"/>
        <w:jc w:val="both"/>
        <w:rPr>
          <w:rFonts w:ascii="Times New Roman" w:hAnsi="Times New Roman" w:cs="Times New Roman"/>
          <w:u w:val="single"/>
          <w:lang w:val="en-US"/>
        </w:rPr>
      </w:pPr>
      <w:r w:rsidRPr="00CE7695">
        <w:rPr>
          <w:rFonts w:ascii="Times New Roman" w:hAnsi="Times New Roman" w:cs="Times New Roman"/>
          <w:u w:val="single"/>
          <w:lang w:val="en-US"/>
        </w:rPr>
        <w:t>DLS</w:t>
      </w:r>
    </w:p>
    <w:p w14:paraId="23FCC828" w14:textId="56E9DC0F" w:rsidR="00F35D51" w:rsidRPr="002631BD" w:rsidRDefault="00F35D51" w:rsidP="00F35D51">
      <w:pPr>
        <w:spacing w:line="480" w:lineRule="auto"/>
        <w:jc w:val="both"/>
        <w:rPr>
          <w:rFonts w:ascii="Times New Roman" w:hAnsi="Times New Roman" w:cs="Times New Roman"/>
          <w:lang w:val="en-US"/>
        </w:rPr>
      </w:pPr>
      <w:r w:rsidRPr="00DB3D67">
        <w:rPr>
          <w:rFonts w:ascii="Times New Roman" w:hAnsi="Times New Roman" w:cs="Times New Roman"/>
          <w:lang w:val="en-US"/>
        </w:rPr>
        <w:t>The particle size distribution of catalysts was analyzed using Dynamic Light Scattering (DLS). A LB-500 particle size analyzer (Horiba, Japan) was used. Samples were prepared by dispersing a small amount of the powder in ethanol. The</w:t>
      </w:r>
      <w:r>
        <w:rPr>
          <w:rFonts w:ascii="Times New Roman" w:hAnsi="Times New Roman" w:cs="Times New Roman"/>
          <w:lang w:val="en-US"/>
        </w:rPr>
        <w:t xml:space="preserve"> </w:t>
      </w:r>
      <w:r w:rsidRPr="00DB3D67">
        <w:rPr>
          <w:rFonts w:ascii="Times New Roman" w:hAnsi="Times New Roman" w:cs="Times New Roman"/>
          <w:lang w:val="en-US"/>
        </w:rPr>
        <w:t xml:space="preserve">solution mixture was </w:t>
      </w:r>
      <w:r>
        <w:rPr>
          <w:rFonts w:ascii="Times New Roman" w:hAnsi="Times New Roman" w:cs="Times New Roman"/>
          <w:lang w:val="en-US"/>
        </w:rPr>
        <w:t xml:space="preserve">then </w:t>
      </w:r>
      <w:r w:rsidRPr="00DB3D67">
        <w:rPr>
          <w:rFonts w:ascii="Times New Roman" w:hAnsi="Times New Roman" w:cs="Times New Roman"/>
          <w:lang w:val="en-US"/>
        </w:rPr>
        <w:t xml:space="preserve">loaded into disposable plastic </w:t>
      </w:r>
      <w:r>
        <w:rPr>
          <w:rFonts w:ascii="Times New Roman" w:hAnsi="Times New Roman" w:cs="Times New Roman"/>
          <w:lang w:val="en-US"/>
        </w:rPr>
        <w:t>4</w:t>
      </w:r>
      <w:r w:rsidRPr="00DB3D67">
        <w:rPr>
          <w:rFonts w:ascii="Times New Roman" w:hAnsi="Times New Roman" w:cs="Times New Roman"/>
          <w:lang w:val="en-US"/>
        </w:rPr>
        <w:t xml:space="preserve"> mL cuvettes (VWR, U.S.). A 5-mW laser source with a wavelength of 650 nm is directed to the sample in the cuvette to enable the measurement of particles ranging from 3 nm to 6 μm.</w:t>
      </w:r>
    </w:p>
    <w:p w14:paraId="3397653F" w14:textId="77777777" w:rsidR="00F35D51" w:rsidRPr="00CE7695" w:rsidRDefault="00F35D51" w:rsidP="00F35D51">
      <w:pPr>
        <w:spacing w:line="480" w:lineRule="auto"/>
        <w:jc w:val="both"/>
        <w:rPr>
          <w:rFonts w:ascii="Times New Roman" w:hAnsi="Times New Roman" w:cs="Times New Roman"/>
          <w:u w:val="single"/>
          <w:lang w:val="en-US"/>
        </w:rPr>
      </w:pPr>
      <w:r w:rsidRPr="00CE7695">
        <w:rPr>
          <w:rFonts w:ascii="Times New Roman" w:hAnsi="Times New Roman" w:cs="Times New Roman"/>
          <w:u w:val="single"/>
          <w:lang w:val="en-US"/>
        </w:rPr>
        <w:t>Electron Microscopy</w:t>
      </w:r>
    </w:p>
    <w:p w14:paraId="5213FD00" w14:textId="5A1B2BC4" w:rsidR="00F35D51" w:rsidRPr="00DB3D67" w:rsidRDefault="00F35D51" w:rsidP="00F35D51">
      <w:pPr>
        <w:spacing w:line="480" w:lineRule="auto"/>
        <w:jc w:val="both"/>
        <w:rPr>
          <w:rFonts w:ascii="Times New Roman" w:hAnsi="Times New Roman" w:cs="Times New Roman"/>
        </w:rPr>
      </w:pPr>
      <w:r w:rsidRPr="00DB3D67">
        <w:rPr>
          <w:rFonts w:ascii="Times New Roman" w:hAnsi="Times New Roman" w:cs="Times New Roman"/>
          <w:lang w:val="en-US"/>
        </w:rPr>
        <w:t xml:space="preserve">The structural characterization and elemental mapping of the catalysts were done using Scanning Electron Microscopy (SEM) and Transmission Electron Microscope (TEM). TEM experiments were performed in </w:t>
      </w:r>
      <w:r>
        <w:rPr>
          <w:rFonts w:ascii="Times New Roman" w:hAnsi="Times New Roman" w:cs="Times New Roman"/>
          <w:lang w:val="en-US"/>
        </w:rPr>
        <w:t xml:space="preserve">a </w:t>
      </w:r>
      <w:r w:rsidRPr="00DB3D67">
        <w:rPr>
          <w:rFonts w:ascii="Times New Roman" w:hAnsi="Times New Roman" w:cs="Times New Roman"/>
          <w:lang w:val="en-US"/>
        </w:rPr>
        <w:t xml:space="preserve">Hitachi HF3300 equipped with a cold field emission electron gun using an accelerating voltage of 300 kV. TEM bright field images were used to determine </w:t>
      </w:r>
      <w:r w:rsidRPr="00DB3D67">
        <w:rPr>
          <w:rFonts w:ascii="Times New Roman" w:hAnsi="Times New Roman" w:cs="Times New Roman"/>
          <w:lang w:val="en-US"/>
        </w:rPr>
        <w:lastRenderedPageBreak/>
        <w:t xml:space="preserve">the size and the shape of nanoparticles. Energy X-ray </w:t>
      </w:r>
      <w:r>
        <w:rPr>
          <w:rFonts w:ascii="Times New Roman" w:hAnsi="Times New Roman" w:cs="Times New Roman"/>
          <w:lang w:val="en-US"/>
        </w:rPr>
        <w:t>d</w:t>
      </w:r>
      <w:r w:rsidRPr="00DB3D67">
        <w:rPr>
          <w:rFonts w:ascii="Times New Roman" w:hAnsi="Times New Roman" w:cs="Times New Roman"/>
          <w:lang w:val="en-US"/>
        </w:rPr>
        <w:t xml:space="preserve">ispersive </w:t>
      </w:r>
      <w:r>
        <w:rPr>
          <w:rFonts w:ascii="Times New Roman" w:hAnsi="Times New Roman" w:cs="Times New Roman"/>
          <w:lang w:val="en-US"/>
        </w:rPr>
        <w:t>s</w:t>
      </w:r>
      <w:r w:rsidRPr="00DB3D67">
        <w:rPr>
          <w:rFonts w:ascii="Times New Roman" w:hAnsi="Times New Roman" w:cs="Times New Roman"/>
          <w:lang w:val="en-US"/>
        </w:rPr>
        <w:t xml:space="preserve">pectroscopy (EDS) detector was used in </w:t>
      </w:r>
      <w:r>
        <w:rPr>
          <w:rFonts w:ascii="Times New Roman" w:hAnsi="Times New Roman" w:cs="Times New Roman"/>
          <w:lang w:val="en-US"/>
        </w:rPr>
        <w:t>s</w:t>
      </w:r>
      <w:r w:rsidRPr="00DB3D67">
        <w:rPr>
          <w:rFonts w:ascii="Times New Roman" w:hAnsi="Times New Roman" w:cs="Times New Roman"/>
          <w:lang w:val="en-US"/>
        </w:rPr>
        <w:t xml:space="preserve">canning </w:t>
      </w:r>
      <w:r>
        <w:rPr>
          <w:rFonts w:ascii="Times New Roman" w:hAnsi="Times New Roman" w:cs="Times New Roman"/>
          <w:lang w:val="en-US"/>
        </w:rPr>
        <w:t>t</w:t>
      </w:r>
      <w:r w:rsidRPr="00DB3D67">
        <w:rPr>
          <w:rFonts w:ascii="Times New Roman" w:hAnsi="Times New Roman" w:cs="Times New Roman"/>
          <w:lang w:val="en-US"/>
        </w:rPr>
        <w:t xml:space="preserve">ransmission </w:t>
      </w:r>
      <w:r>
        <w:rPr>
          <w:rFonts w:ascii="Times New Roman" w:hAnsi="Times New Roman" w:cs="Times New Roman"/>
          <w:lang w:val="en-US"/>
        </w:rPr>
        <w:t>e</w:t>
      </w:r>
      <w:r w:rsidRPr="00DB3D67">
        <w:rPr>
          <w:rFonts w:ascii="Times New Roman" w:hAnsi="Times New Roman" w:cs="Times New Roman"/>
          <w:lang w:val="en-US"/>
        </w:rPr>
        <w:t xml:space="preserve">lectron </w:t>
      </w:r>
      <w:r>
        <w:rPr>
          <w:rFonts w:ascii="Times New Roman" w:hAnsi="Times New Roman" w:cs="Times New Roman"/>
          <w:lang w:val="en-US"/>
        </w:rPr>
        <w:t>m</w:t>
      </w:r>
      <w:r w:rsidRPr="00DB3D67">
        <w:rPr>
          <w:rFonts w:ascii="Times New Roman" w:hAnsi="Times New Roman" w:cs="Times New Roman"/>
          <w:lang w:val="en-US"/>
        </w:rPr>
        <w:t xml:space="preserve">icroscopy (STEM) mode to analyze and quantify the composition of the nanoparticles. Also, </w:t>
      </w:r>
      <w:r>
        <w:rPr>
          <w:rFonts w:ascii="Times New Roman" w:hAnsi="Times New Roman" w:cs="Times New Roman"/>
          <w:lang w:val="en-US"/>
        </w:rPr>
        <w:t>s</w:t>
      </w:r>
      <w:r w:rsidRPr="00DB3D67">
        <w:rPr>
          <w:rFonts w:ascii="Times New Roman" w:hAnsi="Times New Roman" w:cs="Times New Roman"/>
          <w:lang w:val="en-US"/>
        </w:rPr>
        <w:t>econdary electron (SE) detector was used to collect high resolution images of the morphology of the nanoparticles in the TEM. Powder samples were prepared in ethanol to form an ink, the ink was sonicated for 10 minutes before drop cast</w:t>
      </w:r>
      <w:r>
        <w:rPr>
          <w:rFonts w:ascii="Times New Roman" w:hAnsi="Times New Roman" w:cs="Times New Roman"/>
          <w:lang w:val="en-US"/>
        </w:rPr>
        <w:t>ing a</w:t>
      </w:r>
      <w:r w:rsidRPr="00DB3D67">
        <w:rPr>
          <w:rFonts w:ascii="Times New Roman" w:hAnsi="Times New Roman" w:cs="Times New Roman"/>
          <w:lang w:val="en-US"/>
        </w:rPr>
        <w:t xml:space="preserve"> 1 -2 </w:t>
      </w:r>
      <w:r w:rsidRPr="00DB3D67">
        <w:rPr>
          <w:rFonts w:ascii="Times New Roman" w:hAnsi="Times New Roman" w:cs="Times New Roman"/>
        </w:rPr>
        <w:t xml:space="preserve">µL </w:t>
      </w:r>
      <w:r>
        <w:rPr>
          <w:rFonts w:ascii="Times New Roman" w:hAnsi="Times New Roman" w:cs="Times New Roman"/>
        </w:rPr>
        <w:t xml:space="preserve">drop </w:t>
      </w:r>
      <w:r w:rsidRPr="00DB3D67">
        <w:rPr>
          <w:rFonts w:ascii="Times New Roman" w:hAnsi="Times New Roman" w:cs="Times New Roman"/>
        </w:rPr>
        <w:t xml:space="preserve">on a 400-mesh copper grid and drying overnight. </w:t>
      </w:r>
    </w:p>
    <w:p w14:paraId="63DDBE0B" w14:textId="77777777" w:rsidR="00F35D51" w:rsidRPr="00DB3D67" w:rsidRDefault="00F35D51" w:rsidP="00F35D51">
      <w:pPr>
        <w:spacing w:line="480" w:lineRule="auto"/>
        <w:jc w:val="both"/>
        <w:rPr>
          <w:rFonts w:ascii="Times New Roman" w:hAnsi="Times New Roman" w:cs="Times New Roman"/>
          <w:lang w:val="en-US"/>
        </w:rPr>
      </w:pPr>
      <w:r w:rsidRPr="00DB3D67">
        <w:rPr>
          <w:rFonts w:ascii="Times New Roman" w:hAnsi="Times New Roman" w:cs="Times New Roman"/>
          <w:lang w:val="en-US"/>
        </w:rPr>
        <w:t xml:space="preserve">The particle and geometry of larger particles were investigated using Scanning Electron Microscopy (SEM). Imaging was conducted using Hitachin SU3500. The composition of particles was determined using an attached EDS detector. Powder samples were prepared by adhering to carbon tape on a SEM aluminum stub. Compressed air is blown over the stub to loosen excess powder. In some cases, thin carbon or gold coating might be needed for poor conducting samples. </w:t>
      </w:r>
    </w:p>
    <w:p w14:paraId="4CD08C0E" w14:textId="77777777" w:rsidR="00F35D51" w:rsidRPr="00DB3D67" w:rsidRDefault="00F35D51" w:rsidP="00F35D51">
      <w:pPr>
        <w:spacing w:line="480" w:lineRule="auto"/>
        <w:rPr>
          <w:rFonts w:ascii="Times New Roman" w:eastAsia="Arial Unicode MS" w:hAnsi="Times New Roman" w:cs="Times New Roman"/>
          <w:b/>
          <w:bCs/>
          <w:iCs/>
        </w:rPr>
      </w:pPr>
      <w:r w:rsidRPr="00DB3D67">
        <w:rPr>
          <w:rFonts w:ascii="Times New Roman" w:eastAsia="Arial Unicode MS" w:hAnsi="Times New Roman" w:cs="Times New Roman"/>
          <w:b/>
          <w:bCs/>
          <w:iCs/>
        </w:rPr>
        <w:t>Electrochemical testing</w:t>
      </w:r>
    </w:p>
    <w:p w14:paraId="7799C9AD" w14:textId="6726C476" w:rsidR="00F35D51" w:rsidRDefault="00F35D51" w:rsidP="00F35D51">
      <w:pPr>
        <w:spacing w:line="480" w:lineRule="auto"/>
        <w:jc w:val="both"/>
        <w:rPr>
          <w:rFonts w:ascii="Times New Roman" w:hAnsi="Times New Roman" w:cs="Times New Roman"/>
          <w:lang w:val="en-US"/>
        </w:rPr>
      </w:pPr>
      <w:r w:rsidRPr="00DB3D67">
        <w:rPr>
          <w:rFonts w:ascii="Times New Roman" w:hAnsi="Times New Roman" w:cs="Times New Roman"/>
          <w:lang w:val="en-US"/>
        </w:rPr>
        <w:t xml:space="preserve">For all electrochemical experiments in this work, a BioLogic VSP-300 multi potentiosat was used. All tests were performed in 1 M </w:t>
      </w:r>
      <w:r>
        <w:rPr>
          <w:rFonts w:ascii="Times New Roman" w:hAnsi="Times New Roman" w:cs="Times New Roman"/>
          <w:lang w:val="en-US"/>
        </w:rPr>
        <w:t xml:space="preserve">Fe-free </w:t>
      </w:r>
      <w:r w:rsidRPr="00DB3D67">
        <w:rPr>
          <w:rFonts w:ascii="Times New Roman" w:hAnsi="Times New Roman" w:cs="Times New Roman"/>
          <w:lang w:val="en-US"/>
        </w:rPr>
        <w:t>KOH electrolyte at 30</w:t>
      </w:r>
      <w:r w:rsidRPr="00DB3D67">
        <w:rPr>
          <w:rFonts w:ascii="Times New Roman" w:hAnsi="Times New Roman" w:cs="Times New Roman"/>
        </w:rPr>
        <w:t xml:space="preserve"> </w:t>
      </w:r>
      <w:r w:rsidRPr="00DB3D67">
        <w:rPr>
          <w:rFonts w:ascii="Times New Roman" w:hAnsi="Times New Roman" w:cs="Times New Roman"/>
          <w:lang w:val="en-US"/>
        </w:rPr>
        <w:t>°C</w:t>
      </w:r>
      <w:r>
        <w:rPr>
          <w:rFonts w:ascii="Times New Roman" w:hAnsi="Times New Roman" w:cs="Times New Roman"/>
          <w:lang w:val="en-US"/>
        </w:rPr>
        <w:t xml:space="preserve">. </w:t>
      </w:r>
      <w:r w:rsidRPr="00DB3D67">
        <w:rPr>
          <w:rFonts w:ascii="Times New Roman" w:hAnsi="Times New Roman" w:cs="Times New Roman"/>
          <w:lang w:val="en-US"/>
        </w:rPr>
        <w:t>The electrolyte was pre-electrolyzed using</w:t>
      </w:r>
      <w:r>
        <w:rPr>
          <w:rFonts w:ascii="Times New Roman" w:hAnsi="Times New Roman" w:cs="Times New Roman"/>
          <w:lang w:val="en-US"/>
        </w:rPr>
        <w:t xml:space="preserve"> a two-electrode set-up</w:t>
      </w:r>
      <w:r w:rsidRPr="00DB3D67">
        <w:rPr>
          <w:rFonts w:ascii="Times New Roman" w:hAnsi="Times New Roman" w:cs="Times New Roman"/>
          <w:lang w:val="en-US"/>
        </w:rPr>
        <w:t xml:space="preserve"> Pt working and counter electrodes at -1.7 V for 48 hours prior using to remove any trace metal impurities in the solution specifically Fe. The cell is placed in a water bath to control the temperature and the electrolyte is purged with Ar for an hour before the test to remove O</w:t>
      </w:r>
      <w:r w:rsidRPr="00DB3D67">
        <w:rPr>
          <w:rFonts w:ascii="Times New Roman" w:hAnsi="Times New Roman" w:cs="Times New Roman"/>
          <w:vertAlign w:val="subscript"/>
          <w:lang w:val="en-US"/>
        </w:rPr>
        <w:t>2</w:t>
      </w:r>
      <w:r w:rsidRPr="00DB3D67">
        <w:rPr>
          <w:rFonts w:ascii="Times New Roman" w:hAnsi="Times New Roman" w:cs="Times New Roman"/>
          <w:lang w:val="en-US"/>
        </w:rPr>
        <w:t>.</w:t>
      </w:r>
    </w:p>
    <w:p w14:paraId="554BC339" w14:textId="38ABD63E" w:rsidR="00D40419" w:rsidRDefault="00D40419" w:rsidP="00F35D51">
      <w:pPr>
        <w:spacing w:line="480" w:lineRule="auto"/>
        <w:jc w:val="both"/>
        <w:rPr>
          <w:rFonts w:ascii="Times New Roman" w:hAnsi="Times New Roman" w:cs="Times New Roman"/>
          <w:u w:val="single"/>
          <w:lang w:val="en-US"/>
        </w:rPr>
      </w:pPr>
      <w:r w:rsidRPr="00BB29DA">
        <w:rPr>
          <w:rFonts w:ascii="Times New Roman" w:hAnsi="Times New Roman" w:cs="Times New Roman"/>
          <w:u w:val="single"/>
          <w:lang w:val="en-US"/>
        </w:rPr>
        <w:t xml:space="preserve">Three-electrode </w:t>
      </w:r>
      <w:r w:rsidR="00F95AFF">
        <w:rPr>
          <w:rFonts w:ascii="Times New Roman" w:hAnsi="Times New Roman" w:cs="Times New Roman"/>
          <w:u w:val="single"/>
          <w:lang w:val="en-US"/>
        </w:rPr>
        <w:t>test</w:t>
      </w:r>
    </w:p>
    <w:p w14:paraId="28D9E66C" w14:textId="448109DC" w:rsidR="0062442F" w:rsidRPr="0053006A" w:rsidRDefault="0062442F" w:rsidP="0053006A">
      <w:pPr>
        <w:spacing w:line="480" w:lineRule="auto"/>
        <w:jc w:val="both"/>
        <w:rPr>
          <w:rFonts w:ascii="Times New Roman" w:eastAsia="Arial Unicode MS" w:hAnsi="Times New Roman" w:cs="Times New Roman"/>
          <w:iCs/>
        </w:rPr>
      </w:pPr>
      <w:r>
        <w:rPr>
          <w:rFonts w:ascii="Times New Roman" w:eastAsia="Arial Unicode MS" w:hAnsi="Times New Roman" w:cs="Times New Roman"/>
          <w:iCs/>
        </w:rPr>
        <w:t>To assess the activity of the electrocatalysts,</w:t>
      </w:r>
      <w:r w:rsidRPr="00ED4EFF">
        <w:rPr>
          <w:rFonts w:ascii="Times New Roman" w:eastAsia="Arial Unicode MS" w:hAnsi="Times New Roman" w:cs="Times New Roman"/>
          <w:iCs/>
        </w:rPr>
        <w:t xml:space="preserve"> we constructed a </w:t>
      </w:r>
      <w:r>
        <w:rPr>
          <w:rFonts w:ascii="Times New Roman" w:eastAsia="Arial Unicode MS" w:hAnsi="Times New Roman" w:cs="Times New Roman"/>
          <w:iCs/>
        </w:rPr>
        <w:t xml:space="preserve">three-electrode </w:t>
      </w:r>
      <w:r w:rsidRPr="00ED4EFF">
        <w:rPr>
          <w:rFonts w:ascii="Times New Roman" w:eastAsia="Arial Unicode MS" w:hAnsi="Times New Roman" w:cs="Times New Roman"/>
          <w:iCs/>
        </w:rPr>
        <w:t xml:space="preserve">custom-made Teflon cell to avoid contamination from glassware etching and used 1M Fe-free KOH to rule out the contribution of Fe ions in the electrolyte on the activity and stability of the </w:t>
      </w:r>
      <w:r>
        <w:rPr>
          <w:rFonts w:ascii="Times New Roman" w:eastAsia="Arial Unicode MS" w:hAnsi="Times New Roman" w:cs="Times New Roman"/>
          <w:iCs/>
        </w:rPr>
        <w:t>electrocatalyst</w:t>
      </w:r>
      <w:r w:rsidRPr="00ED4EFF">
        <w:rPr>
          <w:rFonts w:ascii="Times New Roman" w:eastAsia="Arial Unicode MS" w:hAnsi="Times New Roman" w:cs="Times New Roman"/>
          <w:iCs/>
        </w:rPr>
        <w:t>s</w:t>
      </w:r>
      <w:r>
        <w:rPr>
          <w:rFonts w:ascii="Times New Roman" w:eastAsia="Arial Unicode MS" w:hAnsi="Times New Roman" w:cs="Times New Roman"/>
          <w:iCs/>
        </w:rPr>
        <w:t>.</w:t>
      </w:r>
      <w:r w:rsidRPr="00ED4EFF">
        <w:rPr>
          <w:rFonts w:ascii="Times New Roman" w:eastAsia="Arial Unicode MS" w:hAnsi="Times New Roman" w:cs="Times New Roman"/>
          <w:iCs/>
        </w:rPr>
        <w:fldChar w:fldCharType="begin" w:fldLock="1"/>
      </w:r>
      <w:r w:rsidR="0096753A">
        <w:rPr>
          <w:rFonts w:ascii="Times New Roman" w:eastAsia="Arial Unicode MS" w:hAnsi="Times New Roman" w:cs="Times New Roman"/>
          <w:iCs/>
        </w:rPr>
        <w:instrText>ADDIN CSL_CITATION {"citationItems":[{"id":"ITEM-1","itemData":{"DOI":"10.1021/acs.jpcc.5b00105","ISSN":"19327455","abstract":"© 2015 American Chemical Society. Ni (oxy)hydroxide based materials are promising earth abundant catalysts for electrochemical water oxidation in basic media. Recent findings demonstrate that incorporation of trace Fe impurities from commonly used KOH electrolytes significantly improves oxygen evolution reaction (OER) activity over NiOOH electrocatalysts. Because nearly all previous studies detailing structural differences between α Ni(OH)2/γ NiOOH and β Ni(OH)2/β NiOOH were completed in unpurified electrolytes, it is unclear whether these structural changes are unique to the aging phase transition in the Ni (oxy)hydroxide matrix or if they arise fully or in part from inadvertent Fe incorporation. Here, we report an investigation of the effects of Fe incorporation on structure activity relationships in Ni (oxy)hydroxide. Electrochemical, in situ Raman, X ray photoelectron spectros</w:instrText>
      </w:r>
      <w:r w:rsidR="0096753A">
        <w:rPr>
          <w:rFonts w:ascii="Times New Roman" w:eastAsia="Arial Unicode MS" w:hAnsi="Times New Roman" w:cs="Times New Roman" w:hint="eastAsia"/>
          <w:iCs/>
        </w:rPr>
        <w:instrText xml:space="preserve">copy, and electrochemical quartz crystal microbalance measurements were employed to investigate Ni(OH)2thin films aged in Fe free and unpurified (reagent grade) 1 M KOH (&lt;1 ppm Fe). We find that Ni films aged in unpurified electrolyte can incorporate </w:instrText>
      </w:r>
      <w:r w:rsidR="0096753A">
        <w:rPr>
          <w:rFonts w:ascii="Times New Roman" w:eastAsia="Arial Unicode MS" w:hAnsi="Times New Roman" w:cs="Times New Roman" w:hint="eastAsia"/>
          <w:iCs/>
        </w:rPr>
        <w:instrText>≥</w:instrText>
      </w:r>
      <w:r w:rsidR="0096753A">
        <w:rPr>
          <w:rFonts w:ascii="Times New Roman" w:eastAsia="Arial Unicode MS" w:hAnsi="Times New Roman" w:cs="Times New Roman" w:hint="eastAsia"/>
          <w:iCs/>
        </w:rPr>
        <w:instrText>20%</w:instrText>
      </w:r>
      <w:r w:rsidR="0096753A">
        <w:rPr>
          <w:rFonts w:ascii="Times New Roman" w:eastAsia="Arial Unicode MS" w:hAnsi="Times New Roman" w:cs="Times New Roman"/>
          <w:iCs/>
        </w:rPr>
        <w:instrText xml:space="preserve"> Fe after 5 weeks of aging, and the maximum catalyst activity is comparable to that reported for optimized Ni1 xFexOOH catalysts. Conversely, Fe free Ni(OH)2films exhibit a substantially lower activity and higher Tafel slope for the OER. Films aged in Fe free electrolyte are predominantly disordered β Ni(OH)2/β NiOOH if maintained below 0.7 V vs Hg/HgO in 1 M KOH and will \"overcharge\" to form a mixture of γ and β NiOOH above this potential. Fe containing Ni(OH)2films evidence a lesser extent of β Ni(OH)</w:instrText>
      </w:r>
      <w:r w:rsidR="0096753A">
        <w:rPr>
          <w:rFonts w:ascii="Times New Roman" w:eastAsia="Arial Unicode MS" w:hAnsi="Times New Roman" w:cs="Times New Roman" w:hint="eastAsia"/>
          <w:iCs/>
        </w:rPr>
        <w:instrText xml:space="preserve">2formation and instead exhibit NiOOH structural changes in accordance with the formation of a NiFe layered double hydroxide phase. Furthermore, turnover frequency calculations indicate that Fe is the active site within this phase, and above </w:instrText>
      </w:r>
      <w:r w:rsidR="0096753A">
        <w:rPr>
          <w:rFonts w:ascii="Times New Roman" w:eastAsia="Arial Unicode MS" w:hAnsi="Times New Roman" w:cs="Times New Roman" w:hint="eastAsia"/>
          <w:iCs/>
        </w:rPr>
        <w:instrText>∼</w:instrText>
      </w:r>
      <w:r w:rsidR="0096753A">
        <w:rPr>
          <w:rFonts w:ascii="Times New Roman" w:eastAsia="Arial Unicode MS" w:hAnsi="Times New Roman" w:cs="Times New Roman" w:hint="eastAsia"/>
          <w:iCs/>
        </w:rPr>
        <w:instrText>11% Fe conten</w:instrText>
      </w:r>
      <w:r w:rsidR="0096753A">
        <w:rPr>
          <w:rFonts w:ascii="Times New Roman" w:eastAsia="Arial Unicode MS" w:hAnsi="Times New Roman" w:cs="Times New Roman"/>
          <w:iCs/>
        </w:rPr>
        <w:instrText>t, a separate, Fe rich phase forms. These findings are the first to demonstrate the in situ changes in the catalyst structure resulting from the incorporation of Fe electrolyte impurities within Ni (oxy)hydroxide, providing direct evidence that a Ni Fe layered double (oxy)hydroxide (LDH) phase is critical for high OER activity.","author":[{"dropping-particle":"","family":"Klaus","given":"Shannon","non-dropping-particle":"","parse-names":false,"suffix":""},{"dropping-particle":"","family":"Cai","given":"Yun","non-dropping-particle":"","parse-names":false,"suffix":""},{"dropping-particle":"","family":"Louie","given":"Mary W.","non-dropping-particle":"","parse-names":false,"suffix":""},{"dropping-particle":"","family":"Trotochaud","given":"Lena","non-dropping-particle":"","parse-names":false,"suffix":""},{"dropping-particle":"","family":"Bell","given":"Alexis T.","non-dropping-particle":"","parse-names":false,"suffix":""}],"container-title":"Journal of Physical Chemistry C","id":"ITEM-1","issue":"13","issued":{"date-parts":[["2015"]]},"page":"7243-7254","title":"Effects of Fe electrolyte impurities on Ni(OH)2/NiOOH structure and oxygen evolution activity","type":"article-journal","volume":"119"},"uris":["http://www.mendeley.com/documents/?uuid=87652ca1-3c64-4642-b9ac-9e7651589fd8"]}],"mendeley":{"formattedCitation":"&lt;sup&gt;7&lt;/sup&gt;","plainTextFormattedCitation":"7","previouslyFormattedCitation":"&lt;sup&gt;7&lt;/sup&gt;"},"properties":{"noteIndex":0},"schema":"https://github.com/citation-style-language/schema/raw/master/csl-citation.json"}</w:instrText>
      </w:r>
      <w:r w:rsidRPr="00ED4EFF">
        <w:rPr>
          <w:rFonts w:ascii="Times New Roman" w:eastAsia="Arial Unicode MS" w:hAnsi="Times New Roman" w:cs="Times New Roman"/>
          <w:iCs/>
        </w:rPr>
        <w:fldChar w:fldCharType="separate"/>
      </w:r>
      <w:r w:rsidR="001067BB" w:rsidRPr="001067BB">
        <w:rPr>
          <w:rFonts w:ascii="Times New Roman" w:eastAsia="Arial Unicode MS" w:hAnsi="Times New Roman" w:cs="Times New Roman"/>
          <w:iCs/>
          <w:noProof/>
          <w:vertAlign w:val="superscript"/>
        </w:rPr>
        <w:t>7</w:t>
      </w:r>
      <w:r w:rsidRPr="00ED4EFF">
        <w:rPr>
          <w:rFonts w:ascii="Times New Roman" w:eastAsia="Arial Unicode MS" w:hAnsi="Times New Roman" w:cs="Times New Roman"/>
          <w:iCs/>
        </w:rPr>
        <w:fldChar w:fldCharType="end"/>
      </w:r>
      <w:r w:rsidRPr="00ED4EFF">
        <w:rPr>
          <w:rFonts w:ascii="Times New Roman" w:eastAsia="Arial Unicode MS" w:hAnsi="Times New Roman" w:cs="Times New Roman"/>
          <w:iCs/>
        </w:rPr>
        <w:t xml:space="preserve"> </w:t>
      </w:r>
      <w:r>
        <w:rPr>
          <w:rFonts w:ascii="Times New Roman" w:eastAsia="Arial Unicode MS" w:hAnsi="Times New Roman" w:cs="Times New Roman"/>
          <w:iCs/>
        </w:rPr>
        <w:t xml:space="preserve">Hg/HgO was used as a reference electrode and Pt mesh was used as the counter electrode. </w:t>
      </w:r>
      <w:r w:rsidRPr="00ED4EFF">
        <w:rPr>
          <w:rFonts w:ascii="Times New Roman" w:eastAsia="Arial Unicode MS" w:hAnsi="Times New Roman" w:cs="Times New Roman"/>
          <w:iCs/>
        </w:rPr>
        <w:t xml:space="preserve">The </w:t>
      </w:r>
      <w:r>
        <w:rPr>
          <w:rFonts w:ascii="Times New Roman" w:eastAsia="Arial Unicode MS" w:hAnsi="Times New Roman" w:cs="Times New Roman"/>
          <w:iCs/>
        </w:rPr>
        <w:t>electrocatalyst</w:t>
      </w:r>
      <w:r w:rsidRPr="00ED4EFF">
        <w:rPr>
          <w:rFonts w:ascii="Times New Roman" w:eastAsia="Arial Unicode MS" w:hAnsi="Times New Roman" w:cs="Times New Roman"/>
          <w:iCs/>
        </w:rPr>
        <w:t xml:space="preserve">s were deposited on a 3mm glassy carbon electrode </w:t>
      </w:r>
      <w:r w:rsidRPr="00ED4EFF">
        <w:rPr>
          <w:rFonts w:ascii="Times New Roman" w:eastAsia="Arial Unicode MS" w:hAnsi="Times New Roman" w:cs="Times New Roman"/>
          <w:iCs/>
        </w:rPr>
        <w:lastRenderedPageBreak/>
        <w:t>(GCE) and tested using the protocol detailed in Table S4</w:t>
      </w:r>
      <w:r>
        <w:rPr>
          <w:rFonts w:ascii="Times New Roman" w:eastAsia="Arial Unicode MS" w:hAnsi="Times New Roman" w:cs="Times New Roman"/>
          <w:iCs/>
        </w:rPr>
        <w:t>.</w:t>
      </w:r>
      <w:r w:rsidR="00CD1C55">
        <w:rPr>
          <w:rFonts w:ascii="Times New Roman" w:eastAsia="Arial Unicode MS" w:hAnsi="Times New Roman" w:cs="Times New Roman"/>
          <w:iCs/>
        </w:rPr>
        <w:t xml:space="preserve"> A continuous Ar bubbling was used during the test to reduce O</w:t>
      </w:r>
      <w:r w:rsidR="00CD1C55" w:rsidRPr="005160F2">
        <w:rPr>
          <w:rFonts w:ascii="Times New Roman" w:eastAsia="Arial Unicode MS" w:hAnsi="Times New Roman" w:cs="Times New Roman"/>
          <w:iCs/>
          <w:vertAlign w:val="subscript"/>
        </w:rPr>
        <w:t>2</w:t>
      </w:r>
      <w:r w:rsidR="00CD1C55">
        <w:rPr>
          <w:rFonts w:ascii="Times New Roman" w:eastAsia="Arial Unicode MS" w:hAnsi="Times New Roman" w:cs="Times New Roman"/>
          <w:iCs/>
        </w:rPr>
        <w:t xml:space="preserve"> saturation in the electrochemical cell and improve bubble release from the surface of the electrocatalyst which can significantly influence the performance.</w:t>
      </w:r>
      <w:r w:rsidR="00CD1C55">
        <w:rPr>
          <w:rFonts w:ascii="Times New Roman" w:eastAsia="Arial Unicode MS" w:hAnsi="Times New Roman" w:cs="Times New Roman"/>
          <w:iCs/>
        </w:rPr>
        <w:fldChar w:fldCharType="begin" w:fldLock="1"/>
      </w:r>
      <w:r w:rsidR="0096753A">
        <w:rPr>
          <w:rFonts w:ascii="Times New Roman" w:eastAsia="Arial Unicode MS" w:hAnsi="Times New Roman" w:cs="Times New Roman"/>
          <w:iCs/>
        </w:rPr>
        <w:instrText>ADDIN CSL_CITATION {"citationItems":[{"id":"ITEM-1","itemData":{"DOI":"10.1021/acscatal.8b01447","ISSN":"21555435","author":[{"dropping-particle":"","family":"Garcia","given":"Amanda C.","non-dropping-particle":"","parse-names":false,"suffix":""},{"dropping-particle":"","family":"Koper","given":"Marc T.M.","non-dropping-particle":"","parse-names":false,"suffix":""}],"container-title":"ACS Catalysis","id":"ITEM-1","issue":"10","issued":{"date-parts":[["2018"]]},"page":"9359-9363","title":"Effect of Saturating the Electrolyte with Oxygen on the Activity for the Oxygen Evolution Reaction","type":"article-journal","volume":"8"},"uris":["http://www.mendeley.com/documents/?uuid=8a7dfe95-6d25-4fb0-8244-1aeff6644bbb"]}],"mendeley":{"formattedCitation":"&lt;sup&gt;8&lt;/sup&gt;","plainTextFormattedCitation":"8","previouslyFormattedCitation":"&lt;sup&gt;8&lt;/sup&gt;"},"properties":{"noteIndex":0},"schema":"https://github.com/citation-style-language/schema/raw/master/csl-citation.json"}</w:instrText>
      </w:r>
      <w:r w:rsidR="00CD1C55">
        <w:rPr>
          <w:rFonts w:ascii="Times New Roman" w:eastAsia="Arial Unicode MS" w:hAnsi="Times New Roman" w:cs="Times New Roman"/>
          <w:iCs/>
        </w:rPr>
        <w:fldChar w:fldCharType="separate"/>
      </w:r>
      <w:r w:rsidR="001067BB" w:rsidRPr="001067BB">
        <w:rPr>
          <w:rFonts w:ascii="Times New Roman" w:eastAsia="Arial Unicode MS" w:hAnsi="Times New Roman" w:cs="Times New Roman"/>
          <w:iCs/>
          <w:noProof/>
          <w:vertAlign w:val="superscript"/>
        </w:rPr>
        <w:t>8</w:t>
      </w:r>
      <w:r w:rsidR="00CD1C55">
        <w:rPr>
          <w:rFonts w:ascii="Times New Roman" w:eastAsia="Arial Unicode MS" w:hAnsi="Times New Roman" w:cs="Times New Roman"/>
          <w:iCs/>
        </w:rPr>
        <w:fldChar w:fldCharType="end"/>
      </w:r>
    </w:p>
    <w:p w14:paraId="61DAF4D2" w14:textId="70A71AD8" w:rsidR="00F35D51" w:rsidRPr="006811DB" w:rsidRDefault="00F35D51" w:rsidP="00F35D51">
      <w:pPr>
        <w:spacing w:line="480" w:lineRule="auto"/>
        <w:jc w:val="both"/>
        <w:rPr>
          <w:rFonts w:ascii="Times New Roman" w:hAnsi="Times New Roman" w:cs="Times New Roman"/>
          <w:u w:val="single"/>
          <w:lang w:val="en-US"/>
        </w:rPr>
      </w:pPr>
      <w:r w:rsidRPr="006811DB">
        <w:rPr>
          <w:rFonts w:ascii="Times New Roman" w:hAnsi="Times New Roman" w:cs="Times New Roman"/>
          <w:u w:val="single"/>
          <w:lang w:val="en-US"/>
        </w:rPr>
        <w:t>Sample preparation</w:t>
      </w:r>
      <w:r w:rsidR="0053006A">
        <w:rPr>
          <w:rFonts w:ascii="Times New Roman" w:hAnsi="Times New Roman" w:cs="Times New Roman"/>
          <w:u w:val="single"/>
          <w:lang w:val="en-US"/>
        </w:rPr>
        <w:t xml:space="preserve"> for </w:t>
      </w:r>
      <w:r w:rsidR="008B21A5">
        <w:rPr>
          <w:rFonts w:ascii="Times New Roman" w:hAnsi="Times New Roman" w:cs="Times New Roman"/>
          <w:u w:val="single"/>
          <w:lang w:val="en-US"/>
        </w:rPr>
        <w:t>electro</w:t>
      </w:r>
      <w:r w:rsidR="0053006A">
        <w:rPr>
          <w:rFonts w:ascii="Times New Roman" w:hAnsi="Times New Roman" w:cs="Times New Roman"/>
          <w:u w:val="single"/>
          <w:lang w:val="en-US"/>
        </w:rPr>
        <w:t>catalyst on glassy carbon</w:t>
      </w:r>
    </w:p>
    <w:p w14:paraId="27EF099C" w14:textId="07BAC214" w:rsidR="00F35D51" w:rsidRDefault="00F35D51" w:rsidP="00F35D51">
      <w:pPr>
        <w:spacing w:line="480" w:lineRule="auto"/>
        <w:jc w:val="both"/>
        <w:rPr>
          <w:rFonts w:ascii="Times New Roman" w:hAnsi="Times New Roman" w:cs="Times New Roman"/>
          <w:lang w:val="en-US"/>
        </w:rPr>
      </w:pPr>
      <w:r w:rsidRPr="00DB3D67">
        <w:rPr>
          <w:rFonts w:ascii="Times New Roman" w:hAnsi="Times New Roman" w:cs="Times New Roman"/>
          <w:lang w:val="en-US"/>
        </w:rPr>
        <w:t>Powder samples were prepared by making inks. The inks were produced by mixing 4 mg of the catalyst with 80 μL of Nafion® D521 (IonPower) and 1.25 mL of water-to-ethanol (4:1) solution. The mixture was sonicated for 30 minutes before drop</w:t>
      </w:r>
      <w:r>
        <w:rPr>
          <w:rFonts w:ascii="Times New Roman" w:hAnsi="Times New Roman" w:cs="Times New Roman"/>
          <w:lang w:val="en-US"/>
        </w:rPr>
        <w:t xml:space="preserve"> casting a</w:t>
      </w:r>
      <w:r w:rsidRPr="00DB3D67">
        <w:rPr>
          <w:rFonts w:ascii="Times New Roman" w:hAnsi="Times New Roman" w:cs="Times New Roman"/>
          <w:lang w:val="en-US"/>
        </w:rPr>
        <w:t xml:space="preserve"> 5 μL of the ink on a 3 mm diameter glassy carbon (GC) electrode to produce a thin catalyst layer with a loading of 0.21 mg</w:t>
      </w:r>
      <w:r>
        <w:rPr>
          <w:rFonts w:ascii="Times New Roman" w:hAnsi="Times New Roman" w:cs="Times New Roman"/>
          <w:lang w:val="en-US"/>
        </w:rPr>
        <w:t>.</w:t>
      </w:r>
      <w:r w:rsidRPr="00DB3D67">
        <w:rPr>
          <w:rFonts w:ascii="Times New Roman" w:hAnsi="Times New Roman" w:cs="Times New Roman"/>
          <w:lang w:val="en-US"/>
        </w:rPr>
        <w:t>cm</w:t>
      </w:r>
      <w:r w:rsidRPr="00DB3D67">
        <w:rPr>
          <w:rFonts w:ascii="Times New Roman" w:hAnsi="Times New Roman" w:cs="Times New Roman"/>
          <w:vertAlign w:val="superscript"/>
          <w:lang w:val="en-US"/>
        </w:rPr>
        <w:t>-2</w:t>
      </w:r>
      <w:r w:rsidRPr="00DB3D67">
        <w:rPr>
          <w:rFonts w:ascii="Times New Roman" w:hAnsi="Times New Roman" w:cs="Times New Roman"/>
          <w:lang w:val="en-US"/>
        </w:rPr>
        <w:t>. The electrode is polished using 0.08 μm colloidal silica every time before applying inks. To load the catalyst on Ni foam (thickness: 1.7 mm, INCO), several drops of the ink are added to achieve a catalyst loading of 2 mg.cm</w:t>
      </w:r>
      <w:r w:rsidRPr="00DB3D67">
        <w:rPr>
          <w:rFonts w:ascii="Times New Roman" w:hAnsi="Times New Roman" w:cs="Times New Roman"/>
          <w:vertAlign w:val="superscript"/>
          <w:lang w:val="en-US"/>
        </w:rPr>
        <w:t>-2</w:t>
      </w:r>
      <w:r w:rsidRPr="00DB3D67">
        <w:rPr>
          <w:rFonts w:ascii="Times New Roman" w:hAnsi="Times New Roman" w:cs="Times New Roman"/>
          <w:lang w:val="en-US"/>
        </w:rPr>
        <w:t xml:space="preserve"> on 0.5 cm x 0.5 cm piece. </w:t>
      </w:r>
    </w:p>
    <w:p w14:paraId="22B43390" w14:textId="4CA0588A" w:rsidR="0053006A" w:rsidRPr="0053006A" w:rsidRDefault="0053006A" w:rsidP="00F35D51">
      <w:pPr>
        <w:spacing w:line="480" w:lineRule="auto"/>
        <w:jc w:val="both"/>
        <w:rPr>
          <w:rFonts w:ascii="Times New Roman" w:hAnsi="Times New Roman" w:cs="Times New Roman"/>
          <w:u w:val="single"/>
          <w:lang w:val="en-US"/>
        </w:rPr>
      </w:pPr>
      <w:r w:rsidRPr="0053006A">
        <w:rPr>
          <w:rFonts w:ascii="Times New Roman" w:hAnsi="Times New Roman" w:cs="Times New Roman"/>
          <w:u w:val="single"/>
          <w:lang w:val="en-US"/>
        </w:rPr>
        <w:t xml:space="preserve">Sample preparation for </w:t>
      </w:r>
      <w:r w:rsidR="008B21A5">
        <w:rPr>
          <w:rFonts w:ascii="Times New Roman" w:hAnsi="Times New Roman" w:cs="Times New Roman"/>
          <w:u w:val="single"/>
          <w:lang w:val="en-US"/>
        </w:rPr>
        <w:t>electro</w:t>
      </w:r>
      <w:r w:rsidRPr="0053006A">
        <w:rPr>
          <w:rFonts w:ascii="Times New Roman" w:hAnsi="Times New Roman" w:cs="Times New Roman"/>
          <w:u w:val="single"/>
          <w:lang w:val="en-US"/>
        </w:rPr>
        <w:t>catalyst on carbon paper</w:t>
      </w:r>
    </w:p>
    <w:p w14:paraId="51FFED0F" w14:textId="0036C568" w:rsidR="0053006A" w:rsidRDefault="0053006A" w:rsidP="00F35D51">
      <w:pPr>
        <w:spacing w:line="480" w:lineRule="auto"/>
        <w:jc w:val="both"/>
        <w:rPr>
          <w:rFonts w:ascii="Times New Roman" w:eastAsia="Arial Unicode MS" w:hAnsi="Times New Roman" w:cs="Times New Roman"/>
          <w:iCs/>
        </w:rPr>
      </w:pPr>
      <w:r>
        <w:rPr>
          <w:rFonts w:ascii="Times New Roman" w:eastAsia="Arial Unicode MS" w:hAnsi="Times New Roman" w:cs="Times New Roman"/>
          <w:iCs/>
        </w:rPr>
        <w:t xml:space="preserve">The </w:t>
      </w:r>
      <w:r w:rsidR="008B21A5">
        <w:rPr>
          <w:rFonts w:ascii="Times New Roman" w:eastAsia="Arial Unicode MS" w:hAnsi="Times New Roman" w:cs="Times New Roman"/>
          <w:iCs/>
        </w:rPr>
        <w:t>electrocatalyst</w:t>
      </w:r>
      <w:r>
        <w:rPr>
          <w:rFonts w:ascii="Times New Roman" w:eastAsia="Arial Unicode MS" w:hAnsi="Times New Roman" w:cs="Times New Roman"/>
          <w:iCs/>
        </w:rPr>
        <w:t xml:space="preserve"> were prepared in inks by mixing with a solution of 4:1 water to ethanol and Nafion binder. The ink </w:t>
      </w:r>
      <w:r w:rsidR="00CD05EF">
        <w:rPr>
          <w:rFonts w:ascii="Times New Roman" w:eastAsia="Arial Unicode MS" w:hAnsi="Times New Roman" w:cs="Times New Roman"/>
          <w:iCs/>
        </w:rPr>
        <w:t>was</w:t>
      </w:r>
      <w:r>
        <w:rPr>
          <w:rFonts w:ascii="Times New Roman" w:eastAsia="Arial Unicode MS" w:hAnsi="Times New Roman" w:cs="Times New Roman"/>
          <w:iCs/>
        </w:rPr>
        <w:t xml:space="preserve"> then deposited on one side of a 0.5 cm x 0.5 cm untreated carbon paper and left to dry in air.</w:t>
      </w:r>
    </w:p>
    <w:p w14:paraId="503C6C4B" w14:textId="5641C986" w:rsidR="00CD05EF" w:rsidRPr="008960BE" w:rsidRDefault="00CD05EF" w:rsidP="008960BE">
      <w:pPr>
        <w:spacing w:line="480" w:lineRule="auto"/>
        <w:jc w:val="both"/>
        <w:rPr>
          <w:rFonts w:ascii="Times New Roman" w:hAnsi="Times New Roman" w:cs="Times New Roman"/>
          <w:u w:val="single"/>
          <w:lang w:val="en-US"/>
        </w:rPr>
      </w:pPr>
      <w:r w:rsidRPr="0053006A">
        <w:rPr>
          <w:rFonts w:ascii="Times New Roman" w:hAnsi="Times New Roman" w:cs="Times New Roman"/>
          <w:u w:val="single"/>
          <w:lang w:val="en-US"/>
        </w:rPr>
        <w:t xml:space="preserve">Sample preparation for </w:t>
      </w:r>
      <w:r>
        <w:rPr>
          <w:rFonts w:ascii="Times New Roman" w:hAnsi="Times New Roman" w:cs="Times New Roman"/>
          <w:u w:val="single"/>
          <w:lang w:val="en-US"/>
        </w:rPr>
        <w:t>electro</w:t>
      </w:r>
      <w:r w:rsidRPr="0053006A">
        <w:rPr>
          <w:rFonts w:ascii="Times New Roman" w:hAnsi="Times New Roman" w:cs="Times New Roman"/>
          <w:u w:val="single"/>
          <w:lang w:val="en-US"/>
        </w:rPr>
        <w:t xml:space="preserve">catalyst on </w:t>
      </w:r>
      <w:r>
        <w:rPr>
          <w:rFonts w:ascii="Times New Roman" w:hAnsi="Times New Roman" w:cs="Times New Roman"/>
          <w:u w:val="single"/>
          <w:lang w:val="en-US"/>
        </w:rPr>
        <w:t>nickel foam</w:t>
      </w:r>
    </w:p>
    <w:p w14:paraId="3DF59C48" w14:textId="11DECAFD" w:rsidR="00CD05EF" w:rsidRDefault="00CD05EF" w:rsidP="00F35D51">
      <w:pPr>
        <w:spacing w:line="480" w:lineRule="auto"/>
        <w:jc w:val="both"/>
        <w:rPr>
          <w:rFonts w:ascii="Times New Roman" w:hAnsi="Times New Roman" w:cs="Times New Roman"/>
          <w:lang w:val="en-US"/>
        </w:rPr>
      </w:pPr>
      <w:r>
        <w:rPr>
          <w:rFonts w:ascii="Times New Roman" w:eastAsia="Arial Unicode MS" w:hAnsi="Times New Roman" w:cs="Times New Roman"/>
          <w:iCs/>
        </w:rPr>
        <w:t>The electrocatalyst were prepared in inks by mixing with a solution of 4:1 water to ethanol and Nafion binder. The ink was deposited by drop-casting on</w:t>
      </w:r>
      <w:r w:rsidR="006B1754">
        <w:rPr>
          <w:rFonts w:ascii="Times New Roman" w:eastAsia="Arial Unicode MS" w:hAnsi="Times New Roman" w:cs="Times New Roman"/>
          <w:iCs/>
        </w:rPr>
        <w:t xml:space="preserve"> one side of</w:t>
      </w:r>
      <w:r>
        <w:rPr>
          <w:rFonts w:ascii="Times New Roman" w:eastAsia="Arial Unicode MS" w:hAnsi="Times New Roman" w:cs="Times New Roman"/>
          <w:iCs/>
        </w:rPr>
        <w:t xml:space="preserve"> a 0.5 cm x 0.5 cm</w:t>
      </w:r>
      <w:r w:rsidRPr="00D512EE">
        <w:rPr>
          <w:rFonts w:ascii="Times New Roman" w:eastAsia="Arial Unicode MS" w:hAnsi="Times New Roman" w:cs="Times New Roman"/>
          <w:iCs/>
        </w:rPr>
        <w:t xml:space="preserve"> </w:t>
      </w:r>
      <w:r w:rsidR="006B1754">
        <w:rPr>
          <w:rFonts w:ascii="Times New Roman" w:eastAsia="Arial Unicode MS" w:hAnsi="Times New Roman" w:cs="Times New Roman"/>
          <w:iCs/>
        </w:rPr>
        <w:t>nickel foam piece</w:t>
      </w:r>
      <w:r>
        <w:rPr>
          <w:rFonts w:ascii="Times New Roman" w:eastAsia="Arial Unicode MS" w:hAnsi="Times New Roman" w:cs="Times New Roman"/>
          <w:iCs/>
        </w:rPr>
        <w:t xml:space="preserve"> with a mass loading of </w:t>
      </w:r>
      <w:r w:rsidR="006B1754">
        <w:rPr>
          <w:rFonts w:ascii="Times New Roman" w:eastAsia="Arial Unicode MS" w:hAnsi="Times New Roman" w:cs="Times New Roman"/>
          <w:iCs/>
        </w:rPr>
        <w:t>2</w:t>
      </w:r>
      <w:r>
        <w:rPr>
          <w:rFonts w:ascii="Times New Roman" w:eastAsia="Arial Unicode MS" w:hAnsi="Times New Roman" w:cs="Times New Roman"/>
          <w:iCs/>
        </w:rPr>
        <w:t xml:space="preserve"> mg.cm</w:t>
      </w:r>
      <w:r w:rsidRPr="00B05959">
        <w:rPr>
          <w:rFonts w:ascii="Times New Roman" w:eastAsia="Arial Unicode MS" w:hAnsi="Times New Roman" w:cs="Times New Roman"/>
          <w:iCs/>
          <w:vertAlign w:val="superscript"/>
        </w:rPr>
        <w:t>-2</w:t>
      </w:r>
      <w:r>
        <w:rPr>
          <w:rFonts w:ascii="Times New Roman" w:eastAsia="Arial Unicode MS" w:hAnsi="Times New Roman" w:cs="Times New Roman"/>
          <w:iCs/>
        </w:rPr>
        <w:t xml:space="preserve">. </w:t>
      </w:r>
    </w:p>
    <w:p w14:paraId="1850800A" w14:textId="77777777" w:rsidR="00F35D51" w:rsidRPr="006811DB" w:rsidRDefault="00F35D51" w:rsidP="00F35D51">
      <w:pPr>
        <w:spacing w:line="480" w:lineRule="auto"/>
        <w:jc w:val="both"/>
        <w:rPr>
          <w:rFonts w:ascii="Times New Roman" w:hAnsi="Times New Roman" w:cs="Times New Roman"/>
          <w:u w:val="single"/>
          <w:lang w:val="en-US"/>
        </w:rPr>
      </w:pPr>
      <w:r w:rsidRPr="006811DB">
        <w:rPr>
          <w:rFonts w:ascii="Times New Roman" w:hAnsi="Times New Roman" w:cs="Times New Roman"/>
          <w:u w:val="single"/>
          <w:lang w:val="en-US"/>
        </w:rPr>
        <w:t>Activity and Stability protocols</w:t>
      </w:r>
    </w:p>
    <w:p w14:paraId="634CB55B" w14:textId="7698377E" w:rsidR="00F35D51" w:rsidRDefault="00F35D51" w:rsidP="00F35D51">
      <w:pPr>
        <w:spacing w:line="480" w:lineRule="auto"/>
        <w:jc w:val="both"/>
        <w:rPr>
          <w:rFonts w:ascii="Times New Roman" w:hAnsi="Times New Roman" w:cs="Times New Roman"/>
          <w:lang w:val="en-US"/>
        </w:rPr>
      </w:pPr>
      <w:r w:rsidRPr="00DB3D67">
        <w:rPr>
          <w:rFonts w:ascii="Times New Roman" w:hAnsi="Times New Roman" w:cs="Times New Roman"/>
          <w:lang w:val="en-US"/>
        </w:rPr>
        <w:t>A protocol to test the activity and stability of electrocatalysts used for OER was established as shown in</w:t>
      </w:r>
      <w:r>
        <w:rPr>
          <w:rFonts w:ascii="Times New Roman" w:hAnsi="Times New Roman" w:cs="Times New Roman"/>
          <w:lang w:val="en-US"/>
        </w:rPr>
        <w:t xml:space="preserve"> Table S3</w:t>
      </w:r>
      <w:r w:rsidRPr="00DB3D67">
        <w:rPr>
          <w:rFonts w:ascii="Times New Roman" w:hAnsi="Times New Roman" w:cs="Times New Roman"/>
          <w:lang w:val="en-US"/>
        </w:rPr>
        <w:t xml:space="preserve">. First, </w:t>
      </w:r>
      <w:r>
        <w:rPr>
          <w:rFonts w:ascii="Times New Roman" w:hAnsi="Times New Roman" w:cs="Times New Roman"/>
          <w:lang w:val="en-US"/>
        </w:rPr>
        <w:t xml:space="preserve">the </w:t>
      </w:r>
      <w:r w:rsidRPr="00DB3D67">
        <w:rPr>
          <w:rFonts w:ascii="Times New Roman" w:hAnsi="Times New Roman" w:cs="Times New Roman"/>
          <w:lang w:val="en-US"/>
        </w:rPr>
        <w:t xml:space="preserve">open cell </w:t>
      </w:r>
      <w:r>
        <w:rPr>
          <w:rFonts w:ascii="Times New Roman" w:hAnsi="Times New Roman" w:cs="Times New Roman"/>
          <w:lang w:val="en-US"/>
        </w:rPr>
        <w:t>potential</w:t>
      </w:r>
      <w:r w:rsidRPr="00DB3D67">
        <w:rPr>
          <w:rFonts w:ascii="Times New Roman" w:hAnsi="Times New Roman" w:cs="Times New Roman"/>
          <w:lang w:val="en-US"/>
        </w:rPr>
        <w:t xml:space="preserve"> (OC</w:t>
      </w:r>
      <w:r>
        <w:rPr>
          <w:rFonts w:ascii="Times New Roman" w:hAnsi="Times New Roman" w:cs="Times New Roman"/>
          <w:lang w:val="en-US"/>
        </w:rPr>
        <w:t>P</w:t>
      </w:r>
      <w:r w:rsidRPr="00DB3D67">
        <w:rPr>
          <w:rFonts w:ascii="Times New Roman" w:hAnsi="Times New Roman" w:cs="Times New Roman"/>
          <w:lang w:val="en-US"/>
        </w:rPr>
        <w:t xml:space="preserve">) </w:t>
      </w:r>
      <w:r>
        <w:rPr>
          <w:rFonts w:ascii="Times New Roman" w:hAnsi="Times New Roman" w:cs="Times New Roman"/>
          <w:lang w:val="en-US"/>
        </w:rPr>
        <w:t>was</w:t>
      </w:r>
      <w:r w:rsidRPr="00DB3D67">
        <w:rPr>
          <w:rFonts w:ascii="Times New Roman" w:hAnsi="Times New Roman" w:cs="Times New Roman"/>
          <w:lang w:val="en-US"/>
        </w:rPr>
        <w:t xml:space="preserve"> recorded for 30 mins to stabilize the material in the solution. The resistance of the solution </w:t>
      </w:r>
      <w:r>
        <w:rPr>
          <w:rFonts w:ascii="Times New Roman" w:hAnsi="Times New Roman" w:cs="Times New Roman"/>
          <w:lang w:val="en-US"/>
        </w:rPr>
        <w:t>was</w:t>
      </w:r>
      <w:r w:rsidRPr="00DB3D67">
        <w:rPr>
          <w:rFonts w:ascii="Times New Roman" w:hAnsi="Times New Roman" w:cs="Times New Roman"/>
          <w:lang w:val="en-US"/>
        </w:rPr>
        <w:t xml:space="preserve"> measured by electrochemical impedance spectroscopy (EIS). The frequency </w:t>
      </w:r>
      <w:r>
        <w:rPr>
          <w:rFonts w:ascii="Times New Roman" w:hAnsi="Times New Roman" w:cs="Times New Roman"/>
          <w:lang w:val="en-US"/>
        </w:rPr>
        <w:t>was</w:t>
      </w:r>
      <w:r w:rsidRPr="00DB3D67">
        <w:rPr>
          <w:rFonts w:ascii="Times New Roman" w:hAnsi="Times New Roman" w:cs="Times New Roman"/>
          <w:lang w:val="en-US"/>
        </w:rPr>
        <w:t xml:space="preserve"> scanned from 1 MHz to 1 kHz with an amplitude of 1 mV. Once EIS is completed, cyclic voltammetry (CV) is performed to clean </w:t>
      </w:r>
      <w:r w:rsidRPr="00DB3D67">
        <w:rPr>
          <w:rFonts w:ascii="Times New Roman" w:hAnsi="Times New Roman" w:cs="Times New Roman"/>
          <w:lang w:val="en-US"/>
        </w:rPr>
        <w:lastRenderedPageBreak/>
        <w:t xml:space="preserve">and activate the surface. Each CV measurement </w:t>
      </w:r>
      <w:r>
        <w:rPr>
          <w:rFonts w:ascii="Times New Roman" w:hAnsi="Times New Roman" w:cs="Times New Roman"/>
          <w:lang w:val="en-US"/>
        </w:rPr>
        <w:t>was</w:t>
      </w:r>
      <w:r w:rsidRPr="00DB3D67">
        <w:rPr>
          <w:rFonts w:ascii="Times New Roman" w:hAnsi="Times New Roman" w:cs="Times New Roman"/>
          <w:lang w:val="en-US"/>
        </w:rPr>
        <w:t xml:space="preserve"> repeated 3 times at a speed of 50 mV.s</w:t>
      </w:r>
      <w:r w:rsidRPr="00DB3D67">
        <w:rPr>
          <w:rFonts w:ascii="Times New Roman" w:hAnsi="Times New Roman" w:cs="Times New Roman"/>
          <w:vertAlign w:val="superscript"/>
          <w:lang w:val="en-US"/>
        </w:rPr>
        <w:t>-1</w:t>
      </w:r>
      <w:r w:rsidRPr="00DB3D67">
        <w:rPr>
          <w:rFonts w:ascii="Times New Roman" w:hAnsi="Times New Roman" w:cs="Times New Roman"/>
          <w:lang w:val="en-US"/>
        </w:rPr>
        <w:t xml:space="preserve"> to produce a unique fingerprint of anodic and cathodic peaks in the range from 0-1.6 V vs RHE. This </w:t>
      </w:r>
      <w:r>
        <w:rPr>
          <w:rFonts w:ascii="Times New Roman" w:hAnsi="Times New Roman" w:cs="Times New Roman"/>
          <w:lang w:val="en-US"/>
        </w:rPr>
        <w:t>was</w:t>
      </w:r>
      <w:r w:rsidRPr="00DB3D67">
        <w:rPr>
          <w:rFonts w:ascii="Times New Roman" w:hAnsi="Times New Roman" w:cs="Times New Roman"/>
          <w:lang w:val="en-US"/>
        </w:rPr>
        <w:t xml:space="preserve"> followed by measuring the electrochemical surface area (ECSA) in a non-Faradaic region using various scanning speeds as explained in the </w:t>
      </w:r>
      <w:r>
        <w:rPr>
          <w:rFonts w:ascii="Times New Roman" w:hAnsi="Times New Roman" w:cs="Times New Roman"/>
          <w:lang w:val="en-US"/>
        </w:rPr>
        <w:t>Table S3</w:t>
      </w:r>
      <w:r w:rsidRPr="00DB3D67">
        <w:rPr>
          <w:rFonts w:ascii="Times New Roman" w:hAnsi="Times New Roman" w:cs="Times New Roman"/>
          <w:lang w:val="en-US"/>
        </w:rPr>
        <w:t xml:space="preserve">. Each CV measurement at a specific speed is repeated 3 times. To measure the activity, polarization curves </w:t>
      </w:r>
      <w:r>
        <w:rPr>
          <w:rFonts w:ascii="Times New Roman" w:hAnsi="Times New Roman" w:cs="Times New Roman"/>
          <w:lang w:val="en-US"/>
        </w:rPr>
        <w:t>were</w:t>
      </w:r>
      <w:r w:rsidRPr="00DB3D67">
        <w:rPr>
          <w:rFonts w:ascii="Times New Roman" w:hAnsi="Times New Roman" w:cs="Times New Roman"/>
          <w:lang w:val="en-US"/>
        </w:rPr>
        <w:t xml:space="preserve"> acquired to conduct Tafel analysis and determine the catalytic properties of OER. This </w:t>
      </w:r>
      <w:r>
        <w:rPr>
          <w:rFonts w:ascii="Times New Roman" w:hAnsi="Times New Roman" w:cs="Times New Roman"/>
          <w:lang w:val="en-US"/>
        </w:rPr>
        <w:t>was</w:t>
      </w:r>
      <w:r w:rsidRPr="00DB3D67">
        <w:rPr>
          <w:rFonts w:ascii="Times New Roman" w:hAnsi="Times New Roman" w:cs="Times New Roman"/>
          <w:lang w:val="en-US"/>
        </w:rPr>
        <w:t xml:space="preserve"> performed using a Linear Sweep Voltammetry (LSV) with a slow speed 1 mV.s</w:t>
      </w:r>
      <w:r w:rsidRPr="00DB3D67">
        <w:rPr>
          <w:rFonts w:ascii="Times New Roman" w:hAnsi="Times New Roman" w:cs="Times New Roman"/>
          <w:vertAlign w:val="superscript"/>
          <w:lang w:val="en-US"/>
        </w:rPr>
        <w:t>-1</w:t>
      </w:r>
      <w:r w:rsidRPr="00DB3D67">
        <w:rPr>
          <w:rFonts w:ascii="Times New Roman" w:hAnsi="Times New Roman" w:cs="Times New Roman"/>
          <w:lang w:val="en-US"/>
        </w:rPr>
        <w:t xml:space="preserve"> to allow the surface to stabilize and reflect the true reaction mechanism. In the last step, the stability can be assessed using chronopotentiometry. A fixed current density will be applied to evaluate the stability of the catalyst on different substrates.</w:t>
      </w:r>
      <w:r>
        <w:rPr>
          <w:rFonts w:ascii="Times New Roman" w:hAnsi="Times New Roman" w:cs="Times New Roman"/>
          <w:lang w:val="en-US"/>
        </w:rPr>
        <w:t xml:space="preserve"> E</w:t>
      </w:r>
      <w:r w:rsidRPr="006F2881">
        <w:rPr>
          <w:rFonts w:ascii="Times New Roman" w:hAnsi="Times New Roman" w:cs="Times New Roman"/>
          <w:lang w:val="en-US"/>
        </w:rPr>
        <w:t>lectrode potentials were</w:t>
      </w:r>
      <w:r>
        <w:rPr>
          <w:rFonts w:ascii="Times New Roman" w:hAnsi="Times New Roman" w:cs="Times New Roman"/>
          <w:lang w:val="en-US"/>
        </w:rPr>
        <w:t xml:space="preserve"> measured with respect to Hg/HgO reference electrode. The Hg/HgO reference electrode was experimentally calibrated in a two-electrode setup using three different standard calomel electrodes (SCE) yielding in E(Hg/HgO) = E(SCE) + </w:t>
      </w:r>
      <w:r w:rsidRPr="007B6170">
        <w:rPr>
          <w:rFonts w:asciiTheme="majorBidi" w:hAnsiTheme="majorBidi" w:cstheme="majorBidi"/>
          <w:lang w:val="en-US"/>
        </w:rPr>
        <w:t>144</w:t>
      </w:r>
      <w:r>
        <w:rPr>
          <w:rFonts w:asciiTheme="majorBidi" w:hAnsiTheme="majorBidi" w:cstheme="majorBidi"/>
          <w:color w:val="3C4043"/>
          <w:shd w:val="clear" w:color="auto" w:fill="FFFFFF"/>
        </w:rPr>
        <w:t xml:space="preserve"> </w:t>
      </w:r>
      <w:r>
        <w:rPr>
          <w:rFonts w:ascii="Times New Roman" w:hAnsi="Times New Roman" w:cs="Times New Roman"/>
          <w:lang w:val="en-US"/>
        </w:rPr>
        <w:t xml:space="preserve">mV. The potentials were </w:t>
      </w:r>
      <w:r w:rsidRPr="006F2881">
        <w:rPr>
          <w:rFonts w:ascii="Times New Roman" w:hAnsi="Times New Roman" w:cs="Times New Roman"/>
          <w:lang w:val="en-US"/>
        </w:rPr>
        <w:t>converted to the RHE using E(RHE) = E(</w:t>
      </w:r>
      <w:r>
        <w:rPr>
          <w:rFonts w:ascii="Times New Roman" w:hAnsi="Times New Roman" w:cs="Times New Roman"/>
          <w:lang w:val="en-US"/>
        </w:rPr>
        <w:t>SCE</w:t>
      </w:r>
      <w:r w:rsidRPr="006F2881">
        <w:rPr>
          <w:rFonts w:ascii="Times New Roman" w:hAnsi="Times New Roman" w:cs="Times New Roman"/>
          <w:lang w:val="en-US"/>
        </w:rPr>
        <w:t xml:space="preserve">) + </w:t>
      </w:r>
      <w:r w:rsidRPr="00A52E0A">
        <w:rPr>
          <w:rFonts w:asciiTheme="majorBidi" w:hAnsiTheme="majorBidi" w:cstheme="majorBidi"/>
          <w:lang w:val="en-US"/>
        </w:rPr>
        <w:t>0.</w:t>
      </w:r>
      <w:r w:rsidRPr="00A52E0A">
        <w:rPr>
          <w:rFonts w:asciiTheme="majorBidi" w:hAnsiTheme="majorBidi" w:cstheme="majorBidi"/>
        </w:rPr>
        <w:t>241</w:t>
      </w:r>
      <w:r w:rsidRPr="006F2881">
        <w:rPr>
          <w:rFonts w:ascii="Times New Roman" w:hAnsi="Times New Roman" w:cs="Times New Roman"/>
          <w:lang w:val="en-US"/>
        </w:rPr>
        <w:t>V+0.059*pH.</w:t>
      </w:r>
      <w:r>
        <w:rPr>
          <w:rFonts w:ascii="Times New Roman" w:hAnsi="Times New Roman" w:cs="Times New Roman"/>
          <w:lang w:val="en-US"/>
        </w:rPr>
        <w:t xml:space="preserve"> </w:t>
      </w:r>
    </w:p>
    <w:p w14:paraId="10D646F8" w14:textId="77777777" w:rsidR="00F35D51" w:rsidRPr="00745D69" w:rsidRDefault="00F35D51" w:rsidP="00F35D51">
      <w:pPr>
        <w:spacing w:line="480" w:lineRule="auto"/>
        <w:rPr>
          <w:rFonts w:ascii="Times New Roman" w:hAnsi="Times New Roman" w:cs="Times New Roman"/>
          <w:u w:val="single"/>
          <w:lang w:val="en-US"/>
        </w:rPr>
      </w:pPr>
      <w:r w:rsidRPr="00745D69">
        <w:rPr>
          <w:rFonts w:ascii="Times New Roman" w:hAnsi="Times New Roman" w:cs="Times New Roman"/>
          <w:u w:val="single"/>
          <w:lang w:val="en-US"/>
        </w:rPr>
        <w:t>iR correction</w:t>
      </w:r>
    </w:p>
    <w:p w14:paraId="076D4295" w14:textId="77777777" w:rsidR="00F35D51" w:rsidRPr="00FF0BCF" w:rsidRDefault="00F35D51" w:rsidP="00F35D51">
      <w:pPr>
        <w:spacing w:line="480" w:lineRule="auto"/>
        <w:jc w:val="both"/>
        <w:rPr>
          <w:rFonts w:ascii="Times New Roman" w:hAnsi="Times New Roman" w:cs="Times New Roman"/>
          <w:lang w:val="en-US"/>
        </w:rPr>
      </w:pPr>
      <w:r w:rsidRPr="00FF0BCF">
        <w:rPr>
          <w:rFonts w:ascii="Times New Roman" w:hAnsi="Times New Roman" w:cs="Times New Roman"/>
          <w:lang w:val="en-US"/>
        </w:rPr>
        <w:t xml:space="preserve">We used electrochemical impedance spectroscopy (EIS) to determine uncompensated resistance (Rs). At all potentials tested on GCE, the potential was corrected using Ohm's law: </w:t>
      </w:r>
    </w:p>
    <w:p w14:paraId="05A0013C" w14:textId="77777777" w:rsidR="00F35D51" w:rsidRDefault="00F35D51" w:rsidP="00F35D51">
      <w:pPr>
        <w:spacing w:line="480" w:lineRule="auto"/>
        <w:jc w:val="center"/>
        <w:rPr>
          <w:rFonts w:ascii="Times New Roman" w:hAnsi="Times New Roman" w:cs="Times New Roman"/>
          <w:lang w:val="en-US"/>
        </w:rPr>
      </w:pPr>
      <w:r w:rsidRPr="00FF0BCF">
        <w:rPr>
          <w:rFonts w:ascii="Times New Roman" w:hAnsi="Times New Roman" w:cs="Times New Roman"/>
          <w:lang w:val="en-US"/>
        </w:rPr>
        <w:t>E</w:t>
      </w:r>
      <w:r w:rsidRPr="005C39BF">
        <w:rPr>
          <w:rFonts w:ascii="Times New Roman" w:hAnsi="Times New Roman" w:cs="Times New Roman"/>
          <w:vertAlign w:val="subscript"/>
          <w:lang w:val="en-US"/>
        </w:rPr>
        <w:t>corrected</w:t>
      </w:r>
      <w:r>
        <w:rPr>
          <w:rFonts w:ascii="Times New Roman" w:hAnsi="Times New Roman" w:cs="Times New Roman"/>
          <w:lang w:val="en-US"/>
        </w:rPr>
        <w:t xml:space="preserve"> </w:t>
      </w:r>
      <w:r w:rsidRPr="00FF0BCF">
        <w:rPr>
          <w:rFonts w:ascii="Times New Roman" w:hAnsi="Times New Roman" w:cs="Times New Roman"/>
          <w:lang w:val="en-US"/>
        </w:rPr>
        <w:t>=</w:t>
      </w:r>
      <w:r w:rsidRPr="00BB7FEC">
        <w:rPr>
          <w:rFonts w:ascii="Times New Roman" w:hAnsi="Times New Roman" w:cs="Times New Roman"/>
          <w:lang w:val="en-US"/>
        </w:rPr>
        <w:t>E</w:t>
      </w:r>
      <w:r w:rsidRPr="005C39BF">
        <w:rPr>
          <w:rFonts w:ascii="Times New Roman" w:hAnsi="Times New Roman" w:cs="Times New Roman"/>
          <w:vertAlign w:val="subscript"/>
          <w:lang w:val="en-US"/>
        </w:rPr>
        <w:t>applied</w:t>
      </w:r>
      <w:r w:rsidRPr="00FF0BCF">
        <w:rPr>
          <w:rFonts w:ascii="Times New Roman" w:hAnsi="Times New Roman" w:cs="Times New Roman"/>
          <w:lang w:val="en-US"/>
        </w:rPr>
        <w:t xml:space="preserve"> – iR</w:t>
      </w:r>
    </w:p>
    <w:p w14:paraId="665C09A0" w14:textId="77777777" w:rsidR="00F35D51" w:rsidRDefault="00F35D51" w:rsidP="00F35D51">
      <w:pPr>
        <w:spacing w:line="480" w:lineRule="auto"/>
        <w:jc w:val="both"/>
        <w:rPr>
          <w:rFonts w:ascii="Times New Roman" w:hAnsi="Times New Roman" w:cs="Times New Roman"/>
          <w:lang w:val="en-US"/>
        </w:rPr>
      </w:pPr>
      <w:r w:rsidRPr="00FF0BCF">
        <w:rPr>
          <w:rFonts w:ascii="Times New Roman" w:hAnsi="Times New Roman" w:cs="Times New Roman"/>
          <w:lang w:val="en-US"/>
        </w:rPr>
        <w:t>E</w:t>
      </w:r>
      <w:r w:rsidRPr="005C39BF">
        <w:rPr>
          <w:rFonts w:ascii="Times New Roman" w:hAnsi="Times New Roman" w:cs="Times New Roman"/>
          <w:vertAlign w:val="subscript"/>
          <w:lang w:val="en-US"/>
        </w:rPr>
        <w:t>applied</w:t>
      </w:r>
      <w:r w:rsidRPr="00FF0BCF">
        <w:rPr>
          <w:rFonts w:ascii="Times New Roman" w:hAnsi="Times New Roman" w:cs="Times New Roman"/>
          <w:lang w:val="en-US"/>
        </w:rPr>
        <w:t xml:space="preserve"> is applied potential, i is the current measured, and compensating for 100% of the resistance</w:t>
      </w:r>
      <w:r>
        <w:rPr>
          <w:rFonts w:ascii="Times New Roman" w:hAnsi="Times New Roman" w:cs="Times New Roman"/>
          <w:lang w:val="en-US"/>
        </w:rPr>
        <w:t xml:space="preserve">. </w:t>
      </w:r>
    </w:p>
    <w:p w14:paraId="73EA2D1E" w14:textId="77777777" w:rsidR="00F35D51" w:rsidRPr="00C11FF1" w:rsidRDefault="00F35D51" w:rsidP="00F35D51">
      <w:pPr>
        <w:spacing w:line="480" w:lineRule="auto"/>
        <w:jc w:val="both"/>
        <w:rPr>
          <w:rFonts w:ascii="Times New Roman" w:hAnsi="Times New Roman" w:cs="Times New Roman"/>
          <w:u w:val="single"/>
        </w:rPr>
      </w:pPr>
      <w:r w:rsidRPr="00C11FF1">
        <w:rPr>
          <w:rFonts w:ascii="Times New Roman" w:hAnsi="Times New Roman" w:cs="Times New Roman"/>
          <w:u w:val="single"/>
        </w:rPr>
        <w:t>Intrinsic Activity</w:t>
      </w:r>
    </w:p>
    <w:p w14:paraId="5F2E20A8" w14:textId="6CC01F94" w:rsidR="00F35D51" w:rsidRPr="00EF1040" w:rsidRDefault="00F35D51" w:rsidP="00981AB1">
      <w:pPr>
        <w:spacing w:line="480" w:lineRule="auto"/>
        <w:jc w:val="both"/>
        <w:rPr>
          <w:rFonts w:ascii="Times New Roman" w:hAnsi="Times New Roman" w:cs="Times New Roman"/>
          <w:b/>
          <w:bCs/>
        </w:rPr>
      </w:pPr>
      <w:r w:rsidRPr="009B1EEF">
        <w:rPr>
          <w:rFonts w:ascii="Times New Roman" w:hAnsi="Times New Roman" w:cs="Times New Roman"/>
        </w:rPr>
        <w:t xml:space="preserve">Electrochemical Surface Area (ECSA) measurements were conducted to determine the intrinsic activity of the catalysts. The roughness factor (RF), which is </w:t>
      </w:r>
      <w:r>
        <w:rPr>
          <w:rFonts w:ascii="Times New Roman" w:hAnsi="Times New Roman" w:cs="Times New Roman"/>
        </w:rPr>
        <w:t xml:space="preserve">equal to </w:t>
      </w:r>
      <w:r w:rsidRPr="009B1EEF">
        <w:rPr>
          <w:rFonts w:ascii="Times New Roman" w:hAnsi="Times New Roman" w:cs="Times New Roman"/>
        </w:rPr>
        <w:t>ECSA/</w:t>
      </w:r>
      <w:r>
        <w:rPr>
          <w:rFonts w:ascii="Times New Roman" w:hAnsi="Times New Roman" w:cs="Times New Roman"/>
        </w:rPr>
        <w:t>g</w:t>
      </w:r>
      <w:r w:rsidRPr="009B1EEF">
        <w:rPr>
          <w:rFonts w:ascii="Times New Roman" w:hAnsi="Times New Roman" w:cs="Times New Roman"/>
        </w:rPr>
        <w:t xml:space="preserve">eometric </w:t>
      </w:r>
      <w:r>
        <w:rPr>
          <w:rFonts w:ascii="Times New Roman" w:hAnsi="Times New Roman" w:cs="Times New Roman"/>
        </w:rPr>
        <w:t>a</w:t>
      </w:r>
      <w:r w:rsidRPr="009B1EEF">
        <w:rPr>
          <w:rFonts w:ascii="Times New Roman" w:hAnsi="Times New Roman" w:cs="Times New Roman"/>
        </w:rPr>
        <w:t xml:space="preserve">rea, was calculated. </w:t>
      </w:r>
      <w:r>
        <w:rPr>
          <w:rFonts w:ascii="Times New Roman" w:hAnsi="Times New Roman" w:cs="Times New Roman"/>
        </w:rPr>
        <w:t>W</w:t>
      </w:r>
      <w:r w:rsidRPr="009B1EEF">
        <w:rPr>
          <w:rFonts w:ascii="Times New Roman" w:hAnsi="Times New Roman" w:cs="Times New Roman"/>
        </w:rPr>
        <w:t xml:space="preserve">hile cycling at different </w:t>
      </w:r>
      <w:r>
        <w:rPr>
          <w:rFonts w:ascii="Times New Roman" w:hAnsi="Times New Roman" w:cs="Times New Roman"/>
        </w:rPr>
        <w:t>scanning</w:t>
      </w:r>
      <w:r w:rsidRPr="009B1EEF">
        <w:rPr>
          <w:rFonts w:ascii="Times New Roman" w:hAnsi="Times New Roman" w:cs="Times New Roman"/>
        </w:rPr>
        <w:t xml:space="preserve"> speeds, the double layer capacitance (C</w:t>
      </w:r>
      <w:r w:rsidRPr="009B1EEF">
        <w:rPr>
          <w:rFonts w:ascii="Times New Roman" w:hAnsi="Times New Roman" w:cs="Times New Roman"/>
          <w:vertAlign w:val="subscript"/>
        </w:rPr>
        <w:t>dl</w:t>
      </w:r>
      <w:r w:rsidRPr="009B1EEF">
        <w:rPr>
          <w:rFonts w:ascii="Times New Roman" w:hAnsi="Times New Roman" w:cs="Times New Roman"/>
        </w:rPr>
        <w:t xml:space="preserve">) can be calculated </w:t>
      </w:r>
      <w:r>
        <w:rPr>
          <w:rFonts w:ascii="Times New Roman" w:hAnsi="Times New Roman" w:cs="Times New Roman"/>
        </w:rPr>
        <w:t>from</w:t>
      </w:r>
      <w:r w:rsidRPr="009B1EEF">
        <w:rPr>
          <w:rFonts w:ascii="Times New Roman" w:hAnsi="Times New Roman" w:cs="Times New Roman"/>
        </w:rPr>
        <w:t xml:space="preserve"> the slope </w:t>
      </w:r>
      <w:r>
        <w:rPr>
          <w:rFonts w:ascii="Times New Roman" w:hAnsi="Times New Roman" w:cs="Times New Roman"/>
        </w:rPr>
        <w:t xml:space="preserve">of the </w:t>
      </w:r>
      <w:r w:rsidRPr="009B1EEF">
        <w:rPr>
          <w:rFonts w:ascii="Times New Roman" w:hAnsi="Times New Roman" w:cs="Times New Roman"/>
        </w:rPr>
        <w:t xml:space="preserve">current (average difference </w:t>
      </w:r>
      <w:r>
        <w:rPr>
          <w:rFonts w:ascii="Times New Roman" w:hAnsi="Times New Roman" w:cs="Times New Roman"/>
        </w:rPr>
        <w:t>between</w:t>
      </w:r>
      <w:r w:rsidRPr="009B1EEF">
        <w:rPr>
          <w:rFonts w:ascii="Times New Roman" w:hAnsi="Times New Roman" w:cs="Times New Roman"/>
        </w:rPr>
        <w:t xml:space="preserve"> anodic and </w:t>
      </w:r>
      <w:r w:rsidRPr="009B1EEF">
        <w:rPr>
          <w:rFonts w:ascii="Times New Roman" w:hAnsi="Times New Roman" w:cs="Times New Roman"/>
        </w:rPr>
        <w:lastRenderedPageBreak/>
        <w:t xml:space="preserve">cathodic </w:t>
      </w:r>
      <w:r>
        <w:rPr>
          <w:rFonts w:ascii="Times New Roman" w:hAnsi="Times New Roman" w:cs="Times New Roman"/>
        </w:rPr>
        <w:t>values</w:t>
      </w:r>
      <w:r w:rsidRPr="009B1EEF">
        <w:rPr>
          <w:rFonts w:ascii="Times New Roman" w:hAnsi="Times New Roman" w:cs="Times New Roman"/>
        </w:rPr>
        <w:t xml:space="preserve"> </w:t>
      </w:r>
      <w:r>
        <w:rPr>
          <w:rFonts w:ascii="Times New Roman" w:hAnsi="Times New Roman" w:cs="Times New Roman"/>
        </w:rPr>
        <w:t>for</w:t>
      </w:r>
      <w:r w:rsidRPr="009B1EEF">
        <w:rPr>
          <w:rFonts w:ascii="Times New Roman" w:hAnsi="Times New Roman" w:cs="Times New Roman"/>
        </w:rPr>
        <w:t xml:space="preserve"> each cycle) vs </w:t>
      </w:r>
      <w:r>
        <w:rPr>
          <w:rFonts w:ascii="Times New Roman" w:hAnsi="Times New Roman" w:cs="Times New Roman"/>
        </w:rPr>
        <w:t>scanning</w:t>
      </w:r>
      <w:r w:rsidRPr="009B1EEF">
        <w:rPr>
          <w:rFonts w:ascii="Times New Roman" w:hAnsi="Times New Roman" w:cs="Times New Roman"/>
        </w:rPr>
        <w:t xml:space="preserve"> speed. ECSA is calculated by dividing C</w:t>
      </w:r>
      <w:r w:rsidRPr="000B3052">
        <w:rPr>
          <w:rFonts w:ascii="Times New Roman" w:hAnsi="Times New Roman" w:cs="Times New Roman"/>
          <w:vertAlign w:val="subscript"/>
        </w:rPr>
        <w:t>dl</w:t>
      </w:r>
      <w:r w:rsidRPr="009B1EEF">
        <w:rPr>
          <w:rFonts w:ascii="Times New Roman" w:hAnsi="Times New Roman" w:cs="Times New Roman"/>
        </w:rPr>
        <w:t xml:space="preserve"> over a specific capacitance value (C</w:t>
      </w:r>
      <w:r w:rsidRPr="009B1EEF">
        <w:rPr>
          <w:rFonts w:ascii="Times New Roman" w:hAnsi="Times New Roman" w:cs="Times New Roman"/>
          <w:vertAlign w:val="subscript"/>
        </w:rPr>
        <w:t>s</w:t>
      </w:r>
      <w:r w:rsidRPr="009B1EEF">
        <w:rPr>
          <w:rFonts w:ascii="Times New Roman" w:hAnsi="Times New Roman" w:cs="Times New Roman"/>
        </w:rPr>
        <w:t>) that can range between 0.02-0.13 mF.cm</w:t>
      </w:r>
      <w:r w:rsidRPr="009B1EEF">
        <w:rPr>
          <w:rFonts w:ascii="Times New Roman" w:hAnsi="Times New Roman" w:cs="Times New Roman"/>
          <w:vertAlign w:val="superscript"/>
        </w:rPr>
        <w:t xml:space="preserve">-2 </w:t>
      </w:r>
      <w:r w:rsidRPr="009B1EEF">
        <w:rPr>
          <w:rFonts w:ascii="Times New Roman" w:hAnsi="Times New Roman" w:cs="Times New Roman"/>
          <w:b/>
          <w:bCs/>
          <w:vertAlign w:val="superscript"/>
        </w:rPr>
        <w:fldChar w:fldCharType="begin" w:fldLock="1"/>
      </w:r>
      <w:r w:rsidR="0096753A">
        <w:rPr>
          <w:rFonts w:ascii="Times New Roman" w:hAnsi="Times New Roman" w:cs="Times New Roman"/>
          <w:vertAlign w:val="superscript"/>
        </w:rPr>
        <w:instrText>ADDIN CSL_CITATION {"citationItems":[{"id":"ITEM-1","itemData":{"DOI":"10.1039/C7SE00337D","ISBN":"2398-4902","ISSN":"2398-4902","abstract":"&lt;p&gt;New insights into efficient oxygen evolution were obtained by developing robust evaluation protocols and understanding interfacial behaviors.&lt;/p&gt;","author":[{"dropping-particle":"","family":"Li","given":"Guangfu","non-dropping-particle":"","parse-names":false,"suffix":""},{"dropping-particle":"","family":"Anderson","given":"Lawrence","non-dropping-particle":"","parse-names":false,"suffix":""},{"dropping-particle":"","family":"Chen","given":"Yanan","non-dropping-particle":"","parse-names":false,"suffix":""},{"dropping-particle":"","family":"Pan","given":"Mu","non-dropping-particle":"","parse-names":false,"suffix":""},{"dropping-particle":"","family":"Abel Chuang","given":"Po-Ya","non-dropping-particle":"","parse-names":false,"suffix":""}],"container-title":"Sustainable Energy &amp; Fuels","id":"ITEM-1","issue":"1","issued":{"date-parts":[["2018"]]},"page":"237-251","publisher":"Royal Society of Chemistry","title":"New insights into evaluating catalyst activity and stability for oxygen evolution reactions in alkaline media","type":"article-journal","volume":"2"},"uris":["http://www.mendeley.com/documents/?uuid=0a3280b9-00d3-485e-90b9-29cb7f20deda"]}],"mendeley":{"formattedCitation":"&lt;sup&gt;9&lt;/sup&gt;","plainTextFormattedCitation":"9","previouslyFormattedCitation":"&lt;sup&gt;9&lt;/sup&gt;"},"properties":{"noteIndex":0},"schema":"https://github.com/citation-style-language/schema/raw/master/csl-citation.json"}</w:instrText>
      </w:r>
      <w:r w:rsidRPr="009B1EEF">
        <w:rPr>
          <w:rFonts w:ascii="Times New Roman" w:hAnsi="Times New Roman" w:cs="Times New Roman"/>
          <w:b/>
          <w:bCs/>
          <w:vertAlign w:val="superscript"/>
        </w:rPr>
        <w:fldChar w:fldCharType="separate"/>
      </w:r>
      <w:r w:rsidR="001067BB" w:rsidRPr="001067BB">
        <w:rPr>
          <w:rFonts w:ascii="Times New Roman" w:hAnsi="Times New Roman" w:cs="Times New Roman"/>
          <w:noProof/>
          <w:vertAlign w:val="superscript"/>
        </w:rPr>
        <w:t>9</w:t>
      </w:r>
      <w:r w:rsidRPr="009B1EEF">
        <w:rPr>
          <w:rFonts w:ascii="Times New Roman" w:hAnsi="Times New Roman" w:cs="Times New Roman"/>
          <w:b/>
          <w:bCs/>
          <w:vertAlign w:val="superscript"/>
        </w:rPr>
        <w:fldChar w:fldCharType="end"/>
      </w:r>
      <w:r w:rsidRPr="009B1EEF">
        <w:rPr>
          <w:rFonts w:ascii="Times New Roman" w:hAnsi="Times New Roman" w:cs="Times New Roman"/>
        </w:rPr>
        <w:t xml:space="preserve">. In </w:t>
      </w:r>
      <w:r>
        <w:rPr>
          <w:rFonts w:ascii="Times New Roman" w:hAnsi="Times New Roman" w:cs="Times New Roman"/>
        </w:rPr>
        <w:t>this work</w:t>
      </w:r>
      <w:r w:rsidRPr="009B1EEF">
        <w:rPr>
          <w:rFonts w:ascii="Times New Roman" w:hAnsi="Times New Roman" w:cs="Times New Roman"/>
        </w:rPr>
        <w:t xml:space="preserve"> </w:t>
      </w:r>
      <w:r>
        <w:rPr>
          <w:rFonts w:ascii="Times New Roman" w:hAnsi="Times New Roman" w:cs="Times New Roman"/>
        </w:rPr>
        <w:t>we</w:t>
      </w:r>
      <w:r w:rsidRPr="009B1EEF">
        <w:rPr>
          <w:rFonts w:ascii="Times New Roman" w:hAnsi="Times New Roman" w:cs="Times New Roman"/>
        </w:rPr>
        <w:t xml:space="preserve"> used 0.04 mF.cm</w:t>
      </w:r>
      <w:r w:rsidRPr="009B1EEF">
        <w:rPr>
          <w:rFonts w:ascii="Times New Roman" w:hAnsi="Times New Roman" w:cs="Times New Roman"/>
          <w:vertAlign w:val="superscript"/>
        </w:rPr>
        <w:t>-2</w:t>
      </w:r>
      <w:r w:rsidRPr="009B1EEF">
        <w:rPr>
          <w:rFonts w:ascii="Times New Roman" w:hAnsi="Times New Roman" w:cs="Times New Roman"/>
        </w:rPr>
        <w:t xml:space="preserve"> for </w:t>
      </w:r>
      <w:r>
        <w:rPr>
          <w:rFonts w:ascii="Times New Roman" w:hAnsi="Times New Roman" w:cs="Times New Roman"/>
        </w:rPr>
        <w:t xml:space="preserve">all </w:t>
      </w:r>
      <w:r w:rsidRPr="009B1EEF">
        <w:rPr>
          <w:rFonts w:ascii="Times New Roman" w:hAnsi="Times New Roman" w:cs="Times New Roman"/>
        </w:rPr>
        <w:t xml:space="preserve">Ni and Co based alloys </w:t>
      </w:r>
      <w:r w:rsidRPr="009B1EEF">
        <w:rPr>
          <w:rFonts w:ascii="Times New Roman" w:hAnsi="Times New Roman" w:cs="Times New Roman"/>
          <w:b/>
          <w:bCs/>
        </w:rPr>
        <w:fldChar w:fldCharType="begin" w:fldLock="1"/>
      </w:r>
      <w:r w:rsidR="0096753A">
        <w:rPr>
          <w:rFonts w:ascii="Times New Roman" w:hAnsi="Times New Roman" w:cs="Times New Roman"/>
        </w:rPr>
        <w:instrText>ADDIN CSL_CITATION {"citationItems":[{"id":"ITEM-1","itemData":{"DOI":"10.1039/c7nj04941b","author":[{"dropping-particle":"","family":"Zhang","given":"Haixia","non-dropping-particle":"","parse-names":false,"suffix":""},{"dropping-particle":"","family":"Zheng","given":"Jianfeng","non-dropping-particle":"","parse-names":false,"suffix":""},{"dropping-particle":"","family":"Chao","given":"Yuguang","non-dropping-particle":"","parse-names":false,"suffix":""},{"dropping-particle":"","family":"Zhang","given":"Kangming","non-dropping-particle":"","parse-names":false,"suffix":""},{"dropping-particle":"","family":"Zhu","given":"Zhenping","non-dropping-particle":"","parse-names":false,"suffix":""}],"id":"ITEM-1","issued":{"date-parts":[["2018"]]},"page":"7254-7261","publisher":"Royal Society of Chemistry","title":"Surface engineering of FeCo-based electrocatalysts non-noble metals for water oxidation †","type":"article-journal"},"uris":["http://www.mendeley.com/documents/?uuid=8749f0a5-1c1b-4bd4-870d-4e51df9b1d7f"]}],"mendeley":{"formattedCitation":"&lt;sup&gt;10&lt;/sup&gt;","plainTextFormattedCitation":"10","previouslyFormattedCitation":"&lt;sup&gt;10&lt;/sup&gt;"},"properties":{"noteIndex":0},"schema":"https://github.com/citation-style-language/schema/raw/master/csl-citation.json"}</w:instrText>
      </w:r>
      <w:r w:rsidRPr="009B1EEF">
        <w:rPr>
          <w:rFonts w:ascii="Times New Roman" w:hAnsi="Times New Roman" w:cs="Times New Roman"/>
          <w:b/>
          <w:bCs/>
        </w:rPr>
        <w:fldChar w:fldCharType="separate"/>
      </w:r>
      <w:r w:rsidR="001067BB" w:rsidRPr="001067BB">
        <w:rPr>
          <w:rFonts w:ascii="Times New Roman" w:hAnsi="Times New Roman" w:cs="Times New Roman"/>
          <w:noProof/>
          <w:vertAlign w:val="superscript"/>
        </w:rPr>
        <w:t>10</w:t>
      </w:r>
      <w:r w:rsidRPr="009B1EEF">
        <w:rPr>
          <w:rFonts w:ascii="Times New Roman" w:hAnsi="Times New Roman" w:cs="Times New Roman"/>
          <w:b/>
          <w:bCs/>
        </w:rPr>
        <w:fldChar w:fldCharType="end"/>
      </w:r>
      <w:r>
        <w:rPr>
          <w:rFonts w:ascii="Times New Roman" w:hAnsi="Times New Roman" w:cs="Times New Roman"/>
          <w:b/>
          <w:bCs/>
        </w:rPr>
        <w:t>.</w:t>
      </w:r>
    </w:p>
    <w:p w14:paraId="07A7AC45" w14:textId="4D2BFCFB" w:rsidR="00F35D51" w:rsidRPr="009A60B1" w:rsidRDefault="00F35D51" w:rsidP="00F35D51">
      <w:pPr>
        <w:pStyle w:val="Caption"/>
        <w:keepNext/>
        <w:jc w:val="center"/>
        <w:rPr>
          <w:b w:val="0"/>
          <w:bCs w:val="0"/>
        </w:rPr>
      </w:pPr>
      <w:bookmarkStart w:id="4" w:name="_Toc19565984"/>
      <w:r w:rsidRPr="00E8138A">
        <w:t>Table S</w:t>
      </w:r>
      <w:r w:rsidR="00FF2D61">
        <w:fldChar w:fldCharType="begin"/>
      </w:r>
      <w:r w:rsidR="00FF2D61">
        <w:instrText xml:space="preserve"> SEQ Table_S \* ARABIC </w:instrText>
      </w:r>
      <w:r w:rsidR="00FF2D61">
        <w:fldChar w:fldCharType="separate"/>
      </w:r>
      <w:r>
        <w:rPr>
          <w:noProof/>
        </w:rPr>
        <w:t>3</w:t>
      </w:r>
      <w:r w:rsidR="00FF2D61">
        <w:rPr>
          <w:noProof/>
        </w:rPr>
        <w:fldChar w:fldCharType="end"/>
      </w:r>
      <w:r w:rsidR="002C0286">
        <w:rPr>
          <w:noProof/>
        </w:rPr>
        <w:t>.</w:t>
      </w:r>
      <w:r>
        <w:t xml:space="preserve"> </w:t>
      </w:r>
      <w:r w:rsidRPr="009A60B1">
        <w:rPr>
          <w:b w:val="0"/>
          <w:bCs w:val="0"/>
        </w:rPr>
        <w:t>A protocol to assess the electrocatalysts used for oxygen evolution reaction (OER)</w:t>
      </w:r>
      <w:bookmarkEnd w:id="4"/>
    </w:p>
    <w:tbl>
      <w:tblPr>
        <w:tblW w:w="8450" w:type="dxa"/>
        <w:jc w:val="center"/>
        <w:tblCellMar>
          <w:left w:w="0" w:type="dxa"/>
          <w:right w:w="0" w:type="dxa"/>
        </w:tblCellMar>
        <w:tblLook w:val="0420" w:firstRow="1" w:lastRow="0" w:firstColumn="0" w:lastColumn="0" w:noHBand="0" w:noVBand="1"/>
      </w:tblPr>
      <w:tblGrid>
        <w:gridCol w:w="390"/>
        <w:gridCol w:w="1890"/>
        <w:gridCol w:w="2349"/>
        <w:gridCol w:w="3821"/>
      </w:tblGrid>
      <w:tr w:rsidR="00F35D51" w:rsidRPr="00AD1BCC" w14:paraId="797206B7" w14:textId="77777777" w:rsidTr="00B05959">
        <w:trPr>
          <w:trHeight w:val="295"/>
          <w:jc w:val="center"/>
        </w:trPr>
        <w:tc>
          <w:tcPr>
            <w:tcW w:w="388" w:type="dxa"/>
            <w:tcBorders>
              <w:top w:val="single" w:sz="8" w:space="0" w:color="000000"/>
              <w:right w:val="nil"/>
            </w:tcBorders>
            <w:shd w:val="clear" w:color="auto" w:fill="C00000"/>
            <w:tcMar>
              <w:top w:w="72" w:type="dxa"/>
              <w:left w:w="144" w:type="dxa"/>
              <w:bottom w:w="72" w:type="dxa"/>
              <w:right w:w="144" w:type="dxa"/>
            </w:tcMar>
            <w:vAlign w:val="center"/>
            <w:hideMark/>
          </w:tcPr>
          <w:p w14:paraId="4688815F" w14:textId="77777777" w:rsidR="00F35D51" w:rsidRPr="00AD1BCC" w:rsidRDefault="00F35D51" w:rsidP="00B05959">
            <w:pPr>
              <w:jc w:val="center"/>
              <w:rPr>
                <w:b/>
                <w:bCs/>
                <w:sz w:val="20"/>
                <w:szCs w:val="20"/>
                <w:lang w:val="en-US"/>
              </w:rPr>
            </w:pPr>
            <w:r w:rsidRPr="00AD1BCC">
              <w:rPr>
                <w:b/>
                <w:bCs/>
                <w:sz w:val="20"/>
                <w:szCs w:val="20"/>
                <w:lang w:val="en-US"/>
              </w:rPr>
              <w:t>#</w:t>
            </w:r>
          </w:p>
        </w:tc>
        <w:tc>
          <w:tcPr>
            <w:tcW w:w="1735" w:type="dxa"/>
            <w:tcBorders>
              <w:top w:val="single" w:sz="8" w:space="0" w:color="000000"/>
              <w:left w:val="nil"/>
              <w:right w:val="nil"/>
            </w:tcBorders>
            <w:shd w:val="clear" w:color="auto" w:fill="C00000"/>
            <w:tcMar>
              <w:top w:w="72" w:type="dxa"/>
              <w:left w:w="144" w:type="dxa"/>
              <w:bottom w:w="72" w:type="dxa"/>
              <w:right w:w="144" w:type="dxa"/>
            </w:tcMar>
            <w:vAlign w:val="center"/>
            <w:hideMark/>
          </w:tcPr>
          <w:p w14:paraId="7DD7FD17" w14:textId="77777777" w:rsidR="00F35D51" w:rsidRPr="00AD1BCC" w:rsidRDefault="00F35D51" w:rsidP="00B05959">
            <w:pPr>
              <w:rPr>
                <w:b/>
                <w:bCs/>
                <w:sz w:val="20"/>
                <w:szCs w:val="20"/>
                <w:lang w:val="en-US"/>
              </w:rPr>
            </w:pPr>
            <w:r w:rsidRPr="00AD1BCC">
              <w:rPr>
                <w:b/>
                <w:bCs/>
                <w:sz w:val="20"/>
                <w:szCs w:val="20"/>
                <w:lang w:val="en-US"/>
              </w:rPr>
              <w:t>Process</w:t>
            </w:r>
          </w:p>
        </w:tc>
        <w:tc>
          <w:tcPr>
            <w:tcW w:w="2367" w:type="dxa"/>
            <w:tcBorders>
              <w:top w:val="single" w:sz="8" w:space="0" w:color="000000"/>
              <w:left w:val="nil"/>
              <w:right w:val="nil"/>
            </w:tcBorders>
            <w:shd w:val="clear" w:color="auto" w:fill="C00000"/>
            <w:tcMar>
              <w:top w:w="72" w:type="dxa"/>
              <w:left w:w="144" w:type="dxa"/>
              <w:bottom w:w="72" w:type="dxa"/>
              <w:right w:w="144" w:type="dxa"/>
            </w:tcMar>
            <w:vAlign w:val="center"/>
            <w:hideMark/>
          </w:tcPr>
          <w:p w14:paraId="6215448E" w14:textId="77777777" w:rsidR="00F35D51" w:rsidRPr="00AD1BCC" w:rsidRDefault="00F35D51" w:rsidP="00B05959">
            <w:pPr>
              <w:rPr>
                <w:b/>
                <w:bCs/>
                <w:sz w:val="20"/>
                <w:szCs w:val="20"/>
                <w:lang w:val="en-US"/>
              </w:rPr>
            </w:pPr>
            <w:r w:rsidRPr="00AD1BCC">
              <w:rPr>
                <w:b/>
                <w:bCs/>
                <w:sz w:val="20"/>
                <w:szCs w:val="20"/>
                <w:lang w:val="en-US"/>
              </w:rPr>
              <w:t>Method</w:t>
            </w:r>
          </w:p>
        </w:tc>
        <w:tc>
          <w:tcPr>
            <w:tcW w:w="3960" w:type="dxa"/>
            <w:tcBorders>
              <w:top w:val="single" w:sz="8" w:space="0" w:color="000000"/>
              <w:left w:val="nil"/>
            </w:tcBorders>
            <w:shd w:val="clear" w:color="auto" w:fill="C00000"/>
            <w:tcMar>
              <w:top w:w="72" w:type="dxa"/>
              <w:left w:w="144" w:type="dxa"/>
              <w:bottom w:w="72" w:type="dxa"/>
              <w:right w:w="144" w:type="dxa"/>
            </w:tcMar>
            <w:vAlign w:val="center"/>
            <w:hideMark/>
          </w:tcPr>
          <w:p w14:paraId="64F3D652" w14:textId="77777777" w:rsidR="00F35D51" w:rsidRPr="00AD1BCC" w:rsidRDefault="00F35D51" w:rsidP="00B05959">
            <w:pPr>
              <w:rPr>
                <w:b/>
                <w:bCs/>
                <w:sz w:val="20"/>
                <w:szCs w:val="20"/>
                <w:lang w:val="en-US"/>
              </w:rPr>
            </w:pPr>
            <w:r w:rsidRPr="00AD1BCC">
              <w:rPr>
                <w:b/>
                <w:bCs/>
                <w:sz w:val="20"/>
                <w:szCs w:val="20"/>
                <w:lang w:val="en-US"/>
              </w:rPr>
              <w:t>Parameters</w:t>
            </w:r>
          </w:p>
        </w:tc>
      </w:tr>
      <w:tr w:rsidR="00F35D51" w:rsidRPr="00AD1BCC" w14:paraId="17AA44F2" w14:textId="77777777" w:rsidTr="00B05959">
        <w:trPr>
          <w:trHeight w:val="920"/>
          <w:jc w:val="center"/>
        </w:trPr>
        <w:tc>
          <w:tcPr>
            <w:tcW w:w="388" w:type="dxa"/>
            <w:tcBorders>
              <w:top w:val="nil"/>
              <w:right w:val="nil"/>
            </w:tcBorders>
            <w:shd w:val="clear" w:color="auto" w:fill="FFFFFF" w:themeFill="background1"/>
            <w:tcMar>
              <w:top w:w="72" w:type="dxa"/>
              <w:left w:w="144" w:type="dxa"/>
              <w:bottom w:w="72" w:type="dxa"/>
              <w:right w:w="144" w:type="dxa"/>
            </w:tcMar>
            <w:vAlign w:val="center"/>
            <w:hideMark/>
          </w:tcPr>
          <w:p w14:paraId="26788F25" w14:textId="77777777" w:rsidR="00F35D51" w:rsidRPr="00AD1BCC" w:rsidRDefault="00F35D51" w:rsidP="00B05959">
            <w:pPr>
              <w:jc w:val="center"/>
              <w:rPr>
                <w:sz w:val="20"/>
                <w:szCs w:val="20"/>
                <w:lang w:val="en-US"/>
              </w:rPr>
            </w:pPr>
            <w:r w:rsidRPr="00AD1BCC">
              <w:rPr>
                <w:b/>
                <w:bCs/>
                <w:sz w:val="20"/>
                <w:szCs w:val="20"/>
                <w:lang w:val="en-US"/>
              </w:rPr>
              <w:t>1</w:t>
            </w:r>
          </w:p>
        </w:tc>
        <w:tc>
          <w:tcPr>
            <w:tcW w:w="1735" w:type="dxa"/>
            <w:tcBorders>
              <w:top w:val="nil"/>
              <w:left w:val="nil"/>
              <w:right w:val="nil"/>
            </w:tcBorders>
            <w:shd w:val="clear" w:color="auto" w:fill="FFFFFF" w:themeFill="background1"/>
            <w:tcMar>
              <w:top w:w="72" w:type="dxa"/>
              <w:left w:w="144" w:type="dxa"/>
              <w:bottom w:w="72" w:type="dxa"/>
              <w:right w:w="144" w:type="dxa"/>
            </w:tcMar>
            <w:vAlign w:val="center"/>
            <w:hideMark/>
          </w:tcPr>
          <w:p w14:paraId="7A18513C" w14:textId="77777777" w:rsidR="00F35D51" w:rsidRPr="00AD1BCC" w:rsidRDefault="00F35D51" w:rsidP="00B05959">
            <w:pPr>
              <w:rPr>
                <w:sz w:val="20"/>
                <w:szCs w:val="20"/>
                <w:lang w:val="en-US"/>
              </w:rPr>
            </w:pPr>
            <w:r w:rsidRPr="00AD1BCC">
              <w:rPr>
                <w:b/>
                <w:bCs/>
                <w:sz w:val="20"/>
                <w:szCs w:val="20"/>
                <w:lang w:val="en-US"/>
              </w:rPr>
              <w:t>Solution Resistance</w:t>
            </w:r>
          </w:p>
        </w:tc>
        <w:tc>
          <w:tcPr>
            <w:tcW w:w="2367" w:type="dxa"/>
            <w:tcBorders>
              <w:top w:val="nil"/>
              <w:left w:val="nil"/>
              <w:right w:val="nil"/>
            </w:tcBorders>
            <w:shd w:val="clear" w:color="auto" w:fill="FFFFFF" w:themeFill="background1"/>
            <w:tcMar>
              <w:top w:w="72" w:type="dxa"/>
              <w:left w:w="144" w:type="dxa"/>
              <w:bottom w:w="72" w:type="dxa"/>
              <w:right w:w="144" w:type="dxa"/>
            </w:tcMar>
            <w:vAlign w:val="center"/>
            <w:hideMark/>
          </w:tcPr>
          <w:p w14:paraId="11F15FFD" w14:textId="77777777" w:rsidR="00F35D51" w:rsidRPr="00AD1BCC" w:rsidRDefault="00F35D51" w:rsidP="00B05959">
            <w:pPr>
              <w:rPr>
                <w:sz w:val="20"/>
                <w:szCs w:val="20"/>
                <w:lang w:val="en-US"/>
              </w:rPr>
            </w:pPr>
            <w:r w:rsidRPr="00AD1BCC">
              <w:rPr>
                <w:sz w:val="20"/>
                <w:szCs w:val="20"/>
                <w:lang w:val="en-US"/>
              </w:rPr>
              <w:t>Electro</w:t>
            </w:r>
            <w:r>
              <w:rPr>
                <w:sz w:val="20"/>
                <w:szCs w:val="20"/>
                <w:lang w:val="en-US"/>
              </w:rPr>
              <w:t xml:space="preserve">chemical </w:t>
            </w:r>
            <w:r w:rsidRPr="00AD1BCC">
              <w:rPr>
                <w:sz w:val="20"/>
                <w:szCs w:val="20"/>
                <w:lang w:val="en-US"/>
              </w:rPr>
              <w:t>Impedance Spectroscopy</w:t>
            </w:r>
          </w:p>
        </w:tc>
        <w:tc>
          <w:tcPr>
            <w:tcW w:w="3960" w:type="dxa"/>
            <w:tcBorders>
              <w:top w:val="nil"/>
              <w:left w:val="nil"/>
            </w:tcBorders>
            <w:shd w:val="clear" w:color="auto" w:fill="FFFFFF" w:themeFill="background1"/>
            <w:tcMar>
              <w:top w:w="72" w:type="dxa"/>
              <w:left w:w="144" w:type="dxa"/>
              <w:bottom w:w="72" w:type="dxa"/>
              <w:right w:w="144" w:type="dxa"/>
            </w:tcMar>
            <w:vAlign w:val="center"/>
            <w:hideMark/>
          </w:tcPr>
          <w:p w14:paraId="73FC23AE" w14:textId="77777777" w:rsidR="00F35D51" w:rsidRDefault="00F35D51" w:rsidP="00B05959">
            <w:pPr>
              <w:numPr>
                <w:ilvl w:val="0"/>
                <w:numId w:val="3"/>
              </w:numPr>
              <w:tabs>
                <w:tab w:val="left" w:pos="390"/>
              </w:tabs>
              <w:ind w:hanging="720"/>
              <w:rPr>
                <w:sz w:val="20"/>
                <w:szCs w:val="20"/>
                <w:lang w:val="en-US"/>
              </w:rPr>
            </w:pPr>
            <w:r w:rsidRPr="00AD1BCC">
              <w:rPr>
                <w:sz w:val="20"/>
                <w:szCs w:val="20"/>
                <w:lang w:val="en-US"/>
              </w:rPr>
              <w:t xml:space="preserve">1 MHz – 1 </w:t>
            </w:r>
            <w:r>
              <w:rPr>
                <w:sz w:val="20"/>
                <w:szCs w:val="20"/>
                <w:lang w:val="en-US"/>
              </w:rPr>
              <w:t>k</w:t>
            </w:r>
            <w:r w:rsidRPr="00AD1BCC">
              <w:rPr>
                <w:sz w:val="20"/>
                <w:szCs w:val="20"/>
                <w:lang w:val="en-US"/>
              </w:rPr>
              <w:t>Hz</w:t>
            </w:r>
          </w:p>
          <w:p w14:paraId="2AF1C1F3" w14:textId="77777777" w:rsidR="00F35D51" w:rsidRPr="00AD1BCC" w:rsidRDefault="00F35D51" w:rsidP="00B05959">
            <w:pPr>
              <w:numPr>
                <w:ilvl w:val="0"/>
                <w:numId w:val="3"/>
              </w:numPr>
              <w:tabs>
                <w:tab w:val="left" w:pos="390"/>
              </w:tabs>
              <w:ind w:hanging="720"/>
              <w:rPr>
                <w:sz w:val="20"/>
                <w:szCs w:val="20"/>
                <w:lang w:val="en-US"/>
              </w:rPr>
            </w:pPr>
            <w:r>
              <w:rPr>
                <w:sz w:val="20"/>
                <w:szCs w:val="20"/>
                <w:lang w:val="en-US"/>
              </w:rPr>
              <w:t>Amplitude 1 mV</w:t>
            </w:r>
          </w:p>
        </w:tc>
      </w:tr>
      <w:tr w:rsidR="00F35D51" w:rsidRPr="00AD1BCC" w14:paraId="037D4327" w14:textId="77777777" w:rsidTr="00B05959">
        <w:trPr>
          <w:trHeight w:val="920"/>
          <w:jc w:val="center"/>
        </w:trPr>
        <w:tc>
          <w:tcPr>
            <w:tcW w:w="388" w:type="dxa"/>
            <w:tcBorders>
              <w:right w:val="nil"/>
            </w:tcBorders>
            <w:shd w:val="clear" w:color="auto" w:fill="FFFFFF" w:themeFill="background1"/>
            <w:tcMar>
              <w:top w:w="72" w:type="dxa"/>
              <w:left w:w="144" w:type="dxa"/>
              <w:bottom w:w="72" w:type="dxa"/>
              <w:right w:w="144" w:type="dxa"/>
            </w:tcMar>
            <w:vAlign w:val="center"/>
            <w:hideMark/>
          </w:tcPr>
          <w:p w14:paraId="7A23BE32" w14:textId="77777777" w:rsidR="00F35D51" w:rsidRPr="00AD1BCC" w:rsidRDefault="00F35D51" w:rsidP="00B05959">
            <w:pPr>
              <w:jc w:val="center"/>
              <w:rPr>
                <w:sz w:val="20"/>
                <w:szCs w:val="20"/>
                <w:lang w:val="en-US"/>
              </w:rPr>
            </w:pPr>
            <w:r w:rsidRPr="00AD1BCC">
              <w:rPr>
                <w:b/>
                <w:bCs/>
                <w:sz w:val="20"/>
                <w:szCs w:val="20"/>
                <w:lang w:val="en-US"/>
              </w:rPr>
              <w:t>2</w:t>
            </w:r>
          </w:p>
        </w:tc>
        <w:tc>
          <w:tcPr>
            <w:tcW w:w="1735" w:type="dxa"/>
            <w:tcBorders>
              <w:left w:val="nil"/>
              <w:right w:val="nil"/>
            </w:tcBorders>
            <w:shd w:val="clear" w:color="auto" w:fill="FFFFFF" w:themeFill="background1"/>
            <w:tcMar>
              <w:top w:w="72" w:type="dxa"/>
              <w:left w:w="144" w:type="dxa"/>
              <w:bottom w:w="72" w:type="dxa"/>
              <w:right w:w="144" w:type="dxa"/>
            </w:tcMar>
            <w:vAlign w:val="center"/>
            <w:hideMark/>
          </w:tcPr>
          <w:p w14:paraId="48446C8A" w14:textId="77777777" w:rsidR="00F35D51" w:rsidRPr="00AD1BCC" w:rsidRDefault="00F35D51" w:rsidP="00B05959">
            <w:pPr>
              <w:rPr>
                <w:sz w:val="20"/>
                <w:szCs w:val="20"/>
                <w:lang w:val="en-US"/>
              </w:rPr>
            </w:pPr>
            <w:r>
              <w:rPr>
                <w:b/>
                <w:bCs/>
                <w:sz w:val="20"/>
                <w:szCs w:val="20"/>
                <w:lang w:val="en-US"/>
              </w:rPr>
              <w:t>Activation/</w:t>
            </w:r>
            <w:r w:rsidRPr="00AD1BCC">
              <w:rPr>
                <w:b/>
                <w:bCs/>
                <w:sz w:val="20"/>
                <w:szCs w:val="20"/>
                <w:lang w:val="en-US"/>
              </w:rPr>
              <w:t>Catalyst Fingerprint</w:t>
            </w:r>
          </w:p>
        </w:tc>
        <w:tc>
          <w:tcPr>
            <w:tcW w:w="2367" w:type="dxa"/>
            <w:tcBorders>
              <w:left w:val="nil"/>
              <w:right w:val="nil"/>
            </w:tcBorders>
            <w:shd w:val="clear" w:color="auto" w:fill="FFFFFF" w:themeFill="background1"/>
            <w:tcMar>
              <w:top w:w="72" w:type="dxa"/>
              <w:left w:w="144" w:type="dxa"/>
              <w:bottom w:w="72" w:type="dxa"/>
              <w:right w:w="144" w:type="dxa"/>
            </w:tcMar>
            <w:vAlign w:val="center"/>
            <w:hideMark/>
          </w:tcPr>
          <w:p w14:paraId="0404C506" w14:textId="77777777" w:rsidR="00F35D51" w:rsidRPr="00AD1BCC" w:rsidRDefault="00F35D51" w:rsidP="00B05959">
            <w:pPr>
              <w:rPr>
                <w:sz w:val="20"/>
                <w:szCs w:val="20"/>
                <w:lang w:val="en-US"/>
              </w:rPr>
            </w:pPr>
            <w:r w:rsidRPr="00AD1BCC">
              <w:rPr>
                <w:sz w:val="20"/>
                <w:szCs w:val="20"/>
                <w:lang w:val="en-US"/>
              </w:rPr>
              <w:t>Cyclic Voltammetry</w:t>
            </w:r>
          </w:p>
        </w:tc>
        <w:tc>
          <w:tcPr>
            <w:tcW w:w="3960" w:type="dxa"/>
            <w:tcBorders>
              <w:left w:val="nil"/>
            </w:tcBorders>
            <w:shd w:val="clear" w:color="auto" w:fill="FFFFFF" w:themeFill="background1"/>
            <w:tcMar>
              <w:top w:w="72" w:type="dxa"/>
              <w:left w:w="144" w:type="dxa"/>
              <w:bottom w:w="72" w:type="dxa"/>
              <w:right w:w="144" w:type="dxa"/>
            </w:tcMar>
            <w:vAlign w:val="center"/>
            <w:hideMark/>
          </w:tcPr>
          <w:p w14:paraId="46073751" w14:textId="77777777" w:rsidR="00F35D51" w:rsidRPr="00AD1BCC" w:rsidRDefault="00F35D51" w:rsidP="00B05959">
            <w:pPr>
              <w:numPr>
                <w:ilvl w:val="0"/>
                <w:numId w:val="4"/>
              </w:numPr>
              <w:tabs>
                <w:tab w:val="left" w:pos="390"/>
              </w:tabs>
              <w:ind w:hanging="720"/>
              <w:rPr>
                <w:sz w:val="20"/>
                <w:szCs w:val="20"/>
                <w:lang w:val="en-US"/>
              </w:rPr>
            </w:pPr>
            <w:r w:rsidRPr="00AD1BCC">
              <w:rPr>
                <w:sz w:val="20"/>
                <w:szCs w:val="20"/>
                <w:lang w:val="en-US"/>
              </w:rPr>
              <w:t xml:space="preserve">Cycles </w:t>
            </w:r>
            <w:r>
              <w:rPr>
                <w:sz w:val="20"/>
                <w:szCs w:val="20"/>
                <w:lang w:val="en-US"/>
              </w:rPr>
              <w:t xml:space="preserve">= </w:t>
            </w:r>
            <w:r w:rsidRPr="00AD1BCC">
              <w:rPr>
                <w:sz w:val="20"/>
                <w:szCs w:val="20"/>
                <w:lang w:val="en-US"/>
              </w:rPr>
              <w:t>3</w:t>
            </w:r>
          </w:p>
          <w:p w14:paraId="1DE20AD9" w14:textId="77777777" w:rsidR="00F35D51" w:rsidRPr="00AD1BCC" w:rsidRDefault="00F35D51" w:rsidP="00B05959">
            <w:pPr>
              <w:numPr>
                <w:ilvl w:val="0"/>
                <w:numId w:val="4"/>
              </w:numPr>
              <w:tabs>
                <w:tab w:val="left" w:pos="390"/>
              </w:tabs>
              <w:ind w:hanging="720"/>
              <w:rPr>
                <w:sz w:val="20"/>
                <w:szCs w:val="20"/>
                <w:lang w:val="en-US"/>
              </w:rPr>
            </w:pPr>
            <w:r w:rsidRPr="00AD1BCC">
              <w:rPr>
                <w:sz w:val="20"/>
                <w:szCs w:val="20"/>
                <w:lang w:val="en-US"/>
              </w:rPr>
              <w:t xml:space="preserve">Potential </w:t>
            </w:r>
            <w:r>
              <w:rPr>
                <w:sz w:val="20"/>
                <w:szCs w:val="20"/>
                <w:lang w:val="en-US"/>
              </w:rPr>
              <w:t xml:space="preserve">= </w:t>
            </w:r>
            <w:r w:rsidRPr="00AD1BCC">
              <w:rPr>
                <w:sz w:val="20"/>
                <w:szCs w:val="20"/>
                <w:lang w:val="en-US"/>
              </w:rPr>
              <w:t>0-1.6 V</w:t>
            </w:r>
            <w:r>
              <w:rPr>
                <w:sz w:val="20"/>
                <w:szCs w:val="20"/>
                <w:lang w:val="en-US"/>
              </w:rPr>
              <w:t xml:space="preserve"> vs RHE</w:t>
            </w:r>
          </w:p>
          <w:p w14:paraId="03C6FA4E" w14:textId="77777777" w:rsidR="00F35D51" w:rsidRPr="00AD1BCC" w:rsidRDefault="00F35D51" w:rsidP="00B05959">
            <w:pPr>
              <w:numPr>
                <w:ilvl w:val="0"/>
                <w:numId w:val="4"/>
              </w:numPr>
              <w:tabs>
                <w:tab w:val="left" w:pos="390"/>
              </w:tabs>
              <w:ind w:hanging="720"/>
              <w:rPr>
                <w:sz w:val="20"/>
                <w:szCs w:val="20"/>
                <w:lang w:val="en-US"/>
              </w:rPr>
            </w:pPr>
            <w:r w:rsidRPr="00AD1BCC">
              <w:rPr>
                <w:sz w:val="20"/>
                <w:szCs w:val="20"/>
                <w:lang w:val="en-US"/>
              </w:rPr>
              <w:t>Speed</w:t>
            </w:r>
            <w:r>
              <w:rPr>
                <w:sz w:val="20"/>
                <w:szCs w:val="20"/>
                <w:lang w:val="en-US"/>
              </w:rPr>
              <w:t xml:space="preserve"> = </w:t>
            </w:r>
            <w:r w:rsidRPr="00AD1BCC">
              <w:rPr>
                <w:sz w:val="20"/>
                <w:szCs w:val="20"/>
                <w:lang w:val="en-US"/>
              </w:rPr>
              <w:t>50 mV.s</w:t>
            </w:r>
            <w:r w:rsidRPr="00AD1BCC">
              <w:rPr>
                <w:sz w:val="20"/>
                <w:szCs w:val="20"/>
                <w:vertAlign w:val="superscript"/>
                <w:lang w:val="en-US"/>
              </w:rPr>
              <w:t>-1</w:t>
            </w:r>
          </w:p>
        </w:tc>
      </w:tr>
      <w:tr w:rsidR="00F35D51" w:rsidRPr="00AD1BCC" w14:paraId="3657DB27" w14:textId="77777777" w:rsidTr="00B05959">
        <w:trPr>
          <w:trHeight w:val="565"/>
          <w:jc w:val="center"/>
        </w:trPr>
        <w:tc>
          <w:tcPr>
            <w:tcW w:w="388" w:type="dxa"/>
            <w:tcBorders>
              <w:right w:val="nil"/>
            </w:tcBorders>
            <w:shd w:val="clear" w:color="auto" w:fill="FFFFFF" w:themeFill="background1"/>
            <w:tcMar>
              <w:top w:w="72" w:type="dxa"/>
              <w:left w:w="144" w:type="dxa"/>
              <w:bottom w:w="72" w:type="dxa"/>
              <w:right w:w="144" w:type="dxa"/>
            </w:tcMar>
            <w:vAlign w:val="center"/>
            <w:hideMark/>
          </w:tcPr>
          <w:p w14:paraId="7785E736" w14:textId="77777777" w:rsidR="00F35D51" w:rsidRPr="00AD1BCC" w:rsidRDefault="00F35D51" w:rsidP="00B05959">
            <w:pPr>
              <w:jc w:val="center"/>
              <w:rPr>
                <w:sz w:val="20"/>
                <w:szCs w:val="20"/>
                <w:lang w:val="en-US"/>
              </w:rPr>
            </w:pPr>
            <w:r w:rsidRPr="00AD1BCC">
              <w:rPr>
                <w:b/>
                <w:bCs/>
                <w:sz w:val="20"/>
                <w:szCs w:val="20"/>
                <w:lang w:val="en-US"/>
              </w:rPr>
              <w:t>3</w:t>
            </w:r>
          </w:p>
        </w:tc>
        <w:tc>
          <w:tcPr>
            <w:tcW w:w="1735" w:type="dxa"/>
            <w:tcBorders>
              <w:left w:val="nil"/>
              <w:right w:val="nil"/>
            </w:tcBorders>
            <w:shd w:val="clear" w:color="auto" w:fill="FFFFFF" w:themeFill="background1"/>
            <w:tcMar>
              <w:top w:w="72" w:type="dxa"/>
              <w:left w:w="144" w:type="dxa"/>
              <w:bottom w:w="72" w:type="dxa"/>
              <w:right w:w="144" w:type="dxa"/>
            </w:tcMar>
            <w:vAlign w:val="center"/>
            <w:hideMark/>
          </w:tcPr>
          <w:p w14:paraId="6703FDB9" w14:textId="77777777" w:rsidR="00F35D51" w:rsidRPr="00AD1BCC" w:rsidRDefault="00F35D51" w:rsidP="00B05959">
            <w:pPr>
              <w:rPr>
                <w:sz w:val="20"/>
                <w:szCs w:val="20"/>
                <w:lang w:val="en-US"/>
              </w:rPr>
            </w:pPr>
            <w:r w:rsidRPr="00AD1BCC">
              <w:rPr>
                <w:b/>
                <w:bCs/>
                <w:sz w:val="20"/>
                <w:szCs w:val="20"/>
                <w:lang w:val="en-US"/>
              </w:rPr>
              <w:t>ECSA</w:t>
            </w:r>
          </w:p>
        </w:tc>
        <w:tc>
          <w:tcPr>
            <w:tcW w:w="2367" w:type="dxa"/>
            <w:tcBorders>
              <w:left w:val="nil"/>
              <w:right w:val="nil"/>
            </w:tcBorders>
            <w:shd w:val="clear" w:color="auto" w:fill="FFFFFF" w:themeFill="background1"/>
            <w:tcMar>
              <w:top w:w="72" w:type="dxa"/>
              <w:left w:w="144" w:type="dxa"/>
              <w:bottom w:w="72" w:type="dxa"/>
              <w:right w:w="144" w:type="dxa"/>
            </w:tcMar>
            <w:vAlign w:val="center"/>
            <w:hideMark/>
          </w:tcPr>
          <w:p w14:paraId="1F298CD5" w14:textId="77777777" w:rsidR="00F35D51" w:rsidRPr="00AD1BCC" w:rsidRDefault="00F35D51" w:rsidP="00B05959">
            <w:pPr>
              <w:rPr>
                <w:sz w:val="20"/>
                <w:szCs w:val="20"/>
                <w:lang w:val="en-US"/>
              </w:rPr>
            </w:pPr>
            <w:r w:rsidRPr="00AD1BCC">
              <w:rPr>
                <w:sz w:val="20"/>
                <w:szCs w:val="20"/>
                <w:lang w:val="en-US"/>
              </w:rPr>
              <w:t>Cyclic Voltammetry</w:t>
            </w:r>
          </w:p>
        </w:tc>
        <w:tc>
          <w:tcPr>
            <w:tcW w:w="3960" w:type="dxa"/>
            <w:tcBorders>
              <w:left w:val="nil"/>
            </w:tcBorders>
            <w:shd w:val="clear" w:color="auto" w:fill="FFFFFF" w:themeFill="background1"/>
            <w:tcMar>
              <w:top w:w="72" w:type="dxa"/>
              <w:left w:w="144" w:type="dxa"/>
              <w:bottom w:w="72" w:type="dxa"/>
              <w:right w:w="144" w:type="dxa"/>
            </w:tcMar>
            <w:vAlign w:val="center"/>
            <w:hideMark/>
          </w:tcPr>
          <w:p w14:paraId="180C8D11" w14:textId="77777777" w:rsidR="00F35D51" w:rsidRPr="00AD1BCC" w:rsidRDefault="00F35D51" w:rsidP="00B05959">
            <w:pPr>
              <w:numPr>
                <w:ilvl w:val="0"/>
                <w:numId w:val="5"/>
              </w:numPr>
              <w:tabs>
                <w:tab w:val="left" w:pos="390"/>
              </w:tabs>
              <w:ind w:hanging="720"/>
              <w:rPr>
                <w:sz w:val="20"/>
                <w:szCs w:val="20"/>
                <w:lang w:val="en-US"/>
              </w:rPr>
            </w:pPr>
            <w:r w:rsidRPr="00AD1BCC">
              <w:rPr>
                <w:sz w:val="20"/>
                <w:szCs w:val="20"/>
                <w:lang w:val="en-US"/>
              </w:rPr>
              <w:t>Potential</w:t>
            </w:r>
            <w:r>
              <w:rPr>
                <w:sz w:val="20"/>
                <w:szCs w:val="20"/>
                <w:lang w:val="en-US"/>
              </w:rPr>
              <w:t xml:space="preserve"> = </w:t>
            </w:r>
            <w:r w:rsidRPr="00AD1BCC">
              <w:rPr>
                <w:sz w:val="20"/>
                <w:szCs w:val="20"/>
                <w:lang w:val="en-US"/>
              </w:rPr>
              <w:t>0</w:t>
            </w:r>
            <w:r>
              <w:rPr>
                <w:sz w:val="20"/>
                <w:szCs w:val="20"/>
                <w:lang w:val="en-US"/>
              </w:rPr>
              <w:t>.95</w:t>
            </w:r>
            <w:r w:rsidRPr="00AD1BCC">
              <w:rPr>
                <w:sz w:val="20"/>
                <w:szCs w:val="20"/>
                <w:lang w:val="en-US"/>
              </w:rPr>
              <w:t>-1 V</w:t>
            </w:r>
            <w:r>
              <w:rPr>
                <w:sz w:val="20"/>
                <w:szCs w:val="20"/>
                <w:lang w:val="en-US"/>
              </w:rPr>
              <w:t xml:space="preserve"> vs RHE</w:t>
            </w:r>
          </w:p>
          <w:p w14:paraId="348C75CE" w14:textId="77777777" w:rsidR="00F35D51" w:rsidRPr="00AD1BCC" w:rsidRDefault="00F35D51" w:rsidP="00B05959">
            <w:pPr>
              <w:numPr>
                <w:ilvl w:val="0"/>
                <w:numId w:val="5"/>
              </w:numPr>
              <w:tabs>
                <w:tab w:val="left" w:pos="390"/>
              </w:tabs>
              <w:ind w:hanging="720"/>
              <w:rPr>
                <w:sz w:val="20"/>
                <w:szCs w:val="20"/>
                <w:lang w:val="en-US"/>
              </w:rPr>
            </w:pPr>
            <w:r w:rsidRPr="00AD1BCC">
              <w:rPr>
                <w:sz w:val="20"/>
                <w:szCs w:val="20"/>
                <w:lang w:val="en-US"/>
              </w:rPr>
              <w:t>Speed</w:t>
            </w:r>
            <w:r>
              <w:rPr>
                <w:sz w:val="20"/>
                <w:szCs w:val="20"/>
                <w:lang w:val="en-US"/>
              </w:rPr>
              <w:t xml:space="preserve"> = </w:t>
            </w:r>
            <w:r w:rsidRPr="00AD1BCC">
              <w:rPr>
                <w:sz w:val="20"/>
                <w:szCs w:val="20"/>
                <w:lang w:val="en-US"/>
              </w:rPr>
              <w:t xml:space="preserve">20, 40, 60, </w:t>
            </w:r>
            <w:r>
              <w:rPr>
                <w:sz w:val="20"/>
                <w:szCs w:val="20"/>
                <w:lang w:val="en-US"/>
              </w:rPr>
              <w:t xml:space="preserve">80, </w:t>
            </w:r>
            <w:r w:rsidRPr="00AD1BCC">
              <w:rPr>
                <w:sz w:val="20"/>
                <w:szCs w:val="20"/>
                <w:lang w:val="en-US"/>
              </w:rPr>
              <w:t>100 mV.s</w:t>
            </w:r>
            <w:r w:rsidRPr="00AD1BCC">
              <w:rPr>
                <w:sz w:val="20"/>
                <w:szCs w:val="20"/>
                <w:vertAlign w:val="superscript"/>
                <w:lang w:val="en-US"/>
              </w:rPr>
              <w:t>-1</w:t>
            </w:r>
          </w:p>
          <w:p w14:paraId="0B903542" w14:textId="77777777" w:rsidR="00F35D51" w:rsidRPr="00AD1BCC" w:rsidRDefault="00F35D51" w:rsidP="00B05959">
            <w:pPr>
              <w:numPr>
                <w:ilvl w:val="0"/>
                <w:numId w:val="5"/>
              </w:numPr>
              <w:tabs>
                <w:tab w:val="left" w:pos="390"/>
              </w:tabs>
              <w:ind w:hanging="720"/>
              <w:rPr>
                <w:sz w:val="20"/>
                <w:szCs w:val="20"/>
                <w:lang w:val="en-US"/>
              </w:rPr>
            </w:pPr>
            <w:r w:rsidRPr="00AD1BCC">
              <w:rPr>
                <w:sz w:val="20"/>
                <w:szCs w:val="20"/>
                <w:lang w:val="en-US"/>
              </w:rPr>
              <w:t>Cycles</w:t>
            </w:r>
            <w:r>
              <w:rPr>
                <w:sz w:val="20"/>
                <w:szCs w:val="20"/>
                <w:lang w:val="en-US"/>
              </w:rPr>
              <w:t xml:space="preserve"> = </w:t>
            </w:r>
            <w:r w:rsidRPr="00AD1BCC">
              <w:rPr>
                <w:sz w:val="20"/>
                <w:szCs w:val="20"/>
                <w:lang w:val="en-US"/>
              </w:rPr>
              <w:t>3</w:t>
            </w:r>
          </w:p>
        </w:tc>
      </w:tr>
      <w:tr w:rsidR="00F35D51" w:rsidRPr="00AD1BCC" w14:paraId="0D74714A" w14:textId="77777777" w:rsidTr="00B05959">
        <w:trPr>
          <w:trHeight w:val="920"/>
          <w:jc w:val="center"/>
        </w:trPr>
        <w:tc>
          <w:tcPr>
            <w:tcW w:w="388" w:type="dxa"/>
            <w:tcBorders>
              <w:right w:val="nil"/>
            </w:tcBorders>
            <w:shd w:val="clear" w:color="auto" w:fill="FFFFFF" w:themeFill="background1"/>
            <w:tcMar>
              <w:top w:w="72" w:type="dxa"/>
              <w:left w:w="144" w:type="dxa"/>
              <w:bottom w:w="72" w:type="dxa"/>
              <w:right w:w="144" w:type="dxa"/>
            </w:tcMar>
            <w:vAlign w:val="center"/>
            <w:hideMark/>
          </w:tcPr>
          <w:p w14:paraId="637F2728" w14:textId="77777777" w:rsidR="00F35D51" w:rsidRPr="00AD1BCC" w:rsidRDefault="00F35D51" w:rsidP="00B05959">
            <w:pPr>
              <w:jc w:val="center"/>
              <w:rPr>
                <w:sz w:val="20"/>
                <w:szCs w:val="20"/>
                <w:lang w:val="en-US"/>
              </w:rPr>
            </w:pPr>
            <w:r w:rsidRPr="00AD1BCC">
              <w:rPr>
                <w:b/>
                <w:bCs/>
                <w:sz w:val="20"/>
                <w:szCs w:val="20"/>
                <w:lang w:val="en-US"/>
              </w:rPr>
              <w:t>4</w:t>
            </w:r>
          </w:p>
        </w:tc>
        <w:tc>
          <w:tcPr>
            <w:tcW w:w="1735" w:type="dxa"/>
            <w:tcBorders>
              <w:left w:val="nil"/>
              <w:right w:val="nil"/>
            </w:tcBorders>
            <w:shd w:val="clear" w:color="auto" w:fill="FFFFFF" w:themeFill="background1"/>
            <w:tcMar>
              <w:top w:w="72" w:type="dxa"/>
              <w:left w:w="144" w:type="dxa"/>
              <w:bottom w:w="72" w:type="dxa"/>
              <w:right w:w="144" w:type="dxa"/>
            </w:tcMar>
            <w:vAlign w:val="center"/>
            <w:hideMark/>
          </w:tcPr>
          <w:p w14:paraId="200E0805" w14:textId="77777777" w:rsidR="00F35D51" w:rsidRPr="00AD1BCC" w:rsidRDefault="00F35D51" w:rsidP="00B05959">
            <w:pPr>
              <w:rPr>
                <w:sz w:val="20"/>
                <w:szCs w:val="20"/>
                <w:lang w:val="en-US"/>
              </w:rPr>
            </w:pPr>
            <w:r w:rsidRPr="00AD1BCC">
              <w:rPr>
                <w:b/>
                <w:bCs/>
                <w:sz w:val="20"/>
                <w:szCs w:val="20"/>
                <w:lang w:val="en-US"/>
              </w:rPr>
              <w:t>Activity and Mechanism</w:t>
            </w:r>
          </w:p>
        </w:tc>
        <w:tc>
          <w:tcPr>
            <w:tcW w:w="2367" w:type="dxa"/>
            <w:tcBorders>
              <w:left w:val="nil"/>
              <w:right w:val="nil"/>
            </w:tcBorders>
            <w:shd w:val="clear" w:color="auto" w:fill="FFFFFF" w:themeFill="background1"/>
            <w:tcMar>
              <w:top w:w="72" w:type="dxa"/>
              <w:left w:w="144" w:type="dxa"/>
              <w:bottom w:w="72" w:type="dxa"/>
              <w:right w:w="144" w:type="dxa"/>
            </w:tcMar>
            <w:vAlign w:val="center"/>
            <w:hideMark/>
          </w:tcPr>
          <w:p w14:paraId="55565D2A" w14:textId="77777777" w:rsidR="00F35D51" w:rsidRPr="00AD1BCC" w:rsidRDefault="00F35D51" w:rsidP="00B05959">
            <w:pPr>
              <w:rPr>
                <w:sz w:val="20"/>
                <w:szCs w:val="20"/>
                <w:lang w:val="en-US"/>
              </w:rPr>
            </w:pPr>
            <w:r w:rsidRPr="00AD1BCC">
              <w:rPr>
                <w:sz w:val="20"/>
                <w:szCs w:val="20"/>
                <w:lang w:val="en-US"/>
              </w:rPr>
              <w:t>Linear Sweep Voltammetry</w:t>
            </w:r>
          </w:p>
        </w:tc>
        <w:tc>
          <w:tcPr>
            <w:tcW w:w="3960" w:type="dxa"/>
            <w:tcBorders>
              <w:left w:val="nil"/>
            </w:tcBorders>
            <w:shd w:val="clear" w:color="auto" w:fill="FFFFFF" w:themeFill="background1"/>
            <w:tcMar>
              <w:top w:w="72" w:type="dxa"/>
              <w:left w:w="144" w:type="dxa"/>
              <w:bottom w:w="72" w:type="dxa"/>
              <w:right w:w="144" w:type="dxa"/>
            </w:tcMar>
            <w:vAlign w:val="center"/>
            <w:hideMark/>
          </w:tcPr>
          <w:p w14:paraId="6D40FAAF" w14:textId="77777777" w:rsidR="00F35D51" w:rsidRPr="00AD1BCC" w:rsidRDefault="00F35D51" w:rsidP="00B05959">
            <w:pPr>
              <w:numPr>
                <w:ilvl w:val="0"/>
                <w:numId w:val="6"/>
              </w:numPr>
              <w:tabs>
                <w:tab w:val="left" w:pos="390"/>
              </w:tabs>
              <w:ind w:hanging="720"/>
              <w:rPr>
                <w:sz w:val="20"/>
                <w:szCs w:val="20"/>
                <w:lang w:val="en-US"/>
              </w:rPr>
            </w:pPr>
            <w:r w:rsidRPr="00AD1BCC">
              <w:rPr>
                <w:sz w:val="20"/>
                <w:szCs w:val="20"/>
                <w:lang w:val="en-US"/>
              </w:rPr>
              <w:t>Potential</w:t>
            </w:r>
            <w:r>
              <w:rPr>
                <w:sz w:val="20"/>
                <w:szCs w:val="20"/>
                <w:lang w:val="en-US"/>
              </w:rPr>
              <w:t xml:space="preserve"> = </w:t>
            </w:r>
            <w:r w:rsidRPr="00AD1BCC">
              <w:rPr>
                <w:sz w:val="20"/>
                <w:szCs w:val="20"/>
                <w:lang w:val="en-US"/>
              </w:rPr>
              <w:t>0-1.6 V</w:t>
            </w:r>
            <w:r>
              <w:rPr>
                <w:sz w:val="20"/>
                <w:szCs w:val="20"/>
                <w:lang w:val="en-US"/>
              </w:rPr>
              <w:t xml:space="preserve"> vs RHE</w:t>
            </w:r>
          </w:p>
          <w:p w14:paraId="70DDF106" w14:textId="77777777" w:rsidR="00F35D51" w:rsidRPr="00AD1BCC" w:rsidRDefault="00F35D51" w:rsidP="00B05959">
            <w:pPr>
              <w:numPr>
                <w:ilvl w:val="0"/>
                <w:numId w:val="6"/>
              </w:numPr>
              <w:tabs>
                <w:tab w:val="left" w:pos="390"/>
              </w:tabs>
              <w:ind w:hanging="720"/>
              <w:rPr>
                <w:sz w:val="20"/>
                <w:szCs w:val="20"/>
                <w:lang w:val="en-US"/>
              </w:rPr>
            </w:pPr>
            <w:r w:rsidRPr="00AD1BCC">
              <w:rPr>
                <w:sz w:val="20"/>
                <w:szCs w:val="20"/>
                <w:lang w:val="en-US"/>
              </w:rPr>
              <w:t xml:space="preserve">Speed </w:t>
            </w:r>
            <w:r>
              <w:rPr>
                <w:sz w:val="20"/>
                <w:szCs w:val="20"/>
                <w:lang w:val="en-US"/>
              </w:rPr>
              <w:t xml:space="preserve">= </w:t>
            </w:r>
            <w:r w:rsidRPr="00AD1BCC">
              <w:rPr>
                <w:sz w:val="20"/>
                <w:szCs w:val="20"/>
                <w:lang w:val="en-US"/>
              </w:rPr>
              <w:t>1 mV.s</w:t>
            </w:r>
            <w:r w:rsidRPr="00AD1BCC">
              <w:rPr>
                <w:sz w:val="20"/>
                <w:szCs w:val="20"/>
                <w:vertAlign w:val="superscript"/>
                <w:lang w:val="en-US"/>
              </w:rPr>
              <w:t>-1</w:t>
            </w:r>
          </w:p>
        </w:tc>
      </w:tr>
      <w:tr w:rsidR="00F35D51" w:rsidRPr="00AD1BCC" w14:paraId="40F444B8" w14:textId="77777777" w:rsidTr="00B05959">
        <w:trPr>
          <w:trHeight w:val="920"/>
          <w:jc w:val="center"/>
        </w:trPr>
        <w:tc>
          <w:tcPr>
            <w:tcW w:w="388" w:type="dxa"/>
            <w:tcBorders>
              <w:bottom w:val="single" w:sz="4" w:space="0" w:color="auto"/>
              <w:right w:val="nil"/>
            </w:tcBorders>
            <w:shd w:val="clear" w:color="auto" w:fill="FFFFFF" w:themeFill="background1"/>
            <w:tcMar>
              <w:top w:w="72" w:type="dxa"/>
              <w:left w:w="144" w:type="dxa"/>
              <w:bottom w:w="72" w:type="dxa"/>
              <w:right w:w="144" w:type="dxa"/>
            </w:tcMar>
            <w:vAlign w:val="center"/>
          </w:tcPr>
          <w:p w14:paraId="472ACBF8" w14:textId="77777777" w:rsidR="00F35D51" w:rsidRPr="00AD1BCC" w:rsidRDefault="00F35D51" w:rsidP="00B05959">
            <w:pPr>
              <w:jc w:val="center"/>
              <w:rPr>
                <w:b/>
                <w:bCs/>
                <w:sz w:val="20"/>
                <w:szCs w:val="20"/>
                <w:lang w:val="en-US"/>
              </w:rPr>
            </w:pPr>
            <w:r>
              <w:rPr>
                <w:b/>
                <w:bCs/>
                <w:sz w:val="20"/>
                <w:szCs w:val="20"/>
                <w:lang w:val="en-US"/>
              </w:rPr>
              <w:t>5</w:t>
            </w:r>
          </w:p>
        </w:tc>
        <w:tc>
          <w:tcPr>
            <w:tcW w:w="1735" w:type="dxa"/>
            <w:tcBorders>
              <w:left w:val="nil"/>
              <w:bottom w:val="single" w:sz="4" w:space="0" w:color="auto"/>
              <w:right w:val="nil"/>
            </w:tcBorders>
            <w:shd w:val="clear" w:color="auto" w:fill="FFFFFF" w:themeFill="background1"/>
            <w:tcMar>
              <w:top w:w="72" w:type="dxa"/>
              <w:left w:w="144" w:type="dxa"/>
              <w:bottom w:w="72" w:type="dxa"/>
              <w:right w:w="144" w:type="dxa"/>
            </w:tcMar>
            <w:vAlign w:val="center"/>
          </w:tcPr>
          <w:p w14:paraId="4FDFC9C0" w14:textId="77777777" w:rsidR="00F35D51" w:rsidRPr="00AD1BCC" w:rsidRDefault="00F35D51" w:rsidP="00B05959">
            <w:pPr>
              <w:rPr>
                <w:b/>
                <w:bCs/>
                <w:sz w:val="20"/>
                <w:szCs w:val="20"/>
                <w:lang w:val="en-US"/>
              </w:rPr>
            </w:pPr>
            <w:r>
              <w:rPr>
                <w:b/>
                <w:bCs/>
                <w:sz w:val="20"/>
                <w:szCs w:val="20"/>
                <w:lang w:val="en-US"/>
              </w:rPr>
              <w:t>Stability</w:t>
            </w:r>
          </w:p>
        </w:tc>
        <w:tc>
          <w:tcPr>
            <w:tcW w:w="2367" w:type="dxa"/>
            <w:tcBorders>
              <w:left w:val="nil"/>
              <w:bottom w:val="single" w:sz="4" w:space="0" w:color="auto"/>
              <w:right w:val="nil"/>
            </w:tcBorders>
            <w:shd w:val="clear" w:color="auto" w:fill="FFFFFF" w:themeFill="background1"/>
            <w:tcMar>
              <w:top w:w="72" w:type="dxa"/>
              <w:left w:w="144" w:type="dxa"/>
              <w:bottom w:w="72" w:type="dxa"/>
              <w:right w:w="144" w:type="dxa"/>
            </w:tcMar>
            <w:vAlign w:val="center"/>
          </w:tcPr>
          <w:p w14:paraId="574BB0BA" w14:textId="77777777" w:rsidR="00F35D51" w:rsidRPr="00AD1BCC" w:rsidRDefault="00F35D51" w:rsidP="00B05959">
            <w:pPr>
              <w:rPr>
                <w:sz w:val="20"/>
                <w:szCs w:val="20"/>
                <w:lang w:val="en-US"/>
              </w:rPr>
            </w:pPr>
            <w:r>
              <w:rPr>
                <w:sz w:val="20"/>
                <w:szCs w:val="20"/>
                <w:lang w:val="en-US"/>
              </w:rPr>
              <w:t xml:space="preserve">Chronopotentiometry </w:t>
            </w:r>
          </w:p>
        </w:tc>
        <w:tc>
          <w:tcPr>
            <w:tcW w:w="3960" w:type="dxa"/>
            <w:tcBorders>
              <w:left w:val="nil"/>
              <w:bottom w:val="single" w:sz="4" w:space="0" w:color="auto"/>
            </w:tcBorders>
            <w:shd w:val="clear" w:color="auto" w:fill="FFFFFF" w:themeFill="background1"/>
            <w:tcMar>
              <w:top w:w="72" w:type="dxa"/>
              <w:left w:w="144" w:type="dxa"/>
              <w:bottom w:w="72" w:type="dxa"/>
              <w:right w:w="144" w:type="dxa"/>
            </w:tcMar>
            <w:vAlign w:val="center"/>
          </w:tcPr>
          <w:p w14:paraId="0DC7B194" w14:textId="77777777" w:rsidR="00F35D51" w:rsidRPr="002F71AC" w:rsidRDefault="00F35D51" w:rsidP="00B05959">
            <w:pPr>
              <w:numPr>
                <w:ilvl w:val="0"/>
                <w:numId w:val="6"/>
              </w:numPr>
              <w:tabs>
                <w:tab w:val="left" w:pos="390"/>
              </w:tabs>
              <w:ind w:hanging="720"/>
              <w:rPr>
                <w:sz w:val="20"/>
                <w:szCs w:val="20"/>
                <w:lang w:val="en-US"/>
              </w:rPr>
            </w:pPr>
            <w:r>
              <w:rPr>
                <w:sz w:val="20"/>
                <w:szCs w:val="20"/>
                <w:lang w:val="en-US"/>
              </w:rPr>
              <w:t>Current = 10, 100, 500, 1000 mA.cm</w:t>
            </w:r>
            <w:r w:rsidRPr="00FB7F4D">
              <w:rPr>
                <w:sz w:val="20"/>
                <w:szCs w:val="20"/>
                <w:vertAlign w:val="superscript"/>
                <w:lang w:val="en-US"/>
              </w:rPr>
              <w:t>-2</w:t>
            </w:r>
          </w:p>
        </w:tc>
      </w:tr>
    </w:tbl>
    <w:p w14:paraId="75FD2B65" w14:textId="77777777" w:rsidR="00F35D51" w:rsidRDefault="00F35D51" w:rsidP="00F35D51"/>
    <w:p w14:paraId="0C76B8C2" w14:textId="77777777" w:rsidR="00F35D51" w:rsidRPr="00F47192" w:rsidRDefault="00F35D51" w:rsidP="00F35D51">
      <w:pPr>
        <w:spacing w:line="480" w:lineRule="auto"/>
        <w:rPr>
          <w:rFonts w:ascii="Times New Roman" w:eastAsia="Arial Unicode MS" w:hAnsi="Times New Roman" w:cs="Times New Roman"/>
          <w:iCs/>
          <w:u w:val="single"/>
        </w:rPr>
      </w:pPr>
      <w:r w:rsidRPr="00F47192">
        <w:rPr>
          <w:rFonts w:ascii="Times New Roman" w:eastAsia="Arial Unicode MS" w:hAnsi="Times New Roman" w:cs="Times New Roman"/>
          <w:iCs/>
          <w:u w:val="single"/>
        </w:rPr>
        <w:t>Alternating Stability Test</w:t>
      </w:r>
    </w:p>
    <w:p w14:paraId="419A8FB7" w14:textId="745EE235" w:rsidR="00F35D51" w:rsidRDefault="00F35D51" w:rsidP="00F35D51">
      <w:pPr>
        <w:spacing w:line="480" w:lineRule="auto"/>
        <w:jc w:val="both"/>
        <w:rPr>
          <w:rFonts w:ascii="Times New Roman" w:eastAsia="Malgun Gothic" w:hAnsi="Times New Roman" w:cs="Times New Roman"/>
          <w:lang w:eastAsia="ko-KR"/>
        </w:rPr>
      </w:pPr>
      <w:r w:rsidRPr="00F47192">
        <w:rPr>
          <w:rFonts w:ascii="Times New Roman" w:eastAsia="Malgun Gothic" w:hAnsi="Times New Roman" w:cs="Times New Roman"/>
          <w:lang w:eastAsia="ko-KR"/>
        </w:rPr>
        <w:t>A special electrochemical protocol was designed to test the stability of the (NiCo)</w:t>
      </w:r>
      <w:r w:rsidRPr="00F47192">
        <w:rPr>
          <w:rFonts w:ascii="Times New Roman" w:eastAsia="Malgun Gothic" w:hAnsi="Times New Roman" w:cs="Times New Roman"/>
          <w:vertAlign w:val="subscript"/>
          <w:lang w:eastAsia="ko-KR"/>
        </w:rPr>
        <w:t>3</w:t>
      </w:r>
      <w:r w:rsidRPr="00F47192">
        <w:rPr>
          <w:rFonts w:ascii="Times New Roman" w:eastAsia="Malgun Gothic" w:hAnsi="Times New Roman" w:cs="Times New Roman"/>
          <w:lang w:eastAsia="ko-KR"/>
        </w:rPr>
        <w:t>Se</w:t>
      </w:r>
      <w:r w:rsidRPr="00F47192">
        <w:rPr>
          <w:rFonts w:ascii="Times New Roman" w:eastAsia="Malgun Gothic" w:hAnsi="Times New Roman" w:cs="Times New Roman"/>
          <w:vertAlign w:val="subscript"/>
          <w:lang w:eastAsia="ko-KR"/>
        </w:rPr>
        <w:t>4</w:t>
      </w:r>
      <w:r>
        <w:rPr>
          <w:rFonts w:ascii="Times New Roman" w:eastAsia="Malgun Gothic" w:hAnsi="Times New Roman" w:cs="Times New Roman"/>
          <w:vertAlign w:val="subscript"/>
          <w:lang w:eastAsia="ko-KR"/>
        </w:rPr>
        <w:t xml:space="preserve"> </w:t>
      </w:r>
      <w:r>
        <w:rPr>
          <w:rFonts w:ascii="Times New Roman" w:eastAsia="Malgun Gothic" w:hAnsi="Times New Roman" w:cs="Times New Roman"/>
          <w:lang w:eastAsia="ko-KR"/>
        </w:rPr>
        <w:t xml:space="preserve">in </w:t>
      </w:r>
      <w:r w:rsidRPr="005861E1">
        <w:rPr>
          <w:rFonts w:ascii="Times New Roman" w:eastAsia="Malgun Gothic" w:hAnsi="Times New Roman" w:cs="Times New Roman"/>
          <w:lang w:eastAsia="ko-KR"/>
        </w:rPr>
        <w:t>Fe-free 1M KOH</w:t>
      </w:r>
      <w:r w:rsidRPr="00F47192">
        <w:rPr>
          <w:rFonts w:ascii="Times New Roman" w:eastAsia="Malgun Gothic" w:hAnsi="Times New Roman" w:cs="Times New Roman"/>
          <w:lang w:eastAsia="ko-KR"/>
        </w:rPr>
        <w:t>. The sample was polarized at constant current density 10 mA.cm</w:t>
      </w:r>
      <w:r w:rsidRPr="00F47192">
        <w:rPr>
          <w:rFonts w:ascii="Times New Roman" w:eastAsia="Malgun Gothic" w:hAnsi="Times New Roman" w:cs="Times New Roman"/>
          <w:vertAlign w:val="superscript"/>
          <w:lang w:eastAsia="ko-KR"/>
        </w:rPr>
        <w:t>-2</w:t>
      </w:r>
      <w:r w:rsidRPr="00F47192">
        <w:rPr>
          <w:rFonts w:ascii="Times New Roman" w:eastAsia="Malgun Gothic" w:hAnsi="Times New Roman" w:cs="Times New Roman"/>
          <w:vertAlign w:val="subscript"/>
          <w:lang w:eastAsia="ko-KR"/>
        </w:rPr>
        <w:t xml:space="preserve">geo </w:t>
      </w:r>
      <w:r w:rsidRPr="00F47192">
        <w:rPr>
          <w:rFonts w:ascii="Times New Roman" w:eastAsia="Malgun Gothic" w:hAnsi="Times New Roman" w:cs="Times New Roman"/>
          <w:lang w:eastAsia="ko-KR"/>
        </w:rPr>
        <w:t xml:space="preserve">for 10 hours. </w:t>
      </w:r>
      <w:r>
        <w:rPr>
          <w:rFonts w:ascii="Times New Roman" w:eastAsia="Malgun Gothic" w:hAnsi="Times New Roman" w:cs="Times New Roman"/>
          <w:lang w:eastAsia="ko-KR"/>
        </w:rPr>
        <w:t>Then, open circuit potential (OCP) for 1 h, l</w:t>
      </w:r>
      <w:r w:rsidRPr="00F47192">
        <w:rPr>
          <w:rFonts w:ascii="Times New Roman" w:eastAsia="Malgun Gothic" w:hAnsi="Times New Roman" w:cs="Times New Roman"/>
          <w:lang w:eastAsia="ko-KR"/>
        </w:rPr>
        <w:t xml:space="preserve">inear </w:t>
      </w:r>
      <w:r>
        <w:rPr>
          <w:rFonts w:ascii="Times New Roman" w:eastAsia="Malgun Gothic" w:hAnsi="Times New Roman" w:cs="Times New Roman"/>
          <w:lang w:eastAsia="ko-KR"/>
        </w:rPr>
        <w:t>s</w:t>
      </w:r>
      <w:r w:rsidRPr="00F47192">
        <w:rPr>
          <w:rFonts w:ascii="Times New Roman" w:eastAsia="Malgun Gothic" w:hAnsi="Times New Roman" w:cs="Times New Roman"/>
          <w:lang w:eastAsia="ko-KR"/>
        </w:rPr>
        <w:t xml:space="preserve">weep </w:t>
      </w:r>
      <w:r>
        <w:rPr>
          <w:rFonts w:ascii="Times New Roman" w:eastAsia="Malgun Gothic" w:hAnsi="Times New Roman" w:cs="Times New Roman"/>
          <w:lang w:eastAsia="ko-KR"/>
        </w:rPr>
        <w:t>v</w:t>
      </w:r>
      <w:r w:rsidRPr="00F47192">
        <w:rPr>
          <w:rFonts w:ascii="Times New Roman" w:eastAsia="Malgun Gothic" w:hAnsi="Times New Roman" w:cs="Times New Roman"/>
          <w:lang w:eastAsia="ko-KR"/>
        </w:rPr>
        <w:t>oltammetry (LSV)</w:t>
      </w:r>
      <w:r>
        <w:rPr>
          <w:rFonts w:ascii="Times New Roman" w:eastAsia="Malgun Gothic" w:hAnsi="Times New Roman" w:cs="Times New Roman"/>
          <w:lang w:eastAsia="ko-KR"/>
        </w:rPr>
        <w:t xml:space="preserve"> and c</w:t>
      </w:r>
      <w:r w:rsidRPr="00F47192">
        <w:rPr>
          <w:rFonts w:ascii="Times New Roman" w:eastAsia="Malgun Gothic" w:hAnsi="Times New Roman" w:cs="Times New Roman"/>
          <w:lang w:eastAsia="ko-KR"/>
        </w:rPr>
        <w:t xml:space="preserve">yclic </w:t>
      </w:r>
      <w:r>
        <w:rPr>
          <w:rFonts w:ascii="Times New Roman" w:eastAsia="Malgun Gothic" w:hAnsi="Times New Roman" w:cs="Times New Roman"/>
          <w:lang w:eastAsia="ko-KR"/>
        </w:rPr>
        <w:t>v</w:t>
      </w:r>
      <w:r w:rsidRPr="00F47192">
        <w:rPr>
          <w:rFonts w:ascii="Times New Roman" w:eastAsia="Malgun Gothic" w:hAnsi="Times New Roman" w:cs="Times New Roman"/>
          <w:lang w:eastAsia="ko-KR"/>
        </w:rPr>
        <w:t xml:space="preserve">oltammetry were </w:t>
      </w:r>
      <w:r>
        <w:rPr>
          <w:rFonts w:ascii="Times New Roman" w:eastAsia="Malgun Gothic" w:hAnsi="Times New Roman" w:cs="Times New Roman"/>
          <w:lang w:eastAsia="ko-KR"/>
        </w:rPr>
        <w:t>carried out</w:t>
      </w:r>
      <w:r w:rsidRPr="00F47192">
        <w:rPr>
          <w:rFonts w:ascii="Times New Roman" w:eastAsia="Malgun Gothic" w:hAnsi="Times New Roman" w:cs="Times New Roman"/>
          <w:lang w:eastAsia="ko-KR"/>
        </w:rPr>
        <w:t xml:space="preserve"> to evaluate the change in performance with time. This was repeated 3</w:t>
      </w:r>
      <w:r>
        <w:rPr>
          <w:rFonts w:ascii="Times New Roman" w:eastAsia="Malgun Gothic" w:hAnsi="Times New Roman" w:cs="Times New Roman"/>
          <w:lang w:eastAsia="ko-KR"/>
        </w:rPr>
        <w:t>5</w:t>
      </w:r>
      <w:r w:rsidRPr="00F47192">
        <w:rPr>
          <w:rFonts w:ascii="Times New Roman" w:eastAsia="Malgun Gothic" w:hAnsi="Times New Roman" w:cs="Times New Roman"/>
          <w:lang w:eastAsia="ko-KR"/>
        </w:rPr>
        <w:t xml:space="preserve"> times to evaluate the stability for 3</w:t>
      </w:r>
      <w:r>
        <w:rPr>
          <w:rFonts w:ascii="Times New Roman" w:eastAsia="Malgun Gothic" w:hAnsi="Times New Roman" w:cs="Times New Roman"/>
          <w:lang w:eastAsia="ko-KR"/>
        </w:rPr>
        <w:t>5</w:t>
      </w:r>
      <w:r w:rsidRPr="00F47192">
        <w:rPr>
          <w:rFonts w:ascii="Times New Roman" w:eastAsia="Malgun Gothic" w:hAnsi="Times New Roman" w:cs="Times New Roman"/>
          <w:lang w:eastAsia="ko-KR"/>
        </w:rPr>
        <w:t xml:space="preserve"> hours of operation. </w:t>
      </w:r>
    </w:p>
    <w:p w14:paraId="170A36FB" w14:textId="77777777" w:rsidR="003D53CD" w:rsidRPr="00E74FB9" w:rsidRDefault="003D53CD" w:rsidP="00E74FB9">
      <w:pPr>
        <w:spacing w:line="480" w:lineRule="auto"/>
        <w:jc w:val="both"/>
        <w:rPr>
          <w:rFonts w:ascii="Times New Roman" w:hAnsi="Times New Roman" w:cs="Times New Roman"/>
          <w:u w:val="single"/>
        </w:rPr>
      </w:pPr>
      <w:r w:rsidRPr="00E74FB9">
        <w:rPr>
          <w:rFonts w:ascii="Times New Roman" w:hAnsi="Times New Roman" w:cs="Times New Roman"/>
          <w:u w:val="single"/>
        </w:rPr>
        <w:t>Turnover Frequency Calculations</w:t>
      </w:r>
    </w:p>
    <w:p w14:paraId="7DEBF4F3" w14:textId="77777777" w:rsidR="003D53CD" w:rsidRPr="00E74FB9" w:rsidRDefault="003D53CD" w:rsidP="003D53CD">
      <w:pPr>
        <w:spacing w:line="360" w:lineRule="auto"/>
        <w:rPr>
          <w:rFonts w:ascii="Times New Roman" w:hAnsi="Times New Roman" w:cs="Times New Roman"/>
          <w:sz w:val="28"/>
          <w:szCs w:val="28"/>
          <w:u w:val="single"/>
          <w:lang w:val="en-US"/>
        </w:rPr>
      </w:pPr>
      <m:oMathPara>
        <m:oMath>
          <m:r>
            <w:rPr>
              <w:rFonts w:ascii="Cambria Math" w:hAnsi="Cambria Math" w:cs="Times New Roman"/>
              <w:sz w:val="28"/>
              <w:szCs w:val="28"/>
              <w:lang w:val="en-US"/>
            </w:rPr>
            <m:t>TOF=</m:t>
          </m:r>
          <m:f>
            <m:fPr>
              <m:ctrlPr>
                <w:rPr>
                  <w:rFonts w:ascii="Cambria Math" w:hAnsi="Cambria Math" w:cs="Times New Roman"/>
                  <w:i/>
                  <w:sz w:val="28"/>
                  <w:szCs w:val="28"/>
                  <w:lang w:val="en-US"/>
                </w:rPr>
              </m:ctrlPr>
            </m:fPr>
            <m:num>
              <m:r>
                <w:rPr>
                  <w:rFonts w:ascii="Cambria Math" w:hAnsi="Cambria Math" w:cs="Times New Roman"/>
                  <w:sz w:val="28"/>
                  <w:szCs w:val="28"/>
                  <w:lang w:val="en-US"/>
                </w:rPr>
                <m:t>jS</m:t>
              </m:r>
            </m:num>
            <m:den>
              <m:r>
                <w:rPr>
                  <w:rFonts w:ascii="Cambria Math" w:hAnsi="Cambria Math" w:cs="Times New Roman"/>
                  <w:sz w:val="28"/>
                  <w:szCs w:val="28"/>
                  <w:lang w:val="en-US"/>
                </w:rPr>
                <m:t>4Fn</m:t>
              </m:r>
            </m:den>
          </m:f>
          <m:r>
            <w:rPr>
              <w:rFonts w:ascii="Cambria Math" w:hAnsi="Cambria Math" w:cs="Times New Roman"/>
              <w:sz w:val="28"/>
              <w:szCs w:val="28"/>
              <w:lang w:val="en-US"/>
            </w:rPr>
            <m:t xml:space="preserve">  </m:t>
          </m:r>
        </m:oMath>
      </m:oMathPara>
    </w:p>
    <w:p w14:paraId="60211034" w14:textId="2CEF99BE" w:rsidR="003D53CD" w:rsidRDefault="003D53CD" w:rsidP="003D53CD">
      <w:pPr>
        <w:spacing w:line="360" w:lineRule="auto"/>
        <w:rPr>
          <w:rFonts w:ascii="Times New Roman" w:hAnsi="Times New Roman" w:cs="Times New Roman"/>
          <w:lang w:val="en-US"/>
        </w:rPr>
      </w:pPr>
      <w:r w:rsidRPr="00E74FB9">
        <w:rPr>
          <w:rFonts w:ascii="Times New Roman" w:hAnsi="Times New Roman" w:cs="Times New Roman"/>
          <w:lang w:val="en-US"/>
        </w:rPr>
        <w:t>j is the measured current density (mA.cm</w:t>
      </w:r>
      <w:r w:rsidRPr="00E74FB9">
        <w:rPr>
          <w:rFonts w:ascii="Times New Roman" w:hAnsi="Times New Roman" w:cs="Times New Roman"/>
          <w:vertAlign w:val="superscript"/>
          <w:lang w:val="en-US"/>
        </w:rPr>
        <w:t>2</w:t>
      </w:r>
      <w:r w:rsidRPr="00E74FB9">
        <w:rPr>
          <w:rFonts w:ascii="Times New Roman" w:hAnsi="Times New Roman" w:cs="Times New Roman"/>
          <w:lang w:val="en-US"/>
        </w:rPr>
        <w:t>), S is the geometric surface area of the electrode, and n is the moles of the active atoms in the loaded catalyst. Also, assuming that all metallic sites are active (lower limit of TOF).</w:t>
      </w:r>
    </w:p>
    <w:p w14:paraId="7EE9EA08" w14:textId="77777777" w:rsidR="00E74FB9" w:rsidRPr="00E74FB9" w:rsidRDefault="00E74FB9" w:rsidP="003D53CD">
      <w:pPr>
        <w:spacing w:line="360" w:lineRule="auto"/>
        <w:rPr>
          <w:rFonts w:ascii="Times New Roman" w:hAnsi="Times New Roman" w:cs="Times New Roman"/>
          <w:lang w:val="en-US"/>
        </w:rPr>
      </w:pPr>
    </w:p>
    <w:tbl>
      <w:tblPr>
        <w:tblStyle w:val="TableGrid"/>
        <w:tblW w:w="8408" w:type="dxa"/>
        <w:jc w:val="center"/>
        <w:tblLook w:val="04A0" w:firstRow="1" w:lastRow="0" w:firstColumn="1" w:lastColumn="0" w:noHBand="0" w:noVBand="1"/>
      </w:tblPr>
      <w:tblGrid>
        <w:gridCol w:w="1514"/>
        <w:gridCol w:w="1692"/>
        <w:gridCol w:w="1916"/>
        <w:gridCol w:w="1561"/>
        <w:gridCol w:w="1725"/>
      </w:tblGrid>
      <w:tr w:rsidR="003D53CD" w:rsidRPr="00E74FB9" w14:paraId="0C142CCB" w14:textId="77777777" w:rsidTr="00E74FB9">
        <w:trPr>
          <w:trHeight w:val="538"/>
          <w:jc w:val="center"/>
        </w:trPr>
        <w:tc>
          <w:tcPr>
            <w:tcW w:w="1514" w:type="dxa"/>
            <w:vAlign w:val="center"/>
          </w:tcPr>
          <w:p w14:paraId="6F777387" w14:textId="77777777" w:rsidR="003D53CD" w:rsidRPr="00E74FB9" w:rsidRDefault="003D53CD" w:rsidP="00F86403">
            <w:pPr>
              <w:rPr>
                <w:rFonts w:ascii="Times New Roman" w:hAnsi="Times New Roman" w:cs="Times New Roman"/>
                <w:b/>
                <w:bCs/>
                <w:sz w:val="24"/>
                <w:szCs w:val="24"/>
                <w:lang w:val="en-US"/>
              </w:rPr>
            </w:pPr>
            <w:r w:rsidRPr="00E74FB9">
              <w:rPr>
                <w:rFonts w:ascii="Times New Roman" w:hAnsi="Times New Roman" w:cs="Times New Roman"/>
                <w:b/>
                <w:bCs/>
                <w:sz w:val="24"/>
                <w:szCs w:val="24"/>
                <w:lang w:val="en-US"/>
              </w:rPr>
              <w:t>Catalyst</w:t>
            </w:r>
          </w:p>
        </w:tc>
        <w:tc>
          <w:tcPr>
            <w:tcW w:w="1692" w:type="dxa"/>
            <w:vAlign w:val="center"/>
          </w:tcPr>
          <w:p w14:paraId="5497FDAC" w14:textId="77777777" w:rsidR="003D53CD" w:rsidRPr="00E74FB9" w:rsidRDefault="003D53CD" w:rsidP="00F86403">
            <w:pPr>
              <w:jc w:val="center"/>
              <w:rPr>
                <w:rFonts w:ascii="Times New Roman" w:hAnsi="Times New Roman" w:cs="Times New Roman"/>
                <w:b/>
                <w:bCs/>
                <w:sz w:val="24"/>
                <w:szCs w:val="24"/>
                <w:lang w:val="en-US"/>
              </w:rPr>
            </w:pPr>
            <w:r w:rsidRPr="00E74FB9">
              <w:rPr>
                <w:rFonts w:ascii="Times New Roman" w:hAnsi="Times New Roman" w:cs="Times New Roman"/>
                <w:b/>
                <w:bCs/>
                <w:sz w:val="24"/>
                <w:szCs w:val="24"/>
                <w:lang w:val="en-US"/>
              </w:rPr>
              <w:t>j</w:t>
            </w:r>
            <w:r w:rsidRPr="00E74FB9">
              <w:rPr>
                <w:rFonts w:ascii="Times New Roman" w:hAnsi="Times New Roman" w:cs="Times New Roman"/>
                <w:b/>
                <w:bCs/>
                <w:sz w:val="24"/>
                <w:szCs w:val="24"/>
                <w:vertAlign w:val="subscript"/>
                <w:lang w:val="en-US"/>
              </w:rPr>
              <w:t>geo</w:t>
            </w:r>
            <w:r w:rsidRPr="00E74FB9">
              <w:rPr>
                <w:rFonts w:ascii="Times New Roman" w:hAnsi="Times New Roman" w:cs="Times New Roman"/>
                <w:b/>
                <w:bCs/>
                <w:sz w:val="24"/>
                <w:szCs w:val="24"/>
                <w:lang w:val="en-US"/>
              </w:rPr>
              <w:t xml:space="preserve"> @ 300 mV</w:t>
            </w:r>
          </w:p>
          <w:p w14:paraId="65EBA498" w14:textId="77777777" w:rsidR="003D53CD" w:rsidRPr="00E74FB9" w:rsidRDefault="003D53CD" w:rsidP="00F86403">
            <w:pPr>
              <w:jc w:val="center"/>
              <w:rPr>
                <w:rFonts w:ascii="Times New Roman" w:hAnsi="Times New Roman" w:cs="Times New Roman"/>
                <w:sz w:val="24"/>
                <w:szCs w:val="24"/>
                <w:lang w:val="en-US"/>
              </w:rPr>
            </w:pPr>
            <w:r w:rsidRPr="00E74FB9">
              <w:rPr>
                <w:rFonts w:ascii="Times New Roman" w:hAnsi="Times New Roman" w:cs="Times New Roman"/>
                <w:sz w:val="24"/>
                <w:szCs w:val="24"/>
                <w:lang w:val="en-US"/>
              </w:rPr>
              <w:t>mA.cm</w:t>
            </w:r>
            <w:r w:rsidRPr="00E74FB9">
              <w:rPr>
                <w:rFonts w:ascii="Times New Roman" w:hAnsi="Times New Roman" w:cs="Times New Roman"/>
                <w:sz w:val="24"/>
                <w:szCs w:val="24"/>
                <w:vertAlign w:val="superscript"/>
                <w:lang w:val="en-US"/>
              </w:rPr>
              <w:t>-2</w:t>
            </w:r>
          </w:p>
        </w:tc>
        <w:tc>
          <w:tcPr>
            <w:tcW w:w="1916" w:type="dxa"/>
            <w:vAlign w:val="center"/>
          </w:tcPr>
          <w:p w14:paraId="1C1657C1" w14:textId="77777777" w:rsidR="003D53CD" w:rsidRPr="00E74FB9" w:rsidRDefault="003D53CD" w:rsidP="00F86403">
            <w:pPr>
              <w:jc w:val="center"/>
              <w:rPr>
                <w:rFonts w:ascii="Times New Roman" w:hAnsi="Times New Roman" w:cs="Times New Roman"/>
                <w:b/>
                <w:bCs/>
                <w:sz w:val="24"/>
                <w:szCs w:val="24"/>
                <w:lang w:val="en-US"/>
              </w:rPr>
            </w:pPr>
            <w:proofErr w:type="spellStart"/>
            <w:r w:rsidRPr="00E74FB9">
              <w:rPr>
                <w:rFonts w:ascii="Times New Roman" w:hAnsi="Times New Roman" w:cs="Times New Roman"/>
                <w:b/>
                <w:bCs/>
                <w:sz w:val="24"/>
                <w:szCs w:val="24"/>
                <w:lang w:val="en-US"/>
              </w:rPr>
              <w:t>j</w:t>
            </w:r>
            <w:r w:rsidRPr="00E74FB9">
              <w:rPr>
                <w:rFonts w:ascii="Times New Roman" w:hAnsi="Times New Roman" w:cs="Times New Roman"/>
                <w:b/>
                <w:bCs/>
                <w:sz w:val="24"/>
                <w:szCs w:val="24"/>
                <w:vertAlign w:val="subscript"/>
                <w:lang w:val="en-US"/>
              </w:rPr>
              <w:t>ECSA</w:t>
            </w:r>
            <w:proofErr w:type="spellEnd"/>
            <w:r w:rsidRPr="00E74FB9">
              <w:rPr>
                <w:rFonts w:ascii="Times New Roman" w:hAnsi="Times New Roman" w:cs="Times New Roman"/>
                <w:b/>
                <w:bCs/>
                <w:sz w:val="24"/>
                <w:szCs w:val="24"/>
                <w:vertAlign w:val="subscript"/>
                <w:lang w:val="en-US"/>
              </w:rPr>
              <w:t xml:space="preserve"> </w:t>
            </w:r>
            <w:r w:rsidRPr="00E74FB9">
              <w:rPr>
                <w:rFonts w:ascii="Times New Roman" w:hAnsi="Times New Roman" w:cs="Times New Roman"/>
                <w:b/>
                <w:bCs/>
                <w:sz w:val="24"/>
                <w:szCs w:val="24"/>
                <w:lang w:val="en-US"/>
              </w:rPr>
              <w:t>@ 300 mV</w:t>
            </w:r>
          </w:p>
          <w:p w14:paraId="2031363F" w14:textId="77777777" w:rsidR="003D53CD" w:rsidRPr="00E74FB9" w:rsidRDefault="003D53CD" w:rsidP="00F86403">
            <w:pPr>
              <w:jc w:val="center"/>
              <w:rPr>
                <w:rFonts w:ascii="Times New Roman" w:hAnsi="Times New Roman" w:cs="Times New Roman"/>
                <w:sz w:val="24"/>
                <w:szCs w:val="24"/>
                <w:lang w:val="en-US"/>
              </w:rPr>
            </w:pPr>
            <w:r w:rsidRPr="00E74FB9">
              <w:rPr>
                <w:rFonts w:ascii="Times New Roman" w:hAnsi="Times New Roman" w:cs="Times New Roman"/>
                <w:sz w:val="24"/>
                <w:szCs w:val="24"/>
                <w:lang w:val="en-US"/>
              </w:rPr>
              <w:t>mA.cm</w:t>
            </w:r>
            <w:r w:rsidRPr="00E74FB9">
              <w:rPr>
                <w:rFonts w:ascii="Times New Roman" w:hAnsi="Times New Roman" w:cs="Times New Roman"/>
                <w:sz w:val="24"/>
                <w:szCs w:val="24"/>
                <w:vertAlign w:val="superscript"/>
                <w:lang w:val="en-US"/>
              </w:rPr>
              <w:t>-2</w:t>
            </w:r>
          </w:p>
        </w:tc>
        <w:tc>
          <w:tcPr>
            <w:tcW w:w="1561" w:type="dxa"/>
            <w:vAlign w:val="center"/>
          </w:tcPr>
          <w:p w14:paraId="1AFACC08" w14:textId="77777777" w:rsidR="003D53CD" w:rsidRPr="00E74FB9" w:rsidRDefault="003D53CD" w:rsidP="00F86403">
            <w:pPr>
              <w:jc w:val="center"/>
              <w:rPr>
                <w:rFonts w:ascii="Times New Roman" w:hAnsi="Times New Roman" w:cs="Times New Roman"/>
                <w:b/>
                <w:bCs/>
                <w:sz w:val="24"/>
                <w:szCs w:val="24"/>
                <w:lang w:val="en-US"/>
              </w:rPr>
            </w:pPr>
            <w:r w:rsidRPr="00E74FB9">
              <w:rPr>
                <w:rFonts w:ascii="Times New Roman" w:hAnsi="Times New Roman" w:cs="Times New Roman"/>
                <w:b/>
                <w:bCs/>
                <w:sz w:val="24"/>
                <w:szCs w:val="24"/>
                <w:lang w:val="en-US"/>
              </w:rPr>
              <w:t>RF</w:t>
            </w:r>
          </w:p>
        </w:tc>
        <w:tc>
          <w:tcPr>
            <w:tcW w:w="1725" w:type="dxa"/>
            <w:vAlign w:val="center"/>
          </w:tcPr>
          <w:p w14:paraId="22720AC7" w14:textId="77777777" w:rsidR="003D53CD" w:rsidRPr="00E74FB9" w:rsidRDefault="003D53CD" w:rsidP="00F86403">
            <w:pPr>
              <w:jc w:val="center"/>
              <w:rPr>
                <w:rFonts w:ascii="Times New Roman" w:hAnsi="Times New Roman" w:cs="Times New Roman"/>
                <w:sz w:val="24"/>
                <w:szCs w:val="24"/>
                <w:lang w:val="en-US"/>
              </w:rPr>
            </w:pPr>
            <w:r w:rsidRPr="00E74FB9">
              <w:rPr>
                <w:rFonts w:ascii="Times New Roman" w:hAnsi="Times New Roman" w:cs="Times New Roman"/>
                <w:b/>
                <w:bCs/>
                <w:sz w:val="24"/>
                <w:szCs w:val="24"/>
                <w:lang w:val="en-US"/>
              </w:rPr>
              <w:t>TOF</w:t>
            </w:r>
            <w:r w:rsidRPr="00E74FB9">
              <w:rPr>
                <w:rFonts w:ascii="Times New Roman" w:hAnsi="Times New Roman" w:cs="Times New Roman"/>
                <w:sz w:val="24"/>
                <w:szCs w:val="24"/>
                <w:lang w:val="en-US"/>
              </w:rPr>
              <w:br/>
              <w:t>10</w:t>
            </w:r>
            <w:r w:rsidRPr="00E74FB9">
              <w:rPr>
                <w:rFonts w:ascii="Times New Roman" w:hAnsi="Times New Roman" w:cs="Times New Roman"/>
                <w:sz w:val="24"/>
                <w:szCs w:val="24"/>
                <w:vertAlign w:val="superscript"/>
                <w:lang w:val="en-US"/>
              </w:rPr>
              <w:t>-3</w:t>
            </w:r>
            <w:r w:rsidRPr="00E74FB9">
              <w:rPr>
                <w:rFonts w:ascii="Times New Roman" w:hAnsi="Times New Roman" w:cs="Times New Roman"/>
                <w:sz w:val="24"/>
                <w:szCs w:val="24"/>
                <w:lang w:val="en-US"/>
              </w:rPr>
              <w:t xml:space="preserve"> s</w:t>
            </w:r>
            <w:r w:rsidRPr="00E74FB9">
              <w:rPr>
                <w:rFonts w:ascii="Times New Roman" w:hAnsi="Times New Roman" w:cs="Times New Roman"/>
                <w:sz w:val="24"/>
                <w:szCs w:val="24"/>
                <w:vertAlign w:val="superscript"/>
                <w:lang w:val="en-US"/>
              </w:rPr>
              <w:t xml:space="preserve">-1 </w:t>
            </w:r>
            <w:r w:rsidRPr="00E74FB9">
              <w:rPr>
                <w:rFonts w:ascii="Times New Roman" w:hAnsi="Times New Roman" w:cs="Times New Roman"/>
                <w:sz w:val="24"/>
                <w:szCs w:val="24"/>
                <w:lang w:val="en-US"/>
              </w:rPr>
              <w:t>per site</w:t>
            </w:r>
          </w:p>
        </w:tc>
      </w:tr>
      <w:tr w:rsidR="003D53CD" w:rsidRPr="00E74FB9" w14:paraId="15E244D6" w14:textId="77777777" w:rsidTr="00E74FB9">
        <w:trPr>
          <w:trHeight w:val="538"/>
          <w:jc w:val="center"/>
        </w:trPr>
        <w:tc>
          <w:tcPr>
            <w:tcW w:w="1514" w:type="dxa"/>
            <w:vAlign w:val="center"/>
          </w:tcPr>
          <w:p w14:paraId="7D071992" w14:textId="77777777" w:rsidR="003D53CD" w:rsidRPr="00E74FB9" w:rsidRDefault="003D53CD" w:rsidP="00F86403">
            <w:pPr>
              <w:rPr>
                <w:rFonts w:ascii="Times New Roman" w:hAnsi="Times New Roman" w:cs="Times New Roman"/>
                <w:sz w:val="24"/>
                <w:szCs w:val="24"/>
                <w:lang w:val="en-US"/>
              </w:rPr>
            </w:pPr>
            <w:r w:rsidRPr="00E74FB9">
              <w:rPr>
                <w:rFonts w:ascii="Times New Roman" w:hAnsi="Times New Roman" w:cs="Times New Roman"/>
                <w:sz w:val="24"/>
                <w:szCs w:val="24"/>
                <w:lang w:val="en-US"/>
              </w:rPr>
              <w:t>(NiCo)</w:t>
            </w:r>
            <w:r w:rsidRPr="00E74FB9">
              <w:rPr>
                <w:rFonts w:ascii="Times New Roman" w:hAnsi="Times New Roman" w:cs="Times New Roman"/>
                <w:sz w:val="24"/>
                <w:szCs w:val="24"/>
                <w:vertAlign w:val="subscript"/>
                <w:lang w:val="en-US"/>
              </w:rPr>
              <w:t>3</w:t>
            </w:r>
            <w:r w:rsidRPr="00E74FB9">
              <w:rPr>
                <w:rFonts w:ascii="Times New Roman" w:hAnsi="Times New Roman" w:cs="Times New Roman"/>
                <w:sz w:val="24"/>
                <w:szCs w:val="24"/>
                <w:lang w:val="en-US"/>
              </w:rPr>
              <w:t>Se</w:t>
            </w:r>
            <w:r w:rsidRPr="00E74FB9">
              <w:rPr>
                <w:rFonts w:ascii="Times New Roman" w:hAnsi="Times New Roman" w:cs="Times New Roman"/>
                <w:sz w:val="24"/>
                <w:szCs w:val="24"/>
                <w:vertAlign w:val="subscript"/>
                <w:lang w:val="en-US"/>
              </w:rPr>
              <w:t>4</w:t>
            </w:r>
          </w:p>
        </w:tc>
        <w:tc>
          <w:tcPr>
            <w:tcW w:w="1692" w:type="dxa"/>
            <w:vAlign w:val="center"/>
          </w:tcPr>
          <w:p w14:paraId="146CEE3A" w14:textId="77777777" w:rsidR="003D53CD" w:rsidRPr="00E74FB9" w:rsidRDefault="003D53CD" w:rsidP="00F86403">
            <w:pPr>
              <w:jc w:val="center"/>
              <w:rPr>
                <w:rFonts w:ascii="Times New Roman" w:hAnsi="Times New Roman" w:cs="Times New Roman"/>
                <w:sz w:val="24"/>
                <w:szCs w:val="24"/>
                <w:lang w:val="en-US"/>
              </w:rPr>
            </w:pPr>
            <w:r w:rsidRPr="00E74FB9">
              <w:rPr>
                <w:rFonts w:ascii="Times New Roman" w:hAnsi="Times New Roman" w:cs="Times New Roman"/>
                <w:sz w:val="24"/>
                <w:szCs w:val="24"/>
                <w:lang w:val="en-US"/>
              </w:rPr>
              <w:t>25.04</w:t>
            </w:r>
          </w:p>
        </w:tc>
        <w:tc>
          <w:tcPr>
            <w:tcW w:w="1916" w:type="dxa"/>
            <w:vAlign w:val="center"/>
          </w:tcPr>
          <w:p w14:paraId="31FBE809" w14:textId="77777777" w:rsidR="003D53CD" w:rsidRPr="00E74FB9" w:rsidRDefault="003D53CD" w:rsidP="00F86403">
            <w:pPr>
              <w:jc w:val="center"/>
              <w:rPr>
                <w:rFonts w:ascii="Times New Roman" w:hAnsi="Times New Roman" w:cs="Times New Roman"/>
                <w:sz w:val="24"/>
                <w:szCs w:val="24"/>
                <w:lang w:val="en-US"/>
              </w:rPr>
            </w:pPr>
            <w:r w:rsidRPr="00E74FB9">
              <w:rPr>
                <w:rFonts w:ascii="Times New Roman" w:hAnsi="Times New Roman" w:cs="Times New Roman"/>
                <w:sz w:val="24"/>
                <w:szCs w:val="24"/>
                <w:lang w:val="en-US"/>
              </w:rPr>
              <w:t>3.08</w:t>
            </w:r>
          </w:p>
        </w:tc>
        <w:tc>
          <w:tcPr>
            <w:tcW w:w="1561" w:type="dxa"/>
            <w:vAlign w:val="center"/>
          </w:tcPr>
          <w:p w14:paraId="28016741" w14:textId="77777777" w:rsidR="003D53CD" w:rsidRPr="00E74FB9" w:rsidRDefault="003D53CD" w:rsidP="00F86403">
            <w:pPr>
              <w:jc w:val="center"/>
              <w:rPr>
                <w:rFonts w:ascii="Times New Roman" w:hAnsi="Times New Roman" w:cs="Times New Roman"/>
                <w:sz w:val="24"/>
                <w:szCs w:val="24"/>
                <w:lang w:val="en-US"/>
              </w:rPr>
            </w:pPr>
            <w:r w:rsidRPr="00E74FB9">
              <w:rPr>
                <w:rFonts w:ascii="Times New Roman" w:hAnsi="Times New Roman" w:cs="Times New Roman"/>
                <w:sz w:val="24"/>
                <w:szCs w:val="24"/>
                <w:lang w:val="en-US"/>
              </w:rPr>
              <w:t>8.13</w:t>
            </w:r>
          </w:p>
        </w:tc>
        <w:tc>
          <w:tcPr>
            <w:tcW w:w="1725" w:type="dxa"/>
            <w:vAlign w:val="center"/>
          </w:tcPr>
          <w:p w14:paraId="58E2F51D" w14:textId="2EECEC55" w:rsidR="003D53CD" w:rsidRPr="00E74FB9" w:rsidRDefault="003D53CD" w:rsidP="00F86403">
            <w:pPr>
              <w:jc w:val="center"/>
              <w:rPr>
                <w:rFonts w:ascii="Times New Roman" w:hAnsi="Times New Roman" w:cs="Times New Roman"/>
                <w:sz w:val="24"/>
                <w:szCs w:val="24"/>
                <w:lang w:val="en-US"/>
              </w:rPr>
            </w:pPr>
            <w:r w:rsidRPr="00E74FB9">
              <w:rPr>
                <w:rFonts w:ascii="Times New Roman" w:hAnsi="Times New Roman" w:cs="Times New Roman"/>
                <w:sz w:val="24"/>
                <w:szCs w:val="24"/>
                <w:lang w:val="en-US"/>
              </w:rPr>
              <w:t>50.76</w:t>
            </w:r>
          </w:p>
        </w:tc>
      </w:tr>
      <w:tr w:rsidR="003D53CD" w:rsidRPr="00E74FB9" w14:paraId="4F6AF09C" w14:textId="77777777" w:rsidTr="00E74FB9">
        <w:trPr>
          <w:trHeight w:val="538"/>
          <w:jc w:val="center"/>
        </w:trPr>
        <w:tc>
          <w:tcPr>
            <w:tcW w:w="1514" w:type="dxa"/>
            <w:vAlign w:val="center"/>
          </w:tcPr>
          <w:p w14:paraId="24777D6A" w14:textId="77777777" w:rsidR="003D53CD" w:rsidRPr="00E74FB9" w:rsidRDefault="003D53CD" w:rsidP="00F86403">
            <w:pPr>
              <w:rPr>
                <w:rFonts w:ascii="Times New Roman" w:hAnsi="Times New Roman" w:cs="Times New Roman"/>
                <w:sz w:val="24"/>
                <w:szCs w:val="24"/>
                <w:lang w:val="en-US"/>
              </w:rPr>
            </w:pPr>
            <w:r w:rsidRPr="00E74FB9">
              <w:rPr>
                <w:rFonts w:ascii="Times New Roman" w:hAnsi="Times New Roman" w:cs="Times New Roman"/>
                <w:sz w:val="24"/>
                <w:szCs w:val="24"/>
                <w:lang w:val="en-US"/>
              </w:rPr>
              <w:t>(NiCo)Se</w:t>
            </w:r>
          </w:p>
        </w:tc>
        <w:tc>
          <w:tcPr>
            <w:tcW w:w="1692" w:type="dxa"/>
            <w:vAlign w:val="center"/>
          </w:tcPr>
          <w:p w14:paraId="171323C7" w14:textId="77777777" w:rsidR="003D53CD" w:rsidRPr="00E74FB9" w:rsidRDefault="003D53CD" w:rsidP="00F86403">
            <w:pPr>
              <w:jc w:val="center"/>
              <w:rPr>
                <w:rFonts w:ascii="Times New Roman" w:hAnsi="Times New Roman" w:cs="Times New Roman"/>
                <w:sz w:val="24"/>
                <w:szCs w:val="24"/>
                <w:lang w:val="en-US"/>
              </w:rPr>
            </w:pPr>
            <w:r w:rsidRPr="00E74FB9">
              <w:rPr>
                <w:rFonts w:ascii="Times New Roman" w:hAnsi="Times New Roman" w:cs="Times New Roman"/>
                <w:sz w:val="24"/>
                <w:szCs w:val="24"/>
                <w:lang w:val="en-US"/>
              </w:rPr>
              <w:t>16.64</w:t>
            </w:r>
          </w:p>
        </w:tc>
        <w:tc>
          <w:tcPr>
            <w:tcW w:w="1916" w:type="dxa"/>
            <w:vAlign w:val="center"/>
          </w:tcPr>
          <w:p w14:paraId="54503BB8" w14:textId="77777777" w:rsidR="003D53CD" w:rsidRPr="00E74FB9" w:rsidRDefault="003D53CD" w:rsidP="00F86403">
            <w:pPr>
              <w:jc w:val="center"/>
              <w:rPr>
                <w:rFonts w:ascii="Times New Roman" w:hAnsi="Times New Roman" w:cs="Times New Roman"/>
                <w:sz w:val="24"/>
                <w:szCs w:val="24"/>
                <w:lang w:val="en-US"/>
              </w:rPr>
            </w:pPr>
            <w:r w:rsidRPr="00E74FB9">
              <w:rPr>
                <w:rFonts w:ascii="Times New Roman" w:hAnsi="Times New Roman" w:cs="Times New Roman"/>
                <w:sz w:val="24"/>
                <w:szCs w:val="24"/>
                <w:lang w:val="en-US"/>
              </w:rPr>
              <w:t>2.19</w:t>
            </w:r>
          </w:p>
        </w:tc>
        <w:tc>
          <w:tcPr>
            <w:tcW w:w="1561" w:type="dxa"/>
            <w:vAlign w:val="center"/>
          </w:tcPr>
          <w:p w14:paraId="250FE50D" w14:textId="77777777" w:rsidR="003D53CD" w:rsidRPr="00E74FB9" w:rsidRDefault="003D53CD" w:rsidP="00F86403">
            <w:pPr>
              <w:jc w:val="center"/>
              <w:rPr>
                <w:rFonts w:ascii="Times New Roman" w:hAnsi="Times New Roman" w:cs="Times New Roman"/>
                <w:sz w:val="24"/>
                <w:szCs w:val="24"/>
                <w:lang w:val="en-US"/>
              </w:rPr>
            </w:pPr>
            <w:r w:rsidRPr="00E74FB9">
              <w:rPr>
                <w:rFonts w:ascii="Times New Roman" w:hAnsi="Times New Roman" w:cs="Times New Roman"/>
                <w:sz w:val="24"/>
                <w:szCs w:val="24"/>
                <w:lang w:val="en-US"/>
              </w:rPr>
              <w:t>7.60</w:t>
            </w:r>
          </w:p>
        </w:tc>
        <w:tc>
          <w:tcPr>
            <w:tcW w:w="1725" w:type="dxa"/>
            <w:vAlign w:val="center"/>
          </w:tcPr>
          <w:p w14:paraId="6DD2EA14" w14:textId="77777777" w:rsidR="003D53CD" w:rsidRPr="00E74FB9" w:rsidRDefault="003D53CD" w:rsidP="00F86403">
            <w:pPr>
              <w:jc w:val="center"/>
              <w:rPr>
                <w:rFonts w:ascii="Times New Roman" w:hAnsi="Times New Roman" w:cs="Times New Roman"/>
                <w:sz w:val="24"/>
                <w:szCs w:val="24"/>
                <w:lang w:val="en-US"/>
              </w:rPr>
            </w:pPr>
            <w:r w:rsidRPr="00E74FB9">
              <w:rPr>
                <w:rFonts w:ascii="Times New Roman" w:hAnsi="Times New Roman" w:cs="Times New Roman"/>
                <w:sz w:val="24"/>
                <w:szCs w:val="24"/>
                <w:lang w:val="en-US"/>
              </w:rPr>
              <w:t>28.09</w:t>
            </w:r>
          </w:p>
        </w:tc>
      </w:tr>
      <w:tr w:rsidR="003D53CD" w:rsidRPr="00E74FB9" w14:paraId="255F5007" w14:textId="77777777" w:rsidTr="00E74FB9">
        <w:trPr>
          <w:trHeight w:val="538"/>
          <w:jc w:val="center"/>
        </w:trPr>
        <w:tc>
          <w:tcPr>
            <w:tcW w:w="1514" w:type="dxa"/>
            <w:vAlign w:val="center"/>
          </w:tcPr>
          <w:p w14:paraId="549D6783" w14:textId="77777777" w:rsidR="003D53CD" w:rsidRPr="00E74FB9" w:rsidRDefault="003D53CD" w:rsidP="00F86403">
            <w:pPr>
              <w:rPr>
                <w:rFonts w:ascii="Times New Roman" w:hAnsi="Times New Roman" w:cs="Times New Roman"/>
                <w:sz w:val="24"/>
                <w:szCs w:val="24"/>
                <w:lang w:val="en-US"/>
              </w:rPr>
            </w:pPr>
            <w:r w:rsidRPr="00E74FB9">
              <w:rPr>
                <w:rFonts w:ascii="Times New Roman" w:hAnsi="Times New Roman" w:cs="Times New Roman"/>
                <w:sz w:val="24"/>
                <w:szCs w:val="24"/>
                <w:lang w:val="en-US"/>
              </w:rPr>
              <w:t>IrO</w:t>
            </w:r>
            <w:r w:rsidRPr="00E74FB9">
              <w:rPr>
                <w:rFonts w:ascii="Times New Roman" w:hAnsi="Times New Roman" w:cs="Times New Roman"/>
                <w:sz w:val="24"/>
                <w:szCs w:val="24"/>
                <w:vertAlign w:val="subscript"/>
                <w:lang w:val="en-US"/>
              </w:rPr>
              <w:t>2</w:t>
            </w:r>
          </w:p>
        </w:tc>
        <w:tc>
          <w:tcPr>
            <w:tcW w:w="1692" w:type="dxa"/>
            <w:vAlign w:val="center"/>
          </w:tcPr>
          <w:p w14:paraId="3598FA70" w14:textId="77777777" w:rsidR="003D53CD" w:rsidRPr="00E74FB9" w:rsidRDefault="003D53CD" w:rsidP="00F86403">
            <w:pPr>
              <w:jc w:val="center"/>
              <w:rPr>
                <w:rFonts w:ascii="Times New Roman" w:hAnsi="Times New Roman" w:cs="Times New Roman"/>
                <w:sz w:val="24"/>
                <w:szCs w:val="24"/>
                <w:lang w:val="en-US"/>
              </w:rPr>
            </w:pPr>
            <w:r w:rsidRPr="00E74FB9">
              <w:rPr>
                <w:rFonts w:ascii="Times New Roman" w:hAnsi="Times New Roman" w:cs="Times New Roman"/>
                <w:sz w:val="24"/>
                <w:szCs w:val="24"/>
                <w:lang w:val="en-US"/>
              </w:rPr>
              <w:t>9.94</w:t>
            </w:r>
          </w:p>
        </w:tc>
        <w:tc>
          <w:tcPr>
            <w:tcW w:w="1916" w:type="dxa"/>
            <w:vAlign w:val="center"/>
          </w:tcPr>
          <w:p w14:paraId="48CC591A" w14:textId="77777777" w:rsidR="003D53CD" w:rsidRPr="00E74FB9" w:rsidRDefault="003D53CD" w:rsidP="00F86403">
            <w:pPr>
              <w:jc w:val="center"/>
              <w:rPr>
                <w:rFonts w:ascii="Times New Roman" w:hAnsi="Times New Roman" w:cs="Times New Roman"/>
                <w:sz w:val="24"/>
                <w:szCs w:val="24"/>
                <w:lang w:val="en-US"/>
              </w:rPr>
            </w:pPr>
            <w:r w:rsidRPr="00E74FB9">
              <w:rPr>
                <w:rFonts w:ascii="Times New Roman" w:hAnsi="Times New Roman" w:cs="Times New Roman"/>
                <w:sz w:val="24"/>
                <w:szCs w:val="24"/>
                <w:lang w:val="en-US"/>
              </w:rPr>
              <w:t>0.74</w:t>
            </w:r>
          </w:p>
        </w:tc>
        <w:tc>
          <w:tcPr>
            <w:tcW w:w="1561" w:type="dxa"/>
            <w:vAlign w:val="center"/>
          </w:tcPr>
          <w:p w14:paraId="6283200C" w14:textId="77777777" w:rsidR="003D53CD" w:rsidRPr="00E74FB9" w:rsidRDefault="003D53CD" w:rsidP="00F86403">
            <w:pPr>
              <w:jc w:val="center"/>
              <w:rPr>
                <w:rFonts w:ascii="Times New Roman" w:hAnsi="Times New Roman" w:cs="Times New Roman"/>
                <w:sz w:val="24"/>
                <w:szCs w:val="24"/>
                <w:lang w:val="en-US"/>
              </w:rPr>
            </w:pPr>
            <w:r w:rsidRPr="00E74FB9">
              <w:rPr>
                <w:rFonts w:ascii="Times New Roman" w:hAnsi="Times New Roman" w:cs="Times New Roman"/>
                <w:sz w:val="24"/>
                <w:szCs w:val="24"/>
                <w:lang w:val="en-US"/>
              </w:rPr>
              <w:t>13.43</w:t>
            </w:r>
          </w:p>
        </w:tc>
        <w:tc>
          <w:tcPr>
            <w:tcW w:w="1725" w:type="dxa"/>
            <w:vAlign w:val="center"/>
          </w:tcPr>
          <w:p w14:paraId="5B7151E3" w14:textId="77777777" w:rsidR="003D53CD" w:rsidRPr="00E74FB9" w:rsidRDefault="003D53CD" w:rsidP="00F86403">
            <w:pPr>
              <w:jc w:val="center"/>
              <w:rPr>
                <w:rFonts w:ascii="Times New Roman" w:hAnsi="Times New Roman" w:cs="Times New Roman"/>
                <w:sz w:val="24"/>
                <w:szCs w:val="24"/>
                <w:lang w:val="en-US"/>
              </w:rPr>
            </w:pPr>
            <w:r w:rsidRPr="00E74FB9">
              <w:rPr>
                <w:rFonts w:ascii="Times New Roman" w:hAnsi="Times New Roman" w:cs="Times New Roman"/>
                <w:sz w:val="24"/>
                <w:szCs w:val="24"/>
                <w:lang w:val="en-US"/>
              </w:rPr>
              <w:t>27.49</w:t>
            </w:r>
          </w:p>
        </w:tc>
      </w:tr>
      <w:tr w:rsidR="003D53CD" w:rsidRPr="00E74FB9" w14:paraId="50F20CAB" w14:textId="77777777" w:rsidTr="00E74FB9">
        <w:trPr>
          <w:trHeight w:val="538"/>
          <w:jc w:val="center"/>
        </w:trPr>
        <w:tc>
          <w:tcPr>
            <w:tcW w:w="1514" w:type="dxa"/>
            <w:vAlign w:val="center"/>
          </w:tcPr>
          <w:p w14:paraId="548DD8DC" w14:textId="77777777" w:rsidR="003D53CD" w:rsidRPr="00E74FB9" w:rsidRDefault="003D53CD" w:rsidP="00F86403">
            <w:pPr>
              <w:rPr>
                <w:rFonts w:ascii="Times New Roman" w:hAnsi="Times New Roman" w:cs="Times New Roman"/>
                <w:sz w:val="24"/>
                <w:szCs w:val="24"/>
                <w:lang w:val="en-US"/>
              </w:rPr>
            </w:pPr>
            <w:r w:rsidRPr="00E74FB9">
              <w:rPr>
                <w:rFonts w:ascii="Times New Roman" w:hAnsi="Times New Roman" w:cs="Times New Roman"/>
                <w:sz w:val="24"/>
                <w:szCs w:val="24"/>
                <w:lang w:val="en-US"/>
              </w:rPr>
              <w:t>NiFe Sol-Gel</w:t>
            </w:r>
          </w:p>
        </w:tc>
        <w:tc>
          <w:tcPr>
            <w:tcW w:w="1692" w:type="dxa"/>
            <w:vAlign w:val="center"/>
          </w:tcPr>
          <w:p w14:paraId="60C5523A" w14:textId="77777777" w:rsidR="003D53CD" w:rsidRPr="00E74FB9" w:rsidRDefault="003D53CD" w:rsidP="00F86403">
            <w:pPr>
              <w:jc w:val="center"/>
              <w:rPr>
                <w:rFonts w:ascii="Times New Roman" w:hAnsi="Times New Roman" w:cs="Times New Roman"/>
                <w:sz w:val="24"/>
                <w:szCs w:val="24"/>
                <w:lang w:val="en-US"/>
              </w:rPr>
            </w:pPr>
            <w:r w:rsidRPr="00E74FB9">
              <w:rPr>
                <w:rFonts w:ascii="Times New Roman" w:hAnsi="Times New Roman" w:cs="Times New Roman"/>
                <w:sz w:val="24"/>
                <w:szCs w:val="24"/>
                <w:lang w:val="en-US"/>
              </w:rPr>
              <w:t>19.25</w:t>
            </w:r>
          </w:p>
        </w:tc>
        <w:tc>
          <w:tcPr>
            <w:tcW w:w="1916" w:type="dxa"/>
            <w:vAlign w:val="center"/>
          </w:tcPr>
          <w:p w14:paraId="0CF060E7" w14:textId="77777777" w:rsidR="003D53CD" w:rsidRPr="00E74FB9" w:rsidRDefault="003D53CD" w:rsidP="00F86403">
            <w:pPr>
              <w:jc w:val="center"/>
              <w:rPr>
                <w:rFonts w:ascii="Times New Roman" w:hAnsi="Times New Roman" w:cs="Times New Roman"/>
                <w:sz w:val="24"/>
                <w:szCs w:val="24"/>
                <w:lang w:val="en-US"/>
              </w:rPr>
            </w:pPr>
            <w:r w:rsidRPr="00E74FB9">
              <w:rPr>
                <w:rFonts w:ascii="Times New Roman" w:hAnsi="Times New Roman" w:cs="Times New Roman"/>
                <w:sz w:val="24"/>
                <w:szCs w:val="24"/>
                <w:lang w:val="en-US"/>
              </w:rPr>
              <w:t>0.07</w:t>
            </w:r>
          </w:p>
        </w:tc>
        <w:tc>
          <w:tcPr>
            <w:tcW w:w="1561" w:type="dxa"/>
            <w:vAlign w:val="center"/>
          </w:tcPr>
          <w:p w14:paraId="7CC22B9F" w14:textId="77777777" w:rsidR="003D53CD" w:rsidRPr="00E74FB9" w:rsidRDefault="003D53CD" w:rsidP="00F86403">
            <w:pPr>
              <w:jc w:val="center"/>
              <w:rPr>
                <w:rFonts w:ascii="Times New Roman" w:hAnsi="Times New Roman" w:cs="Times New Roman"/>
                <w:sz w:val="24"/>
                <w:szCs w:val="24"/>
                <w:lang w:val="en-US"/>
              </w:rPr>
            </w:pPr>
            <w:r w:rsidRPr="00E74FB9">
              <w:rPr>
                <w:rFonts w:ascii="Times New Roman" w:hAnsi="Times New Roman" w:cs="Times New Roman"/>
                <w:sz w:val="24"/>
                <w:szCs w:val="24"/>
                <w:lang w:val="en-US"/>
              </w:rPr>
              <w:t>275</w:t>
            </w:r>
          </w:p>
        </w:tc>
        <w:tc>
          <w:tcPr>
            <w:tcW w:w="1725" w:type="dxa"/>
            <w:vAlign w:val="center"/>
          </w:tcPr>
          <w:p w14:paraId="40106B52" w14:textId="77777777" w:rsidR="003D53CD" w:rsidRPr="00E74FB9" w:rsidRDefault="003D53CD" w:rsidP="00F86403">
            <w:pPr>
              <w:jc w:val="center"/>
              <w:rPr>
                <w:rFonts w:ascii="Times New Roman" w:hAnsi="Times New Roman" w:cs="Times New Roman"/>
                <w:sz w:val="24"/>
                <w:szCs w:val="24"/>
                <w:lang w:val="en-US"/>
              </w:rPr>
            </w:pPr>
            <w:r w:rsidRPr="00E74FB9">
              <w:rPr>
                <w:rFonts w:ascii="Times New Roman" w:hAnsi="Times New Roman" w:cs="Times New Roman"/>
                <w:sz w:val="24"/>
                <w:szCs w:val="24"/>
                <w:lang w:val="en-US"/>
              </w:rPr>
              <w:t>23.98</w:t>
            </w:r>
          </w:p>
        </w:tc>
      </w:tr>
      <w:tr w:rsidR="003D53CD" w:rsidRPr="00E74FB9" w14:paraId="4F6BBE9C" w14:textId="77777777" w:rsidTr="00E74FB9">
        <w:trPr>
          <w:trHeight w:val="538"/>
          <w:jc w:val="center"/>
        </w:trPr>
        <w:tc>
          <w:tcPr>
            <w:tcW w:w="1514" w:type="dxa"/>
            <w:vAlign w:val="center"/>
          </w:tcPr>
          <w:p w14:paraId="70DCDAD4" w14:textId="77777777" w:rsidR="003D53CD" w:rsidRPr="00E74FB9" w:rsidRDefault="003D53CD" w:rsidP="00F86403">
            <w:pPr>
              <w:rPr>
                <w:rFonts w:ascii="Times New Roman" w:hAnsi="Times New Roman" w:cs="Times New Roman"/>
                <w:sz w:val="24"/>
                <w:szCs w:val="24"/>
                <w:lang w:val="en-US"/>
              </w:rPr>
            </w:pPr>
            <w:r w:rsidRPr="00E74FB9">
              <w:rPr>
                <w:rFonts w:ascii="Times New Roman" w:hAnsi="Times New Roman" w:cs="Times New Roman"/>
                <w:sz w:val="24"/>
                <w:szCs w:val="24"/>
                <w:lang w:val="en-US"/>
              </w:rPr>
              <w:t>Ni</w:t>
            </w:r>
          </w:p>
        </w:tc>
        <w:tc>
          <w:tcPr>
            <w:tcW w:w="1692" w:type="dxa"/>
            <w:vAlign w:val="center"/>
          </w:tcPr>
          <w:p w14:paraId="63C3E7A2" w14:textId="77777777" w:rsidR="003D53CD" w:rsidRPr="00E74FB9" w:rsidRDefault="003D53CD" w:rsidP="00F86403">
            <w:pPr>
              <w:jc w:val="center"/>
              <w:rPr>
                <w:rFonts w:ascii="Times New Roman" w:hAnsi="Times New Roman" w:cs="Times New Roman"/>
                <w:sz w:val="24"/>
                <w:szCs w:val="24"/>
                <w:lang w:val="en-US"/>
              </w:rPr>
            </w:pPr>
            <w:r w:rsidRPr="00E74FB9">
              <w:rPr>
                <w:rFonts w:ascii="Times New Roman" w:hAnsi="Times New Roman" w:cs="Times New Roman"/>
                <w:sz w:val="24"/>
                <w:szCs w:val="24"/>
                <w:lang w:val="en-US"/>
              </w:rPr>
              <w:t>0.70</w:t>
            </w:r>
          </w:p>
        </w:tc>
        <w:tc>
          <w:tcPr>
            <w:tcW w:w="1916" w:type="dxa"/>
            <w:vAlign w:val="center"/>
          </w:tcPr>
          <w:p w14:paraId="6D9A0BFD" w14:textId="77777777" w:rsidR="003D53CD" w:rsidRPr="00E74FB9" w:rsidRDefault="003D53CD" w:rsidP="00F86403">
            <w:pPr>
              <w:jc w:val="center"/>
              <w:rPr>
                <w:rFonts w:ascii="Times New Roman" w:hAnsi="Times New Roman" w:cs="Times New Roman"/>
                <w:sz w:val="24"/>
                <w:szCs w:val="24"/>
                <w:lang w:val="en-US"/>
              </w:rPr>
            </w:pPr>
            <w:r w:rsidRPr="00E74FB9">
              <w:rPr>
                <w:rFonts w:ascii="Times New Roman" w:hAnsi="Times New Roman" w:cs="Times New Roman"/>
                <w:sz w:val="24"/>
                <w:szCs w:val="24"/>
                <w:lang w:val="en-US"/>
              </w:rPr>
              <w:t>0.04</w:t>
            </w:r>
          </w:p>
        </w:tc>
        <w:tc>
          <w:tcPr>
            <w:tcW w:w="1561" w:type="dxa"/>
            <w:vAlign w:val="center"/>
          </w:tcPr>
          <w:p w14:paraId="49CAD674" w14:textId="77777777" w:rsidR="003D53CD" w:rsidRPr="00E74FB9" w:rsidRDefault="003D53CD" w:rsidP="00F86403">
            <w:pPr>
              <w:jc w:val="center"/>
              <w:rPr>
                <w:rFonts w:ascii="Times New Roman" w:hAnsi="Times New Roman" w:cs="Times New Roman"/>
                <w:sz w:val="24"/>
                <w:szCs w:val="24"/>
                <w:lang w:val="en-US"/>
              </w:rPr>
            </w:pPr>
            <w:r w:rsidRPr="00E74FB9">
              <w:rPr>
                <w:rFonts w:ascii="Times New Roman" w:hAnsi="Times New Roman" w:cs="Times New Roman"/>
                <w:sz w:val="24"/>
                <w:szCs w:val="24"/>
                <w:lang w:val="en-US"/>
              </w:rPr>
              <w:t>17.55</w:t>
            </w:r>
          </w:p>
        </w:tc>
        <w:tc>
          <w:tcPr>
            <w:tcW w:w="1725" w:type="dxa"/>
            <w:vAlign w:val="center"/>
          </w:tcPr>
          <w:p w14:paraId="05920F90" w14:textId="77777777" w:rsidR="003D53CD" w:rsidRPr="00E74FB9" w:rsidRDefault="003D53CD" w:rsidP="00F86403">
            <w:pPr>
              <w:jc w:val="center"/>
              <w:rPr>
                <w:rFonts w:ascii="Times New Roman" w:hAnsi="Times New Roman" w:cs="Times New Roman"/>
                <w:sz w:val="24"/>
                <w:szCs w:val="24"/>
                <w:lang w:val="en-US"/>
              </w:rPr>
            </w:pPr>
            <w:r w:rsidRPr="00E74FB9">
              <w:rPr>
                <w:rFonts w:ascii="Times New Roman" w:hAnsi="Times New Roman" w:cs="Times New Roman"/>
                <w:sz w:val="24"/>
                <w:szCs w:val="24"/>
                <w:lang w:val="en-US"/>
              </w:rPr>
              <w:t>0.51</w:t>
            </w:r>
          </w:p>
        </w:tc>
      </w:tr>
    </w:tbl>
    <w:p w14:paraId="77190CBA" w14:textId="77777777" w:rsidR="003D53CD" w:rsidRPr="007E1168" w:rsidRDefault="003D53CD" w:rsidP="00F35D51">
      <w:pPr>
        <w:spacing w:line="480" w:lineRule="auto"/>
        <w:jc w:val="both"/>
        <w:rPr>
          <w:rFonts w:ascii="Times New Roman" w:eastAsia="Malgun Gothic" w:hAnsi="Times New Roman" w:cs="Times New Roman"/>
          <w:lang w:eastAsia="ko-KR"/>
        </w:rPr>
      </w:pPr>
    </w:p>
    <w:p w14:paraId="618843E2" w14:textId="77777777" w:rsidR="00F35D51" w:rsidRDefault="00F35D51" w:rsidP="00F35D51">
      <w:pPr>
        <w:spacing w:line="480" w:lineRule="auto"/>
        <w:rPr>
          <w:rFonts w:ascii="Times New Roman" w:eastAsia="Arial Unicode MS" w:hAnsi="Times New Roman" w:cs="Times New Roman"/>
          <w:b/>
          <w:bCs/>
          <w:iCs/>
        </w:rPr>
      </w:pPr>
      <w:r>
        <w:rPr>
          <w:rFonts w:ascii="Times New Roman" w:eastAsia="Arial Unicode MS" w:hAnsi="Times New Roman" w:cs="Times New Roman"/>
          <w:b/>
          <w:bCs/>
          <w:iCs/>
        </w:rPr>
        <w:t>X-ray absorption spectroscopy</w:t>
      </w:r>
    </w:p>
    <w:p w14:paraId="43A11E3A" w14:textId="77777777" w:rsidR="00F35D51" w:rsidRPr="006F31BF" w:rsidRDefault="00F35D51" w:rsidP="00F35D51">
      <w:pPr>
        <w:spacing w:line="480" w:lineRule="auto"/>
        <w:rPr>
          <w:rFonts w:ascii="Times New Roman" w:eastAsia="Arial Unicode MS" w:hAnsi="Times New Roman" w:cs="Times New Roman"/>
          <w:iCs/>
          <w:u w:val="single"/>
        </w:rPr>
      </w:pPr>
      <w:r w:rsidRPr="006F31BF">
        <w:rPr>
          <w:rFonts w:ascii="Times New Roman" w:eastAsia="Arial Unicode MS" w:hAnsi="Times New Roman" w:cs="Times New Roman"/>
          <w:iCs/>
          <w:u w:val="single"/>
        </w:rPr>
        <w:t>sXAS</w:t>
      </w:r>
    </w:p>
    <w:p w14:paraId="17116AD8" w14:textId="3FD7266B" w:rsidR="00F35D51" w:rsidRPr="00650642" w:rsidRDefault="00F35D51" w:rsidP="00F35D51">
      <w:pPr>
        <w:pStyle w:val="P1withIndendation"/>
        <w:spacing w:beforeLines="50" w:before="120" w:afterLines="50" w:after="120" w:line="480" w:lineRule="auto"/>
        <w:ind w:firstLine="0"/>
        <w:rPr>
          <w:rFonts w:eastAsia="SimSun"/>
          <w:sz w:val="24"/>
          <w:lang w:eastAsia="zh-CN"/>
        </w:rPr>
      </w:pPr>
      <w:r>
        <w:rPr>
          <w:i/>
          <w:sz w:val="24"/>
          <w:lang w:val="en-US" w:eastAsia="zh-CN"/>
        </w:rPr>
        <w:t>E</w:t>
      </w:r>
      <w:r w:rsidRPr="00484184">
        <w:rPr>
          <w:i/>
          <w:sz w:val="24"/>
          <w:lang w:val="en-US" w:eastAsia="zh-CN"/>
        </w:rPr>
        <w:t>x-situ</w:t>
      </w:r>
      <w:r w:rsidRPr="008F6EEF">
        <w:rPr>
          <w:sz w:val="24"/>
          <w:lang w:eastAsia="zh-CN"/>
        </w:rPr>
        <w:t xml:space="preserve"> </w:t>
      </w:r>
      <w:r w:rsidRPr="00211DC8">
        <w:rPr>
          <w:rFonts w:eastAsia="SimSun" w:hint="eastAsia"/>
          <w:sz w:val="24"/>
          <w:lang w:eastAsia="zh-CN"/>
        </w:rPr>
        <w:t>sXAS</w:t>
      </w:r>
      <w:r w:rsidRPr="008F6EEF">
        <w:rPr>
          <w:sz w:val="24"/>
          <w:lang w:eastAsia="zh-CN"/>
        </w:rPr>
        <w:t xml:space="preserve"> measurements were performed at the Spherical Grating Monochromator (SGM) beamline of the Canadian Light Source. All samples were scanned from </w:t>
      </w:r>
      <w:bookmarkStart w:id="5" w:name="OLE_LINK37"/>
      <w:bookmarkStart w:id="6" w:name="OLE_LINK38"/>
      <w:r w:rsidRPr="008F6EEF">
        <w:rPr>
          <w:sz w:val="24"/>
          <w:lang w:eastAsia="zh-CN"/>
        </w:rPr>
        <w:t>in 0.1 eV steps</w:t>
      </w:r>
      <w:bookmarkEnd w:id="5"/>
      <w:bookmarkEnd w:id="6"/>
      <w:r w:rsidRPr="00211DC8">
        <w:rPr>
          <w:rFonts w:eastAsia="SimSun" w:hint="eastAsia"/>
          <w:sz w:val="24"/>
          <w:lang w:eastAsia="zh-CN"/>
        </w:rPr>
        <w:t xml:space="preserve"> for</w:t>
      </w:r>
      <w:r w:rsidRPr="008F6EEF">
        <w:rPr>
          <w:sz w:val="24"/>
          <w:lang w:eastAsia="zh-CN"/>
        </w:rPr>
        <w:t xml:space="preserve"> the. Surface sensitive absorption spectra were recorded using total electron yield (TEY)</w:t>
      </w:r>
      <w:r>
        <w:rPr>
          <w:rFonts w:eastAsiaTheme="minorEastAsia" w:hint="eastAsia"/>
          <w:sz w:val="24"/>
          <w:lang w:eastAsia="zh-CN"/>
        </w:rPr>
        <w:t xml:space="preserve"> and </w:t>
      </w:r>
      <w:r w:rsidRPr="00BB516D">
        <w:rPr>
          <w:sz w:val="24"/>
          <w:lang w:eastAsia="zh-CN"/>
        </w:rPr>
        <w:t>partial fluorescence yield (PFY)</w:t>
      </w:r>
      <w:r>
        <w:rPr>
          <w:rFonts w:eastAsiaTheme="minorEastAsia" w:hint="eastAsia"/>
          <w:sz w:val="24"/>
          <w:lang w:eastAsia="zh-CN"/>
        </w:rPr>
        <w:t xml:space="preserve"> </w:t>
      </w:r>
      <w:r w:rsidRPr="00813F1E">
        <w:rPr>
          <w:rFonts w:eastAsiaTheme="minorEastAsia"/>
          <w:sz w:val="24"/>
          <w:lang w:eastAsia="zh-CN"/>
        </w:rPr>
        <w:t>simultaneously</w:t>
      </w:r>
      <w:r w:rsidRPr="008F6EEF">
        <w:rPr>
          <w:sz w:val="24"/>
          <w:lang w:eastAsia="zh-CN"/>
        </w:rPr>
        <w:t>.</w:t>
      </w:r>
    </w:p>
    <w:p w14:paraId="123C96CB" w14:textId="77777777" w:rsidR="00F35D51" w:rsidRPr="006F31BF" w:rsidRDefault="00F35D51" w:rsidP="00F35D51">
      <w:pPr>
        <w:spacing w:line="480" w:lineRule="auto"/>
        <w:rPr>
          <w:rFonts w:ascii="Times New Roman" w:eastAsia="Arial Unicode MS" w:hAnsi="Times New Roman" w:cs="Times New Roman"/>
          <w:iCs/>
          <w:u w:val="single"/>
        </w:rPr>
      </w:pPr>
      <w:r w:rsidRPr="006F31BF">
        <w:rPr>
          <w:rFonts w:ascii="Times New Roman" w:eastAsia="Arial Unicode MS" w:hAnsi="Times New Roman" w:cs="Times New Roman"/>
          <w:iCs/>
          <w:u w:val="single"/>
        </w:rPr>
        <w:t xml:space="preserve">In situ XAS </w:t>
      </w:r>
    </w:p>
    <w:p w14:paraId="3971B7AC" w14:textId="58F130F9" w:rsidR="00F35D51" w:rsidRDefault="00F35D51" w:rsidP="00F35D51">
      <w:pPr>
        <w:spacing w:line="480" w:lineRule="auto"/>
        <w:jc w:val="both"/>
        <w:rPr>
          <w:rFonts w:ascii="Times" w:hAnsi="Times"/>
        </w:rPr>
      </w:pPr>
      <w:r>
        <w:rPr>
          <w:rFonts w:ascii="Times" w:hAnsi="Times"/>
          <w:i/>
          <w:iCs/>
        </w:rPr>
        <w:t>I</w:t>
      </w:r>
      <w:r w:rsidRPr="005164D8">
        <w:rPr>
          <w:rFonts w:ascii="Times" w:hAnsi="Times"/>
          <w:i/>
          <w:iCs/>
        </w:rPr>
        <w:t>n situ</w:t>
      </w:r>
      <w:r w:rsidRPr="00EA45F3">
        <w:rPr>
          <w:rFonts w:ascii="Times" w:hAnsi="Times"/>
        </w:rPr>
        <w:t xml:space="preserve"> X-ray absorption spectroscopy</w:t>
      </w:r>
      <w:r w:rsidRPr="007958AB">
        <w:rPr>
          <w:rFonts w:ascii="Times" w:hAnsi="Times"/>
        </w:rPr>
        <w:t xml:space="preserve"> (XAS)</w:t>
      </w:r>
      <w:r w:rsidRPr="006325ED">
        <w:rPr>
          <w:rFonts w:ascii="Times" w:hAnsi="Times"/>
          <w:b/>
          <w:bCs/>
        </w:rPr>
        <w:t xml:space="preserve"> </w:t>
      </w:r>
      <w:r w:rsidRPr="0033519C">
        <w:rPr>
          <w:rFonts w:ascii="Times" w:hAnsi="Times"/>
        </w:rPr>
        <w:t>measurements</w:t>
      </w:r>
      <w:r>
        <w:rPr>
          <w:rFonts w:ascii="Times" w:hAnsi="Times"/>
        </w:rPr>
        <w:t xml:space="preserve"> for the K-edge of Ni and Co were carried out at 9-BM using quick XAS (30 secs per spectrum), while Se was measured at 20BM in the advanced photon source (APS, IL, USA). An in-house custom-made electrochemical cell with a typical three-electrode configuration was used to track XAS changes </w:t>
      </w:r>
      <w:r w:rsidRPr="00FC71AF">
        <w:rPr>
          <w:rFonts w:ascii="Times" w:hAnsi="Times"/>
          <w:i/>
          <w:iCs/>
        </w:rPr>
        <w:t>in situ</w:t>
      </w:r>
      <w:r>
        <w:rPr>
          <w:rFonts w:ascii="Times" w:hAnsi="Times"/>
        </w:rPr>
        <w:t>. A platinum mesh and Ag/AgCl electrode were used as counter electrode and reference electrode, respectively. The catalyst was prepared on one side of a carbon paper while the other side was stuck to a thin Kapton tape (</w:t>
      </w:r>
      <w:r w:rsidRPr="00BB39D1">
        <w:rPr>
          <w:rFonts w:ascii="Times" w:hAnsi="Times"/>
        </w:rPr>
        <w:t>polyimide film with silicone adhesive</w:t>
      </w:r>
      <w:r>
        <w:rPr>
          <w:rFonts w:ascii="Times" w:hAnsi="Times"/>
        </w:rPr>
        <w:t xml:space="preserve">) and connected electrically by Cu tape. Then, the sample was mounted on the window of the electrochemical cell so that the back side of the sample is facing the beam and the catalyst (front side) is in direct contact </w:t>
      </w:r>
      <w:r>
        <w:rPr>
          <w:rFonts w:ascii="Times" w:hAnsi="Times"/>
        </w:rPr>
        <w:lastRenderedPageBreak/>
        <w:t xml:space="preserve">with the electrolyte. All measurements were done in air and under ambient conditions. </w:t>
      </w:r>
      <w:r w:rsidRPr="00311EBC">
        <w:rPr>
          <w:rFonts w:ascii="Times" w:hAnsi="Times"/>
          <w:i/>
          <w:iCs/>
        </w:rPr>
        <w:t>In situ</w:t>
      </w:r>
      <w:r>
        <w:rPr>
          <w:rFonts w:ascii="Times" w:hAnsi="Times"/>
        </w:rPr>
        <w:t xml:space="preserve"> experiments were conducted at 4 conditions: Dry, OCP, 1.1V (Before OER) and 1.5V (during OER) in 1M KOH. Data was collected in fluorescence mode using a </w:t>
      </w:r>
      <w:r w:rsidRPr="00AF35F3">
        <w:rPr>
          <w:rFonts w:ascii="Times" w:hAnsi="Times"/>
        </w:rPr>
        <w:t>Passivated Implanted Planar Silicon (PIPS)</w:t>
      </w:r>
      <w:r>
        <w:rPr>
          <w:rFonts w:ascii="Times" w:hAnsi="Times"/>
        </w:rPr>
        <w:t>/Lytle detector placed at 45</w:t>
      </w:r>
      <w:r w:rsidRPr="00674474">
        <w:rPr>
          <w:rFonts w:ascii="Times" w:hAnsi="Times"/>
        </w:rPr>
        <w:t>°</w:t>
      </w:r>
      <w:r>
        <w:rPr>
          <w:rFonts w:ascii="Times" w:hAnsi="Times"/>
        </w:rPr>
        <w:t xml:space="preserve"> degrees. Several spectra were collected and averaged at each condition to improve the quality of the data and increase the signal to noise ratio. Data post-processing and fitting was done entirely using Demeter software package</w:t>
      </w:r>
      <w:r>
        <w:rPr>
          <w:rFonts w:ascii="Times" w:hAnsi="Times"/>
        </w:rPr>
        <w:fldChar w:fldCharType="begin" w:fldLock="1"/>
      </w:r>
      <w:r w:rsidR="0096753A">
        <w:rPr>
          <w:rFonts w:ascii="Times" w:hAnsi="Times"/>
        </w:rPr>
        <w:instrText>ADDIN CSL_CITATION {"citationItems":[{"id":"ITEM-1","itemData":{"DOI":"10.1107/S0909049505012719","ISBN":"0909049505012","ISSN":"09090495","PMID":"15968136","abstract":"A software package for the analysis of X-ray absorption spectroscopy (XAS) data is presented. This package is based on the IFEFFIT library of numerical and XAS algorithms and is written in the Perl programming language using the Perl/Tk graphics toolkit. The programs described here are: (i) ATHENA, a program for XAS data processing, (ii) ARTEMIS, a program for EXAFS data analysis using theoretical standards from FEFF and (iii) HEPHAESTUS, a collection of beamline utilities based on tables of atomic absorption data. These programs enable high-quality data analysis that is accessible to novices while still powerful enough to meet the demands of an expert practitioner. The programs run on all major computer platforms and are freely available under the terms of a free software license. © 2005 International Union of Crystallography Printed in Great Britain - all rights reserved.","author":[{"dropping-particle":"","family":"Ravel","given":"B.","non-dropping-particle":"","parse-names":false,"suffix":""},{"dropping-particle":"","family":"Newville","given":"M.","non-dropping-particle":"","parse-names":false,"suffix":""}],"container-title":"Journal of Synchrotron Radiation","id":"ITEM-1","issue":"4","issued":{"date-parts":[["2005"]]},"page":"537-541","publisher":"International Union of Crystallography","title":"ATHENA, ARTEMIS, HEPHAESTUS: Data analysis for X-ray absorption spectroscopy using IFEFFIT","type":"article-journal","volume":"12"},"uris":["http://www.mendeley.com/documents/?uuid=fc6aa937-20ff-4fe3-b55e-b2f2fb491607"]}],"mendeley":{"formattedCitation":"&lt;sup&gt;11&lt;/sup&gt;","plainTextFormattedCitation":"11","previouslyFormattedCitation":"&lt;sup&gt;11&lt;/sup&gt;"},"properties":{"noteIndex":0},"schema":"https://github.com/citation-style-language/schema/raw/master/csl-citation.json"}</w:instrText>
      </w:r>
      <w:r>
        <w:rPr>
          <w:rFonts w:ascii="Times" w:hAnsi="Times"/>
        </w:rPr>
        <w:fldChar w:fldCharType="separate"/>
      </w:r>
      <w:r w:rsidR="001067BB" w:rsidRPr="001067BB">
        <w:rPr>
          <w:rFonts w:ascii="Times" w:hAnsi="Times"/>
          <w:noProof/>
          <w:vertAlign w:val="superscript"/>
        </w:rPr>
        <w:t>11</w:t>
      </w:r>
      <w:r>
        <w:rPr>
          <w:rFonts w:ascii="Times" w:hAnsi="Times"/>
        </w:rPr>
        <w:fldChar w:fldCharType="end"/>
      </w:r>
      <w:r>
        <w:rPr>
          <w:rFonts w:ascii="Times" w:hAnsi="Times"/>
        </w:rPr>
        <w:t xml:space="preserve">. </w:t>
      </w:r>
    </w:p>
    <w:p w14:paraId="79C9B3AB" w14:textId="77777777" w:rsidR="00774B53" w:rsidRPr="00720895" w:rsidRDefault="00774B53" w:rsidP="006E5493">
      <w:pPr>
        <w:spacing w:line="480" w:lineRule="auto"/>
        <w:rPr>
          <w:rFonts w:ascii="Times New Roman" w:hAnsi="Times New Roman" w:cs="Times New Roman"/>
          <w:b/>
          <w:bCs/>
        </w:rPr>
      </w:pPr>
      <w:r w:rsidRPr="00720895">
        <w:rPr>
          <w:rFonts w:ascii="Times New Roman" w:hAnsi="Times New Roman" w:cs="Times New Roman"/>
          <w:b/>
          <w:bCs/>
        </w:rPr>
        <w:t>Computational methods</w:t>
      </w:r>
    </w:p>
    <w:p w14:paraId="49FE8D79" w14:textId="7FDDA6DA" w:rsidR="00774B53" w:rsidRPr="00720895" w:rsidRDefault="00774B53" w:rsidP="00774B53">
      <w:pPr>
        <w:pStyle w:val="RSCB02ArticleText"/>
        <w:spacing w:line="480" w:lineRule="auto"/>
        <w:rPr>
          <w:rFonts w:ascii="Times New Roman" w:hAnsi="Times New Roman"/>
          <w:color w:val="000000"/>
          <w:sz w:val="24"/>
          <w:szCs w:val="24"/>
        </w:rPr>
      </w:pPr>
      <w:r w:rsidRPr="00720895">
        <w:rPr>
          <w:rFonts w:ascii="Times New Roman" w:hAnsi="Times New Roman"/>
          <w:sz w:val="24"/>
          <w:szCs w:val="24"/>
        </w:rPr>
        <w:t>The (</w:t>
      </w:r>
      <w:r>
        <w:rPr>
          <w:rFonts w:ascii="Times New Roman" w:hAnsi="Times New Roman"/>
          <w:sz w:val="24"/>
          <w:szCs w:val="24"/>
        </w:rPr>
        <w:t>001</w:t>
      </w:r>
      <w:r w:rsidRPr="00720895">
        <w:rPr>
          <w:rFonts w:ascii="Times New Roman" w:hAnsi="Times New Roman"/>
          <w:sz w:val="24"/>
          <w:szCs w:val="24"/>
        </w:rPr>
        <w:t>) and (101) NiSe surfaces of the pure material</w:t>
      </w:r>
      <w:r>
        <w:rPr>
          <w:rFonts w:ascii="Times New Roman" w:hAnsi="Times New Roman"/>
          <w:sz w:val="24"/>
          <w:szCs w:val="24"/>
        </w:rPr>
        <w:t xml:space="preserve"> (Ni-Se)</w:t>
      </w:r>
      <w:r w:rsidRPr="00720895">
        <w:rPr>
          <w:rFonts w:ascii="Times New Roman" w:hAnsi="Times New Roman"/>
          <w:sz w:val="24"/>
          <w:szCs w:val="24"/>
        </w:rPr>
        <w:t>, containing a Se vacancy</w:t>
      </w:r>
      <w:r>
        <w:rPr>
          <w:rFonts w:ascii="Times New Roman" w:hAnsi="Times New Roman"/>
          <w:sz w:val="24"/>
          <w:szCs w:val="24"/>
        </w:rPr>
        <w:t xml:space="preserve"> (Ni-Se</w:t>
      </w:r>
      <w:r w:rsidRPr="002D0ACD">
        <w:rPr>
          <w:rFonts w:ascii="Times New Roman" w:hAnsi="Times New Roman"/>
          <w:sz w:val="24"/>
          <w:szCs w:val="24"/>
          <w:vertAlign w:val="subscript"/>
        </w:rPr>
        <w:t>vac</w:t>
      </w:r>
      <w:r>
        <w:rPr>
          <w:rFonts w:ascii="Times New Roman" w:hAnsi="Times New Roman"/>
          <w:sz w:val="24"/>
          <w:szCs w:val="24"/>
        </w:rPr>
        <w:t>)</w:t>
      </w:r>
      <w:r w:rsidRPr="00720895">
        <w:rPr>
          <w:rFonts w:ascii="Times New Roman" w:hAnsi="Times New Roman"/>
          <w:sz w:val="24"/>
          <w:szCs w:val="24"/>
        </w:rPr>
        <w:t>, Co-doping</w:t>
      </w:r>
      <w:r>
        <w:rPr>
          <w:rFonts w:ascii="Times New Roman" w:hAnsi="Times New Roman"/>
          <w:sz w:val="24"/>
          <w:szCs w:val="24"/>
        </w:rPr>
        <w:t xml:space="preserve"> (Ni-Co-Se)</w:t>
      </w:r>
      <w:r w:rsidRPr="00720895">
        <w:rPr>
          <w:rFonts w:ascii="Times New Roman" w:hAnsi="Times New Roman"/>
          <w:sz w:val="24"/>
          <w:szCs w:val="24"/>
        </w:rPr>
        <w:t>, and a combination of a Se vacancy and Co-doping</w:t>
      </w:r>
      <w:r>
        <w:rPr>
          <w:rFonts w:ascii="Times New Roman" w:hAnsi="Times New Roman"/>
          <w:sz w:val="24"/>
          <w:szCs w:val="24"/>
        </w:rPr>
        <w:t xml:space="preserve"> (Ni-Co-Se</w:t>
      </w:r>
      <w:r w:rsidRPr="002D0ACD">
        <w:rPr>
          <w:rFonts w:ascii="Times New Roman" w:hAnsi="Times New Roman"/>
          <w:sz w:val="24"/>
          <w:szCs w:val="24"/>
          <w:vertAlign w:val="subscript"/>
        </w:rPr>
        <w:t>vac</w:t>
      </w:r>
      <w:r>
        <w:rPr>
          <w:rFonts w:ascii="Times New Roman" w:hAnsi="Times New Roman"/>
          <w:sz w:val="24"/>
          <w:szCs w:val="24"/>
        </w:rPr>
        <w:t>)</w:t>
      </w:r>
      <w:r w:rsidRPr="00720895">
        <w:rPr>
          <w:rFonts w:ascii="Times New Roman" w:hAnsi="Times New Roman"/>
          <w:sz w:val="24"/>
          <w:szCs w:val="24"/>
        </w:rPr>
        <w:t>, were selected for calculations (</w:t>
      </w:r>
      <w:r w:rsidRPr="00720895">
        <w:rPr>
          <w:rFonts w:ascii="Times New Roman" w:hAnsi="Times New Roman"/>
          <w:b/>
          <w:bCs/>
          <w:sz w:val="24"/>
          <w:szCs w:val="24"/>
        </w:rPr>
        <w:t>Figures S</w:t>
      </w:r>
      <w:r w:rsidR="005E4458">
        <w:rPr>
          <w:rFonts w:ascii="Times New Roman" w:hAnsi="Times New Roman"/>
          <w:b/>
          <w:bCs/>
          <w:sz w:val="24"/>
          <w:szCs w:val="24"/>
        </w:rPr>
        <w:t>12</w:t>
      </w:r>
      <w:r w:rsidRPr="00720895">
        <w:rPr>
          <w:rFonts w:ascii="Times New Roman" w:hAnsi="Times New Roman"/>
          <w:b/>
          <w:bCs/>
          <w:sz w:val="24"/>
          <w:szCs w:val="24"/>
        </w:rPr>
        <w:t>, S</w:t>
      </w:r>
      <w:r w:rsidR="000D0E13">
        <w:rPr>
          <w:rFonts w:ascii="Times New Roman" w:hAnsi="Times New Roman"/>
          <w:b/>
          <w:bCs/>
          <w:sz w:val="24"/>
          <w:szCs w:val="24"/>
        </w:rPr>
        <w:t>1</w:t>
      </w:r>
      <w:r w:rsidR="005E4458">
        <w:rPr>
          <w:rFonts w:ascii="Times New Roman" w:hAnsi="Times New Roman"/>
          <w:b/>
          <w:bCs/>
          <w:sz w:val="24"/>
          <w:szCs w:val="24"/>
        </w:rPr>
        <w:t>3</w:t>
      </w:r>
      <w:r w:rsidRPr="00720895">
        <w:rPr>
          <w:rFonts w:ascii="Times New Roman" w:hAnsi="Times New Roman"/>
          <w:b/>
          <w:bCs/>
          <w:sz w:val="24"/>
          <w:szCs w:val="24"/>
        </w:rPr>
        <w:t>, and S</w:t>
      </w:r>
      <w:r w:rsidR="000D0E13">
        <w:rPr>
          <w:rFonts w:ascii="Times New Roman" w:hAnsi="Times New Roman"/>
          <w:b/>
          <w:bCs/>
          <w:sz w:val="24"/>
          <w:szCs w:val="24"/>
        </w:rPr>
        <w:t>1</w:t>
      </w:r>
      <w:r w:rsidR="005E4458">
        <w:rPr>
          <w:rFonts w:ascii="Times New Roman" w:hAnsi="Times New Roman"/>
          <w:b/>
          <w:bCs/>
          <w:sz w:val="24"/>
          <w:szCs w:val="24"/>
        </w:rPr>
        <w:t>4</w:t>
      </w:r>
      <w:r w:rsidRPr="00720895">
        <w:rPr>
          <w:rFonts w:ascii="Times New Roman" w:hAnsi="Times New Roman"/>
          <w:sz w:val="24"/>
          <w:szCs w:val="24"/>
        </w:rPr>
        <w:t>). These systems are consistent with the experimental results. We considered OER species on Ni and Co sites because of the experimental 50% Co doping</w:t>
      </w:r>
      <w:r>
        <w:rPr>
          <w:rFonts w:ascii="Times New Roman" w:hAnsi="Times New Roman"/>
          <w:sz w:val="24"/>
          <w:szCs w:val="24"/>
        </w:rPr>
        <w:t>, t</w:t>
      </w:r>
      <w:r w:rsidRPr="00720895">
        <w:rPr>
          <w:rFonts w:ascii="Times New Roman" w:hAnsi="Times New Roman"/>
          <w:sz w:val="24"/>
          <w:szCs w:val="24"/>
        </w:rPr>
        <w:t xml:space="preserve">herefore only 50% of the Ni atoms in the top layer were substituted with Co. The (001) </w:t>
      </w:r>
      <w:r w:rsidRPr="004C336D">
        <w:rPr>
          <w:rFonts w:ascii="Times New Roman" w:hAnsi="Times New Roman"/>
          <w:sz w:val="24"/>
          <w:szCs w:val="24"/>
        </w:rPr>
        <w:t>and (</w:t>
      </w:r>
      <w:r>
        <w:rPr>
          <w:rFonts w:ascii="Times New Roman" w:hAnsi="Times New Roman"/>
          <w:sz w:val="24"/>
          <w:szCs w:val="24"/>
        </w:rPr>
        <w:t>101</w:t>
      </w:r>
      <w:r w:rsidRPr="004C336D">
        <w:rPr>
          <w:rFonts w:ascii="Times New Roman" w:hAnsi="Times New Roman"/>
          <w:sz w:val="24"/>
          <w:szCs w:val="24"/>
        </w:rPr>
        <w:t>)</w:t>
      </w:r>
      <w:r w:rsidRPr="00720895">
        <w:rPr>
          <w:rFonts w:ascii="Times New Roman" w:hAnsi="Times New Roman"/>
          <w:sz w:val="24"/>
          <w:szCs w:val="24"/>
        </w:rPr>
        <w:t xml:space="preserve"> surfaces have 3×3 and </w:t>
      </w:r>
      <w:r w:rsidRPr="00294E5B">
        <w:rPr>
          <w:rFonts w:ascii="Times New Roman" w:hAnsi="Times New Roman"/>
          <w:sz w:val="24"/>
          <w:szCs w:val="24"/>
        </w:rPr>
        <w:t>3×2</w:t>
      </w:r>
      <w:r w:rsidRPr="00720895">
        <w:rPr>
          <w:rFonts w:ascii="Times New Roman" w:hAnsi="Times New Roman"/>
          <w:sz w:val="24"/>
          <w:szCs w:val="24"/>
        </w:rPr>
        <w:t xml:space="preserve"> supercell dimensions with</w:t>
      </w:r>
      <w:r>
        <w:rPr>
          <w:rFonts w:ascii="Times New Roman" w:hAnsi="Times New Roman"/>
          <w:sz w:val="24"/>
          <w:szCs w:val="24"/>
        </w:rPr>
        <w:t xml:space="preserve"> a</w:t>
      </w:r>
      <w:r w:rsidRPr="00720895">
        <w:rPr>
          <w:rFonts w:ascii="Times New Roman" w:hAnsi="Times New Roman"/>
          <w:sz w:val="24"/>
          <w:szCs w:val="24"/>
        </w:rPr>
        <w:t xml:space="preserve"> 15 Å vacuum layer to prevent the slabs from interacting with each other. The surfaces have five layers and bottom three layers were fixed to mimic bulk conditions. The </w:t>
      </w:r>
      <w:proofErr w:type="spellStart"/>
      <w:r w:rsidRPr="00720895">
        <w:rPr>
          <w:rFonts w:ascii="Times New Roman" w:hAnsi="Times New Roman"/>
          <w:sz w:val="24"/>
          <w:szCs w:val="24"/>
        </w:rPr>
        <w:t>Perdew</w:t>
      </w:r>
      <w:proofErr w:type="spellEnd"/>
      <w:r w:rsidRPr="00720895">
        <w:rPr>
          <w:rFonts w:ascii="Times New Roman" w:hAnsi="Times New Roman"/>
          <w:sz w:val="24"/>
          <w:szCs w:val="24"/>
        </w:rPr>
        <w:t xml:space="preserve">, Burke, and </w:t>
      </w:r>
      <w:proofErr w:type="spellStart"/>
      <w:r w:rsidRPr="00720895">
        <w:rPr>
          <w:rFonts w:ascii="Times New Roman" w:hAnsi="Times New Roman"/>
          <w:sz w:val="24"/>
          <w:szCs w:val="24"/>
        </w:rPr>
        <w:t>Ernzerhof</w:t>
      </w:r>
      <w:proofErr w:type="spellEnd"/>
      <w:r w:rsidRPr="00720895">
        <w:rPr>
          <w:rFonts w:ascii="Times New Roman" w:hAnsi="Times New Roman"/>
          <w:sz w:val="24"/>
          <w:szCs w:val="24"/>
        </w:rPr>
        <w:t xml:space="preserve"> (PBE)</w:t>
      </w:r>
      <w:r w:rsidR="0096753A">
        <w:rPr>
          <w:rFonts w:ascii="Times New Roman" w:hAnsi="Times New Roman"/>
          <w:sz w:val="24"/>
          <w:szCs w:val="24"/>
        </w:rPr>
        <w:fldChar w:fldCharType="begin" w:fldLock="1"/>
      </w:r>
      <w:r w:rsidR="00A12B7C">
        <w:rPr>
          <w:rFonts w:ascii="Times New Roman" w:hAnsi="Times New Roman"/>
          <w:sz w:val="24"/>
          <w:szCs w:val="24"/>
        </w:rPr>
        <w:instrText>ADDIN CSL_CITATION {"citationItems":[{"id":"ITEM-1","itemData":{"DOI":"10.1103/PhysRevLett.77.3865","ISSN":"10797114","abstract":"Generalized gradient approximations (GGA's) for the exchange-correlation energy improve upon the local spin density (LSD) description of atoms, molecules, and solids. We present a simple derivation of a simple GGA, in which all parameters (other than those in LSD) are fundamental constants. Only general features of the detailed construction underlying the Perdew-Wang 1991 (PW91) GGA are invoked. Improvements over PW91 include an accurate description of the linear response of the uniform electron gas, correct behavior under uniform scaling, and a smoother potential. © 1996 The American Physical Society.","author":[{"dropping-particle":"","family":"Perdew","given":"John P.","non-dropping-particle":"","parse-names":false,"suffix":""},{"dropping-particle":"","family":"Burke","given":"Kieron","non-dropping-particle":"","parse-names":false,"suffix":""},{"dropping-particle":"","family":"Ernzerhof","given":"Matthias","non-dropping-particle":"","parse-names":false,"suffix":""}],"container-title":"Physical Review Letters","id":"ITEM-1","issue":"18","issued":{"date-parts":[["1996"]]},"page":"3865-3868","publisher":"Phys Rev Lett","title":"Generalized gradient approximation made simple","type":"article-journal","volume":"77"},"uris":["http://www.mendeley.com/documents/?uuid=a35ae46c-8b4d-31dd-ae68-ce7b75e23770"]}],"mendeley":{"formattedCitation":"&lt;sup&gt;12&lt;/sup&gt;","plainTextFormattedCitation":"12","previouslyFormattedCitation":"&lt;sup&gt;12&lt;/sup&gt;"},"properties":{"noteIndex":0},"schema":"https://github.com/citation-style-language/schema/raw/master/csl-citation.json"}</w:instrText>
      </w:r>
      <w:r w:rsidR="0096753A">
        <w:rPr>
          <w:rFonts w:ascii="Times New Roman" w:hAnsi="Times New Roman"/>
          <w:sz w:val="24"/>
          <w:szCs w:val="24"/>
        </w:rPr>
        <w:fldChar w:fldCharType="separate"/>
      </w:r>
      <w:r w:rsidR="0096753A" w:rsidRPr="0096753A">
        <w:rPr>
          <w:rFonts w:ascii="Times New Roman" w:hAnsi="Times New Roman"/>
          <w:noProof/>
          <w:sz w:val="24"/>
          <w:szCs w:val="24"/>
          <w:vertAlign w:val="superscript"/>
        </w:rPr>
        <w:t>12</w:t>
      </w:r>
      <w:r w:rsidR="0096753A">
        <w:rPr>
          <w:rFonts w:ascii="Times New Roman" w:hAnsi="Times New Roman"/>
          <w:sz w:val="24"/>
          <w:szCs w:val="24"/>
        </w:rPr>
        <w:fldChar w:fldCharType="end"/>
      </w:r>
      <w:r>
        <w:rPr>
          <w:rFonts w:ascii="Times New Roman" w:hAnsi="Times New Roman"/>
          <w:sz w:val="24"/>
          <w:szCs w:val="24"/>
        </w:rPr>
        <w:t xml:space="preserve"> </w:t>
      </w:r>
      <w:r w:rsidRPr="00720895">
        <w:rPr>
          <w:rFonts w:ascii="Times New Roman" w:hAnsi="Times New Roman"/>
          <w:sz w:val="24"/>
          <w:szCs w:val="24"/>
        </w:rPr>
        <w:t>exchange-correlation functional with a dispersion interaction correction (PBE+D)</w:t>
      </w:r>
      <w:r w:rsidR="00A12B7C">
        <w:rPr>
          <w:rFonts w:ascii="Times New Roman" w:hAnsi="Times New Roman"/>
          <w:sz w:val="24"/>
          <w:szCs w:val="24"/>
        </w:rPr>
        <w:fldChar w:fldCharType="begin" w:fldLock="1"/>
      </w:r>
      <w:r w:rsidR="00391469">
        <w:rPr>
          <w:rFonts w:ascii="Times New Roman" w:hAnsi="Times New Roman"/>
          <w:sz w:val="24"/>
          <w:szCs w:val="24"/>
        </w:rPr>
        <w:instrText>ADDIN CSL_CITATION {"citationItems":[{"id":"ITEM-1","itemData":{"DOI":"10.1063/1.3382344","ISSN":"00219606","PMID":"20423165","abstract":"The method of dispersion correction as an add-on to standard Kohn-Sham density functional theory (DFT-D) has been refined regarding higher accuracy, broader range of applicability, and less empiricism. The main new ingredients are atom-pairwise specific dispersion coefficients and cutoff radii that are both computed from first principles. The coefficients for new eighth-order dispersion terms are computed using established recursion relations. System (geometry) dependent information is used for the first time in a DFT-D type approach by employing the new concept of fractional coordination numbers (CN). They are used to interpolate between dispersion coefficients of atoms in different chemical environments. The method only requires adjustment of two global parameters for each density functional, is asymptotically exact for a gas of weakly interacting neutral atoms, and easily allows the computation of atomic forces. Three-body nonadditivity terms are considered. The method has been assessed on standard benchmark sets for inter- and intramolecular noncovalent interactions with a particular emphasis on a consistent description of light and heavy element systems. The mean absolute deviations for the S22 benchmark set of noncovalent interactions for 11 standard density functionals decrease by 15%-40% compared to the previous (already accurate) DFT-D version. Spectacular improvements are found for a tripeptide-folding model and all tested metallic systems. The rectification of the long-range behavior and the use of more accurate C6 coefficients also lead to a much better description of large (infinite) systems as shown for graphene sheets and the adsorption of benzene on an Ag(111) surface. For graphene it is found that the inclusion of three-body terms substantially (by about 10%) weakens the interlayer binding. We propose the revised DFT-D method as a general tool for the computation of the dispersion energy in molecules and solids of any kind with DFT and related (low-cost) electronic structure methods for large systems. © 2010 American Institute of Physics.","author":[{"dropping-particle":"","family":"Grimme","given":"Stefan","non-dropping-particle":"","parse-names":false,"suffix":""},{"dropping-particle":"","family":"Antony","given":"Jens","non-dropping-particle":"","parse-names":false,"suffix":""},{"dropping-particle":"","family":"Ehrlich","given":"Stephan","non-dropping-particle":"","parse-names":false,"suffix":""},{"dropping-particle":"","family":"Krieg","given":"Helge","non-dropping-particle":"","parse-names":false,"suffix":""}],"container-title":"Journal of Chemical Physics","id":"ITEM-1","issue":"15","issued":{"date-parts":[["2010","4","21"]]},"publisher":"J Chem Phys","title":"A consistent and accurate ab initio parametrization of density functional dispersion correction (DFT-D) for the 94 elements H-Pu","type":"article-journal","volume":"132"},"uris":["http://www.mendeley.com/documents/?uuid=219a7031-c580-3831-b5a2-7f5d0ff1e32d"]},{"id":"ITEM-2","itemData":{"DOI":"10.1002/jcc.20495","ISSN":"01928651","abstract":"A new density functional (DF) of the generalized gradient approximation (GGA) type for general chemistry applications termed B97-D is proposed. It is based on Becke's power-series ansatz from 1997 and is explicitly parameterized by including damped atom-pairwise dispersion corrections of the form C 6 · R-6. A general computational scheme for the parameters used in this correction has been established and parameters for elements up to xenon and a scaling factor for the dispersion part for several common density functionals (BLYP, PBE, TPSS, B3LYP) are reported. The new functional is tested in comparison with other GGAs and the B3LYP hybrid functional on standard thermochemical benchmark sets, for 40 noncovalently bound complexes, including large stacked aromatic molecules and group II element clusters, and for the computation of molecular geometries. Further cross-validation tests were performed for organometallic reactions and other difficult problems for standard functionals. In summary, it is found that B97-D belongs to one of the most accurate general purpose GGAs, reaching, for example for the G97/2 set of heat of formations, a mean absolute deviation of only 3.8 kcal mol-1. The performance for noncovalently bound systems including many pure van der Waals complexes is exceptionally good, reaching on the average CCSD(T) accuracy. The basic strategy in the development to restrict the density functional description to shorter electron correlation lengths scales and to describe situations with medium to large interatomic distances by damped C6 · R-6 terms seems to be very successful, as demonstrated for some notoriously difficult reactions. As an example, for the isomerization of larger branched to linear alkanes, B97-D is the only DF available that yields the right sign for the energy difference. From a practical point of view, the new functional seems to be quite robust and it is thus suggested as an efficient and accurate quantum chemical method for large systems where dispersion forces are of general importance. © 2006 Wiley Periodicals, Inc.","author":[{"dropping-particle":"","family":"Grimme","given":"Stefan","non-dropping-particle":"","parse-names":false,"suffix":""}],"container-title":"Journal of Computational Chemistry","id":"ITEM-2","issue":"15","issued":{"date-parts":[["2006","11","30"]]},"page":"1787-1799","title":"Semiempirical GGA-type density functional constructed with a long-range dispersion correction","type":"article-journal","volume":"27"},"uris":["http://www.mendeley.com/documents/?uuid=b7873ceb-c8ba-31bc-a851-6537916a3d4a"]}],"mendeley":{"formattedCitation":"&lt;sup&gt;13,14&lt;/sup&gt;","plainTextFormattedCitation":"13,14","previouslyFormattedCitation":"&lt;sup&gt;13,14&lt;/sup&gt;"},"properties":{"noteIndex":0},"schema":"https://github.com/citation-style-language/schema/raw/master/csl-citation.json"}</w:instrText>
      </w:r>
      <w:r w:rsidR="00A12B7C">
        <w:rPr>
          <w:rFonts w:ascii="Times New Roman" w:hAnsi="Times New Roman"/>
          <w:sz w:val="24"/>
          <w:szCs w:val="24"/>
        </w:rPr>
        <w:fldChar w:fldCharType="separate"/>
      </w:r>
      <w:r w:rsidR="00E25A0C" w:rsidRPr="00E25A0C">
        <w:rPr>
          <w:rFonts w:ascii="Times New Roman" w:hAnsi="Times New Roman"/>
          <w:noProof/>
          <w:sz w:val="24"/>
          <w:szCs w:val="24"/>
          <w:vertAlign w:val="superscript"/>
        </w:rPr>
        <w:t>13,14</w:t>
      </w:r>
      <w:r w:rsidR="00A12B7C">
        <w:rPr>
          <w:rFonts w:ascii="Times New Roman" w:hAnsi="Times New Roman"/>
          <w:sz w:val="24"/>
          <w:szCs w:val="24"/>
        </w:rPr>
        <w:fldChar w:fldCharType="end"/>
      </w:r>
      <w:r w:rsidRPr="00720895">
        <w:rPr>
          <w:rFonts w:ascii="Times New Roman" w:hAnsi="Times New Roman"/>
          <w:sz w:val="24"/>
          <w:szCs w:val="24"/>
        </w:rPr>
        <w:t xml:space="preserve"> was used together with a plane-wave basis set and projector augmented wave pseudopotentials.</w:t>
      </w:r>
      <w:r w:rsidR="00391469">
        <w:rPr>
          <w:rFonts w:ascii="Times New Roman" w:hAnsi="Times New Roman"/>
          <w:sz w:val="24"/>
          <w:szCs w:val="24"/>
        </w:rPr>
        <w:fldChar w:fldCharType="begin" w:fldLock="1"/>
      </w:r>
      <w:r w:rsidR="004932A4">
        <w:rPr>
          <w:rFonts w:ascii="Times New Roman" w:hAnsi="Times New Roman"/>
          <w:sz w:val="24"/>
          <w:szCs w:val="24"/>
        </w:rPr>
        <w:instrText>ADDIN CSL_CITATION {"citationItems":[{"id":"ITEM-1","itemData":{"DOI":"10.1103/PhysRevB.43.1993","ISSN":"0163-1829","abstract":"We present a simple procedure to generate first-principles norm-conserving pseudopotentials, which are designed to be smooth and therefore save computational resources when used with a plane-wave basis. We found that these pseudopotentials are extremely efficient for the cases where the plane-wave expansion has a slow convergence, in particular, for systems containing first-row elements, transition metals, and rare-earth elements. The wide applicability of the pseudopotentials are exemplified with plane-wave calculations for copper, zinc blende, diamond, ±-quartz, rutile, and cerium. © 1991 The American Physical Society.","author":[{"dropping-particle":"","family":"Troullier","given":"N.","non-dropping-particle":"","parse-names":false,"suffix":""},{"dropping-particle":"","family":"Martins","given":"José Luriaas","non-dropping-particle":"","parse-names":false,"suffix":""}],"container-title":"Physical Review B","id":"ITEM-1","issue":"3","issued":{"date-parts":[["1991","1","15"]]},"page":"1993-2006","title":"Efficient pseudopotentials for plane-wave calculations","type":"article-journal","volume":"43"},"uris":["http://www.mendeley.com/documents/?uuid=06d532df-10b3-3df2-9b17-701ad5e0c70e"]}],"mendeley":{"formattedCitation":"&lt;sup&gt;15&lt;/sup&gt;","plainTextFormattedCitation":"15","previouslyFormattedCitation":"&lt;sup&gt;15&lt;/sup&gt;"},"properties":{"noteIndex":0},"schema":"https://github.com/citation-style-language/schema/raw/master/csl-citation.json"}</w:instrText>
      </w:r>
      <w:r w:rsidR="00391469">
        <w:rPr>
          <w:rFonts w:ascii="Times New Roman" w:hAnsi="Times New Roman"/>
          <w:sz w:val="24"/>
          <w:szCs w:val="24"/>
        </w:rPr>
        <w:fldChar w:fldCharType="separate"/>
      </w:r>
      <w:r w:rsidR="00391469" w:rsidRPr="00391469">
        <w:rPr>
          <w:rFonts w:ascii="Times New Roman" w:hAnsi="Times New Roman"/>
          <w:noProof/>
          <w:sz w:val="24"/>
          <w:szCs w:val="24"/>
          <w:vertAlign w:val="superscript"/>
        </w:rPr>
        <w:t>15</w:t>
      </w:r>
      <w:r w:rsidR="00391469">
        <w:rPr>
          <w:rFonts w:ascii="Times New Roman" w:hAnsi="Times New Roman"/>
          <w:sz w:val="24"/>
          <w:szCs w:val="24"/>
        </w:rPr>
        <w:fldChar w:fldCharType="end"/>
      </w:r>
      <w:r w:rsidRPr="00720895">
        <w:rPr>
          <w:rFonts w:ascii="Times New Roman" w:hAnsi="Times New Roman"/>
          <w:sz w:val="24"/>
          <w:szCs w:val="24"/>
        </w:rPr>
        <w:t xml:space="preserve"> A kinetic cut-off energy of 45 Ry and a </w:t>
      </w:r>
      <w:proofErr w:type="spellStart"/>
      <w:r w:rsidRPr="00720895">
        <w:rPr>
          <w:rFonts w:ascii="Times New Roman" w:hAnsi="Times New Roman"/>
          <w:color w:val="000000"/>
          <w:sz w:val="24"/>
          <w:szCs w:val="24"/>
        </w:rPr>
        <w:t>Monkhorst</w:t>
      </w:r>
      <w:proofErr w:type="spellEnd"/>
      <w:r w:rsidRPr="00720895">
        <w:rPr>
          <w:rFonts w:ascii="Times New Roman" w:hAnsi="Times New Roman"/>
          <w:color w:val="000000"/>
          <w:sz w:val="24"/>
          <w:szCs w:val="24"/>
        </w:rPr>
        <w:t xml:space="preserve">–Pack scheme k-point mesh of </w:t>
      </w:r>
      <w:r w:rsidRPr="00720895">
        <w:rPr>
          <w:rFonts w:ascii="Times New Roman" w:hAnsi="Times New Roman"/>
          <w:sz w:val="24"/>
          <w:szCs w:val="24"/>
        </w:rPr>
        <w:t xml:space="preserve">2×2×1 were used in all calculations. </w:t>
      </w:r>
      <w:r w:rsidRPr="00720895">
        <w:rPr>
          <w:rFonts w:ascii="Times New Roman" w:hAnsi="Times New Roman"/>
          <w:color w:val="000000"/>
          <w:sz w:val="24"/>
          <w:szCs w:val="24"/>
        </w:rPr>
        <w:t>The convergence criteria for the self-consistency and ionic forces were set to 1.</w:t>
      </w:r>
      <w:r w:rsidRPr="00720895">
        <w:rPr>
          <w:rFonts w:ascii="Times New Roman" w:hAnsi="Times New Roman"/>
          <w:sz w:val="24"/>
          <w:szCs w:val="24"/>
        </w:rPr>
        <w:t xml:space="preserve">0 × </w:t>
      </w:r>
      <w:r w:rsidRPr="00720895">
        <w:rPr>
          <w:rFonts w:ascii="Times New Roman" w:hAnsi="Times New Roman"/>
          <w:color w:val="000000"/>
          <w:sz w:val="24"/>
          <w:szCs w:val="24"/>
        </w:rPr>
        <w:t>10</w:t>
      </w:r>
      <w:r w:rsidRPr="00720895">
        <w:rPr>
          <w:rFonts w:ascii="Times New Roman" w:hAnsi="Times New Roman"/>
          <w:color w:val="000000"/>
          <w:sz w:val="24"/>
          <w:szCs w:val="24"/>
          <w:vertAlign w:val="superscript"/>
        </w:rPr>
        <w:t>-6</w:t>
      </w:r>
      <w:r w:rsidRPr="00720895">
        <w:rPr>
          <w:rFonts w:ascii="Times New Roman" w:hAnsi="Times New Roman"/>
          <w:color w:val="000000"/>
          <w:sz w:val="24"/>
          <w:szCs w:val="24"/>
        </w:rPr>
        <w:t xml:space="preserve"> Ry and 0.001 Ry/Bohr, respectively. </w:t>
      </w:r>
      <w:r w:rsidRPr="00720895">
        <w:rPr>
          <w:rFonts w:ascii="Times New Roman" w:hAnsi="Times New Roman"/>
          <w:sz w:val="24"/>
          <w:szCs w:val="24"/>
        </w:rPr>
        <w:t>All calculations were performed within Quantum Espresso package (Version 6.2.1).</w:t>
      </w:r>
      <w:r w:rsidR="004932A4">
        <w:rPr>
          <w:rFonts w:ascii="Times New Roman" w:hAnsi="Times New Roman"/>
          <w:sz w:val="24"/>
          <w:szCs w:val="24"/>
        </w:rPr>
        <w:fldChar w:fldCharType="begin" w:fldLock="1"/>
      </w:r>
      <w:r w:rsidR="004932A4">
        <w:rPr>
          <w:rFonts w:ascii="Times New Roman" w:hAnsi="Times New Roman"/>
          <w:sz w:val="24"/>
          <w:szCs w:val="24"/>
        </w:rPr>
        <w:instrText>ADDIN CSL_CITATION {"citationItems":[{"id":"ITEM-1","itemData":{"DOI":"10.1088/0953-8984/21/39/395502","ISSN":"09538984","PMID":"21832390","abstract":"QUANTUM ESPRESSO is an integrated suite of computer codes for electronic-structure calculations and materials modeling, based on density-functional theory, plane waves, and pseudopotentials (norm-conserving, ultrasoft, and projector-augmented wave). The acronym ESPRESSO stands for opEn Source Package for Research in Electronic Structure, Simulation, and Optimization. It is freely available to researchers around the world under the terms of the GNU General Public License. QUANTUM ESPRESSO builds upon newly-restructured electronic-structure codes that have been developed and tested by some of the original authors of novel electronic-structure algorithms and applied in the last twenty years by some of the leading materials modeling groups worldwide. Innovation and efficiency are still its main focus, with special attention paid to massively parallel architectures, and a great effort being devoted to user friendliness. QUANTUM ESPRESSO is evolving towards a distribution of independent and interoperable codes in the spirit of an open-source project, where researchers active in the field of electronic-structure calculations are encouraged to participate in the project by contributing their own codes or by implementing their own ideas into existing codes. © 2009 IOP Publishing Ltd.","author":[{"dropping-particle":"","family":"Giannozzi","given":"Paolo","non-dropping-particle":"","parse-names":false,"suffix":""},{"dropping-particle":"","family":"Baroni","given":"Stefano","non-dropping-particle":"","parse-names":false,"suffix":""},{"dropping-particle":"","family":"Bonini","given":"Nicola","non-dropping-particle":"","parse-names":false,"suffix":""},{"dropping-particle":"","family":"Calandra","given":"Matteo","non-dropping-particle":"","parse-names":false,"suffix":""},{"dropping-particle":"","family":"Car","given":"Roberto","non-dropping-particle":"","parse-names":false,"suffix":""},{"dropping-particle":"","family":"Cavazzoni","given":"Carlo","non-dropping-particle":"","parse-names":false,"suffix":""},{"dropping-particle":"","family":"Ceresoli","given":"Davide","non-dropping-particle":"","parse-names":false,"suffix":""},{"dropping-particle":"","family":"Chiarotti","given":"Guido L.","non-dropping-particle":"","parse-names":false,"suffix":""},{"dropping-particle":"","family":"Cococcioni","given":"Matteo","non-dropping-particle":"","parse-names":false,"suffix":""},{"dropping-particle":"","family":"Dabo","given":"Ismaila","non-dropping-particle":"","parse-names":false,"suffix":""},{"dropping-particle":"","family":"Dal Corso","given":"Andrea","non-dropping-particle":"","parse-names":false,"suffix":""},{"dropping-particle":"","family":"Gironcoli","given":"Stefano","non-dropping-particle":"De","parse-names":false,"suffix":""},{"dropping-particle":"","family":"Fabris","given":"Stefano","non-dropping-particle":"","parse-names":false,"suffix":""},{"dropping-particle":"","family":"Fratesi","given":"Guido","non-dropping-particle":"","parse-names":false,"suffix":""},{"dropping-particle":"","family":"Gebauer","given":"Ralph","non-dropping-particle":"","parse-names":false,"suffix":""},{"dropping-particle":"","family":"Gerstmann","given":"Uwe","non-dropping-particle":"","parse-names":false,"suffix":""},{"dropping-particle":"","family":"Gougoussis","given":"Christos","non-dropping-particle":"","parse-names":false,"suffix":""},{"dropping-particle":"","family":"Kokalj","given":"Anton","non-dropping-particle":"","parse-names":false,"suffix":""},{"dropping-particle":"","family":"Lazzeri","given":"Michele","non-dropping-particle":"","parse-names":false,"suffix":""},{"dropping-particle":"","family":"Martin-Samos","given":"Layla","non-dropping-particle":"","parse-names":false,"suffix":""},{"dropping-particle":"","family":"Marzari","given":"Nicola","non-dropping-particle":"","parse-names":false,"suffix":""},{"dropping-particle":"","family":"Mauri","given":"Francesco","non-dropping-particle":"","parse-names":false,"suffix":""},{"dropping-particle":"","family":"Mazzarello","given":"Riccardo","non-dropping-particle":"","parse-names":false,"suffix":""},{"dropping-particle":"","family":"Paolini","given":"Stefano","non-dropping-particle":"","parse-names":false,"suffix":""},{"dropping-particle":"","family":"Pasquarello","given":"Alfredo","non-dropping-particle":"","parse-names":false,"suffix":""},{"dropping-particle":"","family":"Paulatto","given":"Lorenzo","non-dropping-particle":"","parse-names":false,"suffix":""},{"dropping-particle":"","family":"Sbraccia","given":"Carlo","non-dropping-particle":"","parse-names":false,"suffix":""},{"dropping-particle":"","family":"Scandolo","given":"Sandro","non-dropping-particle":"","parse-names":false,"suffix":""},{"dropping-particle":"","family":"Sclauzero","given":"Gabriele","non-dropping-particle":"","parse-names":false,"suffix":""},{"dropping-particle":"","family":"Seitsonen","given":"Ari P.","non-dropping-particle":"","parse-names":false,"suffix":""},{"dropping-particle":"","family":"Smogunov","given":"Alexander","non-dropping-particle":"","parse-names":false,"suffix":""},{"dropping-particle":"","family":"Umari","given":"Paolo","non-dropping-particle":"","parse-names":false,"suffix":""},{"dropping-particle":"","family":"Wentzcovitch","given":"Renata M.","non-dropping-particle":"","parse-names":false,"suffix":""}],"container-title":"Journal of Physics Condensed Matter","id":"ITEM-1","issue":"39","issued":{"date-parts":[["2009"]]},"title":"QUANTUM ESPRESSO: A modular and open-source software project for quantum simulations of materials","type":"article-journal","volume":"21"},"uris":["http://www.mendeley.com/documents/?uuid=4e6680e0-74cb-3e3a-be9c-8555f428fd7e"]}],"mendeley":{"formattedCitation":"&lt;sup&gt;16&lt;/sup&gt;","plainTextFormattedCitation":"16","previouslyFormattedCitation":"&lt;sup&gt;16&lt;/sup&gt;"},"properties":{"noteIndex":0},"schema":"https://github.com/citation-style-language/schema/raw/master/csl-citation.json"}</w:instrText>
      </w:r>
      <w:r w:rsidR="004932A4">
        <w:rPr>
          <w:rFonts w:ascii="Times New Roman" w:hAnsi="Times New Roman"/>
          <w:sz w:val="24"/>
          <w:szCs w:val="24"/>
        </w:rPr>
        <w:fldChar w:fldCharType="separate"/>
      </w:r>
      <w:r w:rsidR="004932A4" w:rsidRPr="004932A4">
        <w:rPr>
          <w:rFonts w:ascii="Times New Roman" w:hAnsi="Times New Roman"/>
          <w:noProof/>
          <w:sz w:val="24"/>
          <w:szCs w:val="24"/>
          <w:vertAlign w:val="superscript"/>
        </w:rPr>
        <w:t>16</w:t>
      </w:r>
      <w:r w:rsidR="004932A4">
        <w:rPr>
          <w:rFonts w:ascii="Times New Roman" w:hAnsi="Times New Roman"/>
          <w:sz w:val="24"/>
          <w:szCs w:val="24"/>
        </w:rPr>
        <w:fldChar w:fldCharType="end"/>
      </w:r>
      <w:r w:rsidR="001067BB" w:rsidRPr="00720895">
        <w:rPr>
          <w:rFonts w:ascii="Times New Roman" w:hAnsi="Times New Roman"/>
          <w:color w:val="000000"/>
          <w:sz w:val="24"/>
          <w:szCs w:val="24"/>
        </w:rPr>
        <w:t xml:space="preserve"> </w:t>
      </w:r>
    </w:p>
    <w:p w14:paraId="45863997" w14:textId="77777777" w:rsidR="00774B53" w:rsidRPr="00720895" w:rsidRDefault="00774B53" w:rsidP="00774B53">
      <w:pPr>
        <w:pStyle w:val="RSCB02ArticleText"/>
        <w:spacing w:line="360" w:lineRule="auto"/>
        <w:rPr>
          <w:rFonts w:ascii="Times New Roman" w:hAnsi="Times New Roman"/>
          <w:color w:val="000000"/>
          <w:sz w:val="24"/>
          <w:szCs w:val="24"/>
        </w:rPr>
      </w:pPr>
    </w:p>
    <w:p w14:paraId="495C3F81" w14:textId="77777777" w:rsidR="00774B53" w:rsidRPr="00720895" w:rsidRDefault="00774B53" w:rsidP="00774B53">
      <w:pPr>
        <w:spacing w:line="360" w:lineRule="auto"/>
        <w:jc w:val="both"/>
        <w:rPr>
          <w:rFonts w:ascii="Times New Roman" w:hAnsi="Times New Roman" w:cs="Times New Roman"/>
          <w:b/>
          <w:bCs/>
        </w:rPr>
      </w:pPr>
      <w:r w:rsidRPr="00720895">
        <w:rPr>
          <w:rFonts w:ascii="Times New Roman" w:hAnsi="Times New Roman" w:cs="Times New Roman"/>
          <w:color w:val="000000"/>
        </w:rPr>
        <w:t xml:space="preserve">The OER mechanism and adsorption energy for </w:t>
      </w:r>
      <w:r>
        <w:rPr>
          <w:rFonts w:ascii="Times New Roman" w:hAnsi="Times New Roman" w:cs="Times New Roman"/>
          <w:color w:val="000000"/>
        </w:rPr>
        <w:t>Ni-Se</w:t>
      </w:r>
      <w:r w:rsidRPr="00720895">
        <w:rPr>
          <w:rFonts w:ascii="Times New Roman" w:hAnsi="Times New Roman" w:cs="Times New Roman"/>
          <w:color w:val="000000"/>
        </w:rPr>
        <w:t xml:space="preserve">, </w:t>
      </w:r>
      <w:r>
        <w:rPr>
          <w:rFonts w:ascii="Times New Roman" w:hAnsi="Times New Roman" w:cs="Times New Roman"/>
          <w:color w:val="000000"/>
        </w:rPr>
        <w:t>Ni-</w:t>
      </w:r>
      <w:r>
        <w:rPr>
          <w:rFonts w:ascii="Times New Roman" w:hAnsi="Times New Roman"/>
        </w:rPr>
        <w:t>Se</w:t>
      </w:r>
      <w:r w:rsidRPr="002D0ACD">
        <w:rPr>
          <w:rFonts w:ascii="Times New Roman" w:hAnsi="Times New Roman"/>
          <w:vertAlign w:val="subscript"/>
        </w:rPr>
        <w:t>vac</w:t>
      </w:r>
      <w:r w:rsidRPr="00720895">
        <w:rPr>
          <w:rFonts w:ascii="Times New Roman" w:hAnsi="Times New Roman" w:cs="Times New Roman"/>
          <w:color w:val="000000"/>
        </w:rPr>
        <w:t xml:space="preserve">, </w:t>
      </w:r>
      <w:r>
        <w:rPr>
          <w:rFonts w:ascii="Times New Roman" w:hAnsi="Times New Roman" w:cs="Times New Roman"/>
          <w:color w:val="000000"/>
        </w:rPr>
        <w:t>Ni-Co-Se</w:t>
      </w:r>
      <w:r w:rsidRPr="00720895">
        <w:rPr>
          <w:rFonts w:ascii="Times New Roman" w:hAnsi="Times New Roman" w:cs="Times New Roman"/>
          <w:color w:val="000000"/>
        </w:rPr>
        <w:t xml:space="preserve">, and </w:t>
      </w:r>
      <w:r>
        <w:rPr>
          <w:rFonts w:ascii="Times New Roman" w:hAnsi="Times New Roman" w:cs="Times New Roman"/>
          <w:color w:val="000000"/>
        </w:rPr>
        <w:t>Ni-Co-</w:t>
      </w:r>
      <w:r>
        <w:rPr>
          <w:rFonts w:ascii="Times New Roman" w:hAnsi="Times New Roman"/>
        </w:rPr>
        <w:t>Se</w:t>
      </w:r>
      <w:r w:rsidRPr="002D0ACD">
        <w:rPr>
          <w:rFonts w:ascii="Times New Roman" w:hAnsi="Times New Roman"/>
          <w:vertAlign w:val="subscript"/>
        </w:rPr>
        <w:t>vac</w:t>
      </w:r>
      <w:r>
        <w:rPr>
          <w:rFonts w:ascii="Times New Roman" w:hAnsi="Times New Roman"/>
        </w:rPr>
        <w:t xml:space="preserve"> </w:t>
      </w:r>
      <w:r w:rsidRPr="00720895">
        <w:rPr>
          <w:rFonts w:ascii="Times New Roman" w:hAnsi="Times New Roman" w:cs="Times New Roman"/>
          <w:color w:val="000000"/>
        </w:rPr>
        <w:t xml:space="preserve">surfaces are shown below where the M indicates the NiSe surface </w:t>
      </w:r>
    </w:p>
    <w:p w14:paraId="72FD160C" w14:textId="77777777" w:rsidR="00774B53" w:rsidRPr="00720895" w:rsidRDefault="00774B53" w:rsidP="00EF504F">
      <w:pPr>
        <w:spacing w:line="480" w:lineRule="auto"/>
        <w:ind w:left="360"/>
        <w:rPr>
          <w:rFonts w:ascii="Times New Roman" w:hAnsi="Times New Roman" w:cs="Times New Roman"/>
          <w:vertAlign w:val="subscript"/>
        </w:rPr>
      </w:pPr>
      <w:r w:rsidRPr="00720895">
        <w:rPr>
          <w:rFonts w:ascii="Times New Roman" w:hAnsi="Times New Roman" w:cs="Times New Roman"/>
        </w:rPr>
        <w:t xml:space="preserve">Step 1: </w:t>
      </w:r>
      <w:proofErr w:type="spellStart"/>
      <w:r w:rsidRPr="00720895">
        <w:rPr>
          <w:rFonts w:ascii="Times New Roman" w:hAnsi="Times New Roman" w:cs="Times New Roman"/>
        </w:rPr>
        <w:t>M</w:t>
      </w:r>
      <w:r>
        <w:rPr>
          <w:rFonts w:ascii="Times New Roman" w:hAnsi="Times New Roman" w:cs="Times New Roman"/>
          <w:vertAlign w:val="subscript"/>
        </w:rPr>
        <w:t>Ni</w:t>
      </w:r>
      <w:proofErr w:type="spellEnd"/>
      <w:r>
        <w:rPr>
          <w:rFonts w:ascii="Times New Roman" w:hAnsi="Times New Roman" w:cs="Times New Roman"/>
          <w:vertAlign w:val="subscript"/>
        </w:rPr>
        <w:t>-Se/Ni-</w:t>
      </w:r>
      <w:r w:rsidRPr="002D0ACD">
        <w:rPr>
          <w:rFonts w:ascii="Times New Roman" w:hAnsi="Times New Roman" w:cs="Times New Roman"/>
          <w:vertAlign w:val="subscript"/>
        </w:rPr>
        <w:t>Sevac</w:t>
      </w:r>
      <w:r>
        <w:rPr>
          <w:rFonts w:ascii="Times New Roman" w:hAnsi="Times New Roman" w:cs="Times New Roman"/>
          <w:vertAlign w:val="subscript"/>
        </w:rPr>
        <w:t>/</w:t>
      </w:r>
      <w:r w:rsidRPr="002D0ACD">
        <w:rPr>
          <w:rFonts w:ascii="Times New Roman" w:hAnsi="Times New Roman" w:cs="Times New Roman"/>
          <w:vertAlign w:val="subscript"/>
        </w:rPr>
        <w:t>Ni-Co-Se</w:t>
      </w:r>
      <w:r>
        <w:rPr>
          <w:rFonts w:ascii="Times New Roman" w:hAnsi="Times New Roman" w:cs="Times New Roman"/>
          <w:vertAlign w:val="subscript"/>
        </w:rPr>
        <w:t>/</w:t>
      </w:r>
      <w:r w:rsidRPr="002D0ACD">
        <w:rPr>
          <w:rFonts w:ascii="Times New Roman" w:hAnsi="Times New Roman" w:cs="Times New Roman"/>
          <w:vertAlign w:val="subscript"/>
        </w:rPr>
        <w:t>Ni-Co-Sevac</w:t>
      </w:r>
      <w:r w:rsidRPr="00720895">
        <w:rPr>
          <w:rFonts w:ascii="Times New Roman" w:hAnsi="Times New Roman" w:cs="Times New Roman"/>
        </w:rPr>
        <w:t>+H</w:t>
      </w:r>
      <w:r w:rsidRPr="00720895">
        <w:rPr>
          <w:rFonts w:ascii="Times New Roman" w:hAnsi="Times New Roman" w:cs="Times New Roman"/>
          <w:vertAlign w:val="subscript"/>
        </w:rPr>
        <w:t>2</w:t>
      </w:r>
      <w:r w:rsidRPr="00720895">
        <w:rPr>
          <w:rFonts w:ascii="Times New Roman" w:hAnsi="Times New Roman" w:cs="Times New Roman"/>
        </w:rPr>
        <w:t>O → M</w:t>
      </w:r>
      <w:r w:rsidRPr="00720895">
        <w:rPr>
          <w:rFonts w:ascii="Times New Roman" w:hAnsi="Times New Roman" w:cs="Times New Roman"/>
          <w:vertAlign w:val="subscript"/>
        </w:rPr>
        <w:t>H2O</w:t>
      </w:r>
    </w:p>
    <w:p w14:paraId="7243B08F" w14:textId="77777777" w:rsidR="00774B53" w:rsidRPr="00720895" w:rsidRDefault="00774B53" w:rsidP="00EF504F">
      <w:pPr>
        <w:spacing w:line="480" w:lineRule="auto"/>
        <w:jc w:val="both"/>
        <w:rPr>
          <w:rFonts w:ascii="Times New Roman" w:hAnsi="Times New Roman" w:cs="Times New Roman"/>
        </w:rPr>
      </w:pPr>
      <w:r w:rsidRPr="00720895">
        <w:rPr>
          <w:rFonts w:ascii="Times New Roman" w:hAnsi="Times New Roman" w:cs="Times New Roman"/>
        </w:rPr>
        <w:t xml:space="preserve">            ∆E = M</w:t>
      </w:r>
      <w:r w:rsidRPr="00720895">
        <w:rPr>
          <w:rFonts w:ascii="Times New Roman" w:hAnsi="Times New Roman" w:cs="Times New Roman"/>
          <w:vertAlign w:val="subscript"/>
        </w:rPr>
        <w:t>H2O</w:t>
      </w:r>
      <w:r w:rsidRPr="00720895">
        <w:rPr>
          <w:rFonts w:ascii="Times New Roman" w:hAnsi="Times New Roman" w:cs="Times New Roman"/>
        </w:rPr>
        <w:t xml:space="preserve"> – </w:t>
      </w:r>
      <w:proofErr w:type="spellStart"/>
      <w:r w:rsidRPr="00720895">
        <w:rPr>
          <w:rFonts w:ascii="Times New Roman" w:hAnsi="Times New Roman" w:cs="Times New Roman"/>
        </w:rPr>
        <w:t>M</w:t>
      </w:r>
      <w:r>
        <w:rPr>
          <w:rFonts w:ascii="Times New Roman" w:hAnsi="Times New Roman" w:cs="Times New Roman"/>
          <w:vertAlign w:val="subscript"/>
        </w:rPr>
        <w:t>Ni</w:t>
      </w:r>
      <w:proofErr w:type="spellEnd"/>
      <w:r>
        <w:rPr>
          <w:rFonts w:ascii="Times New Roman" w:hAnsi="Times New Roman" w:cs="Times New Roman"/>
          <w:vertAlign w:val="subscript"/>
        </w:rPr>
        <w:t>-Se/Ni-</w:t>
      </w:r>
      <w:r w:rsidRPr="002D0ACD">
        <w:rPr>
          <w:rFonts w:ascii="Times New Roman" w:hAnsi="Times New Roman" w:cs="Times New Roman"/>
          <w:vertAlign w:val="subscript"/>
        </w:rPr>
        <w:t>Sevac</w:t>
      </w:r>
      <w:r>
        <w:rPr>
          <w:rFonts w:ascii="Times New Roman" w:hAnsi="Times New Roman" w:cs="Times New Roman"/>
          <w:vertAlign w:val="subscript"/>
        </w:rPr>
        <w:t>/</w:t>
      </w:r>
      <w:r w:rsidRPr="002D0ACD">
        <w:rPr>
          <w:rFonts w:ascii="Times New Roman" w:hAnsi="Times New Roman" w:cs="Times New Roman"/>
          <w:vertAlign w:val="subscript"/>
        </w:rPr>
        <w:t>Ni-Co-Se</w:t>
      </w:r>
      <w:r>
        <w:rPr>
          <w:rFonts w:ascii="Times New Roman" w:hAnsi="Times New Roman" w:cs="Times New Roman"/>
          <w:vertAlign w:val="subscript"/>
        </w:rPr>
        <w:t>/</w:t>
      </w:r>
      <w:r w:rsidRPr="002D0ACD">
        <w:rPr>
          <w:rFonts w:ascii="Times New Roman" w:hAnsi="Times New Roman" w:cs="Times New Roman"/>
          <w:vertAlign w:val="subscript"/>
        </w:rPr>
        <w:t>Ni-Co-Sevac</w:t>
      </w:r>
      <w:r w:rsidRPr="00720895">
        <w:rPr>
          <w:rFonts w:ascii="Times New Roman" w:hAnsi="Times New Roman" w:cs="Times New Roman"/>
        </w:rPr>
        <w:t>– H</w:t>
      </w:r>
      <w:r w:rsidRPr="00720895">
        <w:rPr>
          <w:rFonts w:ascii="Times New Roman" w:hAnsi="Times New Roman" w:cs="Times New Roman"/>
          <w:vertAlign w:val="subscript"/>
        </w:rPr>
        <w:t>2</w:t>
      </w:r>
      <w:r w:rsidRPr="00720895">
        <w:rPr>
          <w:rFonts w:ascii="Times New Roman" w:hAnsi="Times New Roman" w:cs="Times New Roman"/>
        </w:rPr>
        <w:t>O</w:t>
      </w:r>
    </w:p>
    <w:p w14:paraId="29D954DD" w14:textId="77777777" w:rsidR="00774B53" w:rsidRPr="00720895" w:rsidRDefault="00774B53" w:rsidP="00EF504F">
      <w:pPr>
        <w:spacing w:line="480" w:lineRule="auto"/>
        <w:ind w:left="360"/>
        <w:rPr>
          <w:rFonts w:ascii="Times New Roman" w:hAnsi="Times New Roman" w:cs="Times New Roman"/>
        </w:rPr>
      </w:pPr>
      <w:r w:rsidRPr="00720895">
        <w:rPr>
          <w:rFonts w:ascii="Times New Roman" w:hAnsi="Times New Roman" w:cs="Times New Roman"/>
        </w:rPr>
        <w:lastRenderedPageBreak/>
        <w:t>Step 2: M</w:t>
      </w:r>
      <w:r w:rsidRPr="00720895">
        <w:rPr>
          <w:rFonts w:ascii="Times New Roman" w:hAnsi="Times New Roman" w:cs="Times New Roman"/>
          <w:vertAlign w:val="subscript"/>
        </w:rPr>
        <w:t>H2O</w:t>
      </w:r>
      <w:r w:rsidRPr="00720895">
        <w:rPr>
          <w:rFonts w:ascii="Times New Roman" w:hAnsi="Times New Roman" w:cs="Times New Roman"/>
        </w:rPr>
        <w:t xml:space="preserve"> → M</w:t>
      </w:r>
      <w:r w:rsidRPr="00720895">
        <w:rPr>
          <w:rFonts w:ascii="Times New Roman" w:hAnsi="Times New Roman" w:cs="Times New Roman"/>
          <w:vertAlign w:val="subscript"/>
        </w:rPr>
        <w:t xml:space="preserve">OH </w:t>
      </w:r>
      <w:r w:rsidRPr="00720895">
        <w:rPr>
          <w:rFonts w:ascii="Times New Roman" w:hAnsi="Times New Roman" w:cs="Times New Roman"/>
        </w:rPr>
        <w:t>+ (e</w:t>
      </w:r>
      <w:r w:rsidRPr="00720895">
        <w:rPr>
          <w:rFonts w:ascii="Times New Roman" w:hAnsi="Times New Roman" w:cs="Times New Roman"/>
          <w:vertAlign w:val="superscript"/>
        </w:rPr>
        <w:t>-</w:t>
      </w:r>
      <w:r w:rsidRPr="00720895">
        <w:rPr>
          <w:rFonts w:ascii="Times New Roman" w:hAnsi="Times New Roman" w:cs="Times New Roman"/>
        </w:rPr>
        <w:t>+H</w:t>
      </w:r>
      <w:r w:rsidRPr="00720895">
        <w:rPr>
          <w:rFonts w:ascii="Times New Roman" w:hAnsi="Times New Roman" w:cs="Times New Roman"/>
          <w:vertAlign w:val="superscript"/>
        </w:rPr>
        <w:t>+</w:t>
      </w:r>
      <w:r w:rsidRPr="00720895">
        <w:rPr>
          <w:rFonts w:ascii="Times New Roman" w:hAnsi="Times New Roman" w:cs="Times New Roman"/>
        </w:rPr>
        <w:t>)</w:t>
      </w:r>
    </w:p>
    <w:p w14:paraId="11995FF4" w14:textId="77777777" w:rsidR="00774B53" w:rsidRPr="00720895" w:rsidRDefault="00774B53" w:rsidP="00EF504F">
      <w:pPr>
        <w:spacing w:line="480" w:lineRule="auto"/>
        <w:ind w:left="360"/>
        <w:rPr>
          <w:rFonts w:ascii="Times New Roman" w:hAnsi="Times New Roman" w:cs="Times New Roman"/>
        </w:rPr>
      </w:pPr>
      <w:r w:rsidRPr="00720895">
        <w:rPr>
          <w:rFonts w:ascii="Times New Roman" w:hAnsi="Times New Roman" w:cs="Times New Roman"/>
        </w:rPr>
        <w:t xml:space="preserve">            ∆E = M</w:t>
      </w:r>
      <w:r w:rsidRPr="00720895">
        <w:rPr>
          <w:rFonts w:ascii="Times New Roman" w:hAnsi="Times New Roman" w:cs="Times New Roman"/>
          <w:vertAlign w:val="subscript"/>
        </w:rPr>
        <w:t xml:space="preserve">OH </w:t>
      </w:r>
      <w:r w:rsidRPr="00720895">
        <w:rPr>
          <w:rFonts w:ascii="Times New Roman" w:hAnsi="Times New Roman" w:cs="Times New Roman"/>
        </w:rPr>
        <w:t>+ 1/2H</w:t>
      </w:r>
      <w:r w:rsidRPr="00720895">
        <w:rPr>
          <w:rFonts w:ascii="Times New Roman" w:hAnsi="Times New Roman" w:cs="Times New Roman"/>
          <w:vertAlign w:val="subscript"/>
        </w:rPr>
        <w:t>2</w:t>
      </w:r>
      <w:r w:rsidRPr="00720895">
        <w:rPr>
          <w:rFonts w:ascii="Times New Roman" w:hAnsi="Times New Roman" w:cs="Times New Roman"/>
        </w:rPr>
        <w:t xml:space="preserve"> – M</w:t>
      </w:r>
      <w:r w:rsidRPr="00720895">
        <w:rPr>
          <w:rFonts w:ascii="Times New Roman" w:hAnsi="Times New Roman" w:cs="Times New Roman"/>
          <w:vertAlign w:val="subscript"/>
        </w:rPr>
        <w:t>H2O</w:t>
      </w:r>
      <w:r w:rsidRPr="00720895">
        <w:rPr>
          <w:rFonts w:ascii="Times New Roman" w:hAnsi="Times New Roman" w:cs="Times New Roman"/>
        </w:rPr>
        <w:t xml:space="preserve"> </w:t>
      </w:r>
    </w:p>
    <w:p w14:paraId="4402D9EC" w14:textId="77777777" w:rsidR="00774B53" w:rsidRPr="00720895" w:rsidRDefault="00774B53" w:rsidP="00EF504F">
      <w:pPr>
        <w:spacing w:line="480" w:lineRule="auto"/>
        <w:ind w:left="360"/>
        <w:rPr>
          <w:rFonts w:ascii="Times New Roman" w:hAnsi="Times New Roman" w:cs="Times New Roman"/>
        </w:rPr>
      </w:pPr>
      <w:r w:rsidRPr="00720895">
        <w:rPr>
          <w:rFonts w:ascii="Times New Roman" w:hAnsi="Times New Roman" w:cs="Times New Roman"/>
        </w:rPr>
        <w:t>Step 3: M</w:t>
      </w:r>
      <w:r w:rsidRPr="00720895">
        <w:rPr>
          <w:rFonts w:ascii="Times New Roman" w:hAnsi="Times New Roman" w:cs="Times New Roman"/>
          <w:vertAlign w:val="subscript"/>
        </w:rPr>
        <w:t xml:space="preserve">OH </w:t>
      </w:r>
      <w:r w:rsidRPr="00720895">
        <w:rPr>
          <w:rFonts w:ascii="Times New Roman" w:hAnsi="Times New Roman" w:cs="Times New Roman"/>
        </w:rPr>
        <w:t>→ M</w:t>
      </w:r>
      <w:r w:rsidRPr="00720895">
        <w:rPr>
          <w:rFonts w:ascii="Times New Roman" w:hAnsi="Times New Roman" w:cs="Times New Roman"/>
          <w:vertAlign w:val="subscript"/>
        </w:rPr>
        <w:t xml:space="preserve">O </w:t>
      </w:r>
      <w:r w:rsidRPr="00720895">
        <w:rPr>
          <w:rFonts w:ascii="Times New Roman" w:hAnsi="Times New Roman" w:cs="Times New Roman"/>
        </w:rPr>
        <w:t>+ (e</w:t>
      </w:r>
      <w:r w:rsidRPr="00720895">
        <w:rPr>
          <w:rFonts w:ascii="Times New Roman" w:hAnsi="Times New Roman" w:cs="Times New Roman"/>
          <w:vertAlign w:val="superscript"/>
        </w:rPr>
        <w:t>-</w:t>
      </w:r>
      <w:r w:rsidRPr="00720895">
        <w:rPr>
          <w:rFonts w:ascii="Times New Roman" w:hAnsi="Times New Roman" w:cs="Times New Roman"/>
        </w:rPr>
        <w:t>+H</w:t>
      </w:r>
      <w:r w:rsidRPr="00720895">
        <w:rPr>
          <w:rFonts w:ascii="Times New Roman" w:hAnsi="Times New Roman" w:cs="Times New Roman"/>
          <w:vertAlign w:val="superscript"/>
        </w:rPr>
        <w:t>+</w:t>
      </w:r>
      <w:r w:rsidRPr="00720895">
        <w:rPr>
          <w:rFonts w:ascii="Times New Roman" w:hAnsi="Times New Roman" w:cs="Times New Roman"/>
        </w:rPr>
        <w:t>)</w:t>
      </w:r>
    </w:p>
    <w:p w14:paraId="3C6F1B1C" w14:textId="77777777" w:rsidR="00774B53" w:rsidRPr="00720895" w:rsidRDefault="00774B53" w:rsidP="00EF504F">
      <w:pPr>
        <w:spacing w:line="480" w:lineRule="auto"/>
        <w:ind w:left="360"/>
        <w:rPr>
          <w:rFonts w:ascii="Times New Roman" w:hAnsi="Times New Roman" w:cs="Times New Roman"/>
        </w:rPr>
      </w:pPr>
      <w:r w:rsidRPr="00720895">
        <w:rPr>
          <w:rFonts w:ascii="Times New Roman" w:hAnsi="Times New Roman" w:cs="Times New Roman"/>
        </w:rPr>
        <w:t xml:space="preserve">            ∆E = M</w:t>
      </w:r>
      <w:r w:rsidRPr="00720895">
        <w:rPr>
          <w:rFonts w:ascii="Times New Roman" w:hAnsi="Times New Roman" w:cs="Times New Roman"/>
          <w:vertAlign w:val="subscript"/>
        </w:rPr>
        <w:t xml:space="preserve">O </w:t>
      </w:r>
      <w:r w:rsidRPr="00720895">
        <w:rPr>
          <w:rFonts w:ascii="Times New Roman" w:hAnsi="Times New Roman" w:cs="Times New Roman"/>
        </w:rPr>
        <w:t>+ 1/2H</w:t>
      </w:r>
      <w:r w:rsidRPr="00720895">
        <w:rPr>
          <w:rFonts w:ascii="Times New Roman" w:hAnsi="Times New Roman" w:cs="Times New Roman"/>
          <w:vertAlign w:val="subscript"/>
        </w:rPr>
        <w:t xml:space="preserve">2 </w:t>
      </w:r>
      <w:r w:rsidRPr="00720895">
        <w:rPr>
          <w:rFonts w:ascii="Times New Roman" w:hAnsi="Times New Roman" w:cs="Times New Roman"/>
        </w:rPr>
        <w:t>– M</w:t>
      </w:r>
      <w:r w:rsidRPr="00720895">
        <w:rPr>
          <w:rFonts w:ascii="Times New Roman" w:hAnsi="Times New Roman" w:cs="Times New Roman"/>
          <w:vertAlign w:val="subscript"/>
        </w:rPr>
        <w:t xml:space="preserve">OH </w:t>
      </w:r>
    </w:p>
    <w:p w14:paraId="0D6FDBFD" w14:textId="77777777" w:rsidR="00774B53" w:rsidRPr="00720895" w:rsidRDefault="00774B53" w:rsidP="00EF504F">
      <w:pPr>
        <w:spacing w:line="480" w:lineRule="auto"/>
        <w:ind w:left="360"/>
        <w:rPr>
          <w:rFonts w:ascii="Times New Roman" w:hAnsi="Times New Roman" w:cs="Times New Roman"/>
        </w:rPr>
      </w:pPr>
      <w:r w:rsidRPr="00720895">
        <w:rPr>
          <w:rFonts w:ascii="Times New Roman" w:hAnsi="Times New Roman" w:cs="Times New Roman"/>
        </w:rPr>
        <w:t>Step 4: M</w:t>
      </w:r>
      <w:r w:rsidRPr="00720895">
        <w:rPr>
          <w:rFonts w:ascii="Times New Roman" w:hAnsi="Times New Roman" w:cs="Times New Roman"/>
          <w:vertAlign w:val="subscript"/>
        </w:rPr>
        <w:t xml:space="preserve">O </w:t>
      </w:r>
      <w:r w:rsidRPr="00720895">
        <w:rPr>
          <w:rFonts w:ascii="Times New Roman" w:hAnsi="Times New Roman" w:cs="Times New Roman"/>
        </w:rPr>
        <w:t>+ H</w:t>
      </w:r>
      <w:r w:rsidRPr="00720895">
        <w:rPr>
          <w:rFonts w:ascii="Times New Roman" w:hAnsi="Times New Roman" w:cs="Times New Roman"/>
          <w:vertAlign w:val="subscript"/>
        </w:rPr>
        <w:t>2</w:t>
      </w:r>
      <w:r w:rsidRPr="00720895">
        <w:rPr>
          <w:rFonts w:ascii="Times New Roman" w:hAnsi="Times New Roman" w:cs="Times New Roman"/>
        </w:rPr>
        <w:t>O → M</w:t>
      </w:r>
      <w:r w:rsidRPr="00720895">
        <w:rPr>
          <w:rFonts w:ascii="Times New Roman" w:hAnsi="Times New Roman" w:cs="Times New Roman"/>
          <w:vertAlign w:val="subscript"/>
        </w:rPr>
        <w:t xml:space="preserve">OOH </w:t>
      </w:r>
      <w:r w:rsidRPr="00720895">
        <w:rPr>
          <w:rFonts w:ascii="Times New Roman" w:hAnsi="Times New Roman" w:cs="Times New Roman"/>
        </w:rPr>
        <w:t>+ (e</w:t>
      </w:r>
      <w:r w:rsidRPr="00720895">
        <w:rPr>
          <w:rFonts w:ascii="Times New Roman" w:hAnsi="Times New Roman" w:cs="Times New Roman"/>
          <w:vertAlign w:val="superscript"/>
        </w:rPr>
        <w:t>-</w:t>
      </w:r>
      <w:r w:rsidRPr="00720895">
        <w:rPr>
          <w:rFonts w:ascii="Times New Roman" w:hAnsi="Times New Roman" w:cs="Times New Roman"/>
        </w:rPr>
        <w:t>+H</w:t>
      </w:r>
      <w:r w:rsidRPr="00720895">
        <w:rPr>
          <w:rFonts w:ascii="Times New Roman" w:hAnsi="Times New Roman" w:cs="Times New Roman"/>
          <w:vertAlign w:val="superscript"/>
        </w:rPr>
        <w:t>+</w:t>
      </w:r>
      <w:r w:rsidRPr="00720895">
        <w:rPr>
          <w:rFonts w:ascii="Times New Roman" w:hAnsi="Times New Roman" w:cs="Times New Roman"/>
        </w:rPr>
        <w:t>)</w:t>
      </w:r>
    </w:p>
    <w:p w14:paraId="17573215" w14:textId="77777777" w:rsidR="00774B53" w:rsidRPr="00720895" w:rsidRDefault="00774B53" w:rsidP="00EF504F">
      <w:pPr>
        <w:spacing w:line="480" w:lineRule="auto"/>
        <w:ind w:left="360"/>
        <w:rPr>
          <w:rFonts w:ascii="Times New Roman" w:hAnsi="Times New Roman" w:cs="Times New Roman"/>
        </w:rPr>
      </w:pPr>
      <w:r w:rsidRPr="00720895">
        <w:rPr>
          <w:rFonts w:ascii="Times New Roman" w:hAnsi="Times New Roman" w:cs="Times New Roman"/>
        </w:rPr>
        <w:t xml:space="preserve">           ∆E = M</w:t>
      </w:r>
      <w:r w:rsidRPr="00720895">
        <w:rPr>
          <w:rFonts w:ascii="Times New Roman" w:hAnsi="Times New Roman" w:cs="Times New Roman"/>
          <w:vertAlign w:val="subscript"/>
        </w:rPr>
        <w:t xml:space="preserve">OOH </w:t>
      </w:r>
      <w:r w:rsidRPr="00720895">
        <w:rPr>
          <w:rFonts w:ascii="Times New Roman" w:hAnsi="Times New Roman" w:cs="Times New Roman"/>
        </w:rPr>
        <w:t>+ 1/2H</w:t>
      </w:r>
      <w:r w:rsidRPr="00720895">
        <w:rPr>
          <w:rFonts w:ascii="Times New Roman" w:hAnsi="Times New Roman" w:cs="Times New Roman"/>
          <w:vertAlign w:val="subscript"/>
        </w:rPr>
        <w:t>2</w:t>
      </w:r>
      <w:r w:rsidRPr="00720895">
        <w:rPr>
          <w:rFonts w:ascii="Times New Roman" w:hAnsi="Times New Roman" w:cs="Times New Roman"/>
        </w:rPr>
        <w:t xml:space="preserve"> – M</w:t>
      </w:r>
      <w:r w:rsidRPr="00720895">
        <w:rPr>
          <w:rFonts w:ascii="Times New Roman" w:hAnsi="Times New Roman" w:cs="Times New Roman"/>
          <w:vertAlign w:val="subscript"/>
        </w:rPr>
        <w:t>O</w:t>
      </w:r>
      <w:r w:rsidRPr="00720895">
        <w:rPr>
          <w:rFonts w:ascii="Times New Roman" w:hAnsi="Times New Roman" w:cs="Times New Roman"/>
        </w:rPr>
        <w:t xml:space="preserve"> – H</w:t>
      </w:r>
      <w:r w:rsidRPr="00720895">
        <w:rPr>
          <w:rFonts w:ascii="Times New Roman" w:hAnsi="Times New Roman" w:cs="Times New Roman"/>
          <w:vertAlign w:val="subscript"/>
        </w:rPr>
        <w:t>2</w:t>
      </w:r>
      <w:r w:rsidRPr="00720895">
        <w:rPr>
          <w:rFonts w:ascii="Times New Roman" w:hAnsi="Times New Roman" w:cs="Times New Roman"/>
        </w:rPr>
        <w:t>O</w:t>
      </w:r>
      <w:r w:rsidRPr="00720895">
        <w:rPr>
          <w:rFonts w:ascii="Times New Roman" w:hAnsi="Times New Roman" w:cs="Times New Roman"/>
          <w:vertAlign w:val="subscript"/>
        </w:rPr>
        <w:t xml:space="preserve">     </w:t>
      </w:r>
    </w:p>
    <w:p w14:paraId="072919D0" w14:textId="77777777" w:rsidR="00774B53" w:rsidRPr="00720895" w:rsidRDefault="00774B53" w:rsidP="00EF504F">
      <w:pPr>
        <w:spacing w:line="480" w:lineRule="auto"/>
        <w:ind w:left="360"/>
        <w:rPr>
          <w:rFonts w:ascii="Times New Roman" w:hAnsi="Times New Roman" w:cs="Times New Roman"/>
        </w:rPr>
      </w:pPr>
      <w:r w:rsidRPr="00720895">
        <w:rPr>
          <w:rFonts w:ascii="Times New Roman" w:hAnsi="Times New Roman" w:cs="Times New Roman"/>
        </w:rPr>
        <w:t>Step 5: M</w:t>
      </w:r>
      <w:r w:rsidRPr="00720895">
        <w:rPr>
          <w:rFonts w:ascii="Times New Roman" w:hAnsi="Times New Roman" w:cs="Times New Roman"/>
          <w:vertAlign w:val="subscript"/>
        </w:rPr>
        <w:t xml:space="preserve">OOH </w:t>
      </w:r>
      <w:r w:rsidRPr="00720895">
        <w:rPr>
          <w:rFonts w:ascii="Times New Roman" w:hAnsi="Times New Roman" w:cs="Times New Roman"/>
        </w:rPr>
        <w:t>→ M</w:t>
      </w:r>
      <w:r w:rsidRPr="00720895">
        <w:rPr>
          <w:rFonts w:ascii="Times New Roman" w:hAnsi="Times New Roman" w:cs="Times New Roman"/>
          <w:vertAlign w:val="subscript"/>
        </w:rPr>
        <w:t xml:space="preserve">OO </w:t>
      </w:r>
      <w:r w:rsidRPr="00720895">
        <w:rPr>
          <w:rFonts w:ascii="Times New Roman" w:hAnsi="Times New Roman" w:cs="Times New Roman"/>
        </w:rPr>
        <w:t>+ (e</w:t>
      </w:r>
      <w:r w:rsidRPr="00720895">
        <w:rPr>
          <w:rFonts w:ascii="Times New Roman" w:hAnsi="Times New Roman" w:cs="Times New Roman"/>
          <w:vertAlign w:val="superscript"/>
        </w:rPr>
        <w:t>-</w:t>
      </w:r>
      <w:r w:rsidRPr="00720895">
        <w:rPr>
          <w:rFonts w:ascii="Times New Roman" w:hAnsi="Times New Roman" w:cs="Times New Roman"/>
        </w:rPr>
        <w:t>+H</w:t>
      </w:r>
      <w:r w:rsidRPr="00720895">
        <w:rPr>
          <w:rFonts w:ascii="Times New Roman" w:hAnsi="Times New Roman" w:cs="Times New Roman"/>
          <w:vertAlign w:val="superscript"/>
        </w:rPr>
        <w:t>+</w:t>
      </w:r>
      <w:r w:rsidRPr="00720895">
        <w:rPr>
          <w:rFonts w:ascii="Times New Roman" w:hAnsi="Times New Roman" w:cs="Times New Roman"/>
        </w:rPr>
        <w:t>)</w:t>
      </w:r>
    </w:p>
    <w:p w14:paraId="4ECFED4B" w14:textId="77777777" w:rsidR="00774B53" w:rsidRPr="00720895" w:rsidRDefault="00774B53" w:rsidP="00EF504F">
      <w:pPr>
        <w:spacing w:line="480" w:lineRule="auto"/>
        <w:ind w:left="360"/>
        <w:rPr>
          <w:rFonts w:ascii="Times New Roman" w:hAnsi="Times New Roman" w:cs="Times New Roman"/>
        </w:rPr>
      </w:pPr>
      <w:r w:rsidRPr="00720895">
        <w:rPr>
          <w:rFonts w:ascii="Times New Roman" w:hAnsi="Times New Roman" w:cs="Times New Roman"/>
        </w:rPr>
        <w:t xml:space="preserve">             ∆E = M</w:t>
      </w:r>
      <w:r w:rsidRPr="00720895">
        <w:rPr>
          <w:rFonts w:ascii="Times New Roman" w:hAnsi="Times New Roman" w:cs="Times New Roman"/>
          <w:vertAlign w:val="subscript"/>
        </w:rPr>
        <w:t xml:space="preserve">OO </w:t>
      </w:r>
      <w:r w:rsidRPr="00720895">
        <w:rPr>
          <w:rFonts w:ascii="Times New Roman" w:hAnsi="Times New Roman" w:cs="Times New Roman"/>
        </w:rPr>
        <w:t>+ 1/2H</w:t>
      </w:r>
      <w:r w:rsidRPr="00720895">
        <w:rPr>
          <w:rFonts w:ascii="Times New Roman" w:hAnsi="Times New Roman" w:cs="Times New Roman"/>
          <w:vertAlign w:val="subscript"/>
        </w:rPr>
        <w:t>2</w:t>
      </w:r>
      <w:r w:rsidRPr="00720895">
        <w:rPr>
          <w:rFonts w:ascii="Times New Roman" w:hAnsi="Times New Roman" w:cs="Times New Roman"/>
        </w:rPr>
        <w:t xml:space="preserve"> – M</w:t>
      </w:r>
      <w:r w:rsidRPr="00720895">
        <w:rPr>
          <w:rFonts w:ascii="Times New Roman" w:hAnsi="Times New Roman" w:cs="Times New Roman"/>
          <w:vertAlign w:val="subscript"/>
        </w:rPr>
        <w:t>OOH</w:t>
      </w:r>
    </w:p>
    <w:p w14:paraId="19CF40F2" w14:textId="77777777" w:rsidR="00774B53" w:rsidRPr="00720895" w:rsidRDefault="00774B53" w:rsidP="00EF504F">
      <w:pPr>
        <w:spacing w:line="480" w:lineRule="auto"/>
        <w:ind w:left="360"/>
        <w:rPr>
          <w:rFonts w:ascii="Times New Roman" w:hAnsi="Times New Roman" w:cs="Times New Roman"/>
        </w:rPr>
      </w:pPr>
      <w:r w:rsidRPr="00720895">
        <w:rPr>
          <w:rFonts w:ascii="Times New Roman" w:hAnsi="Times New Roman" w:cs="Times New Roman"/>
        </w:rPr>
        <w:t>Step 6: M</w:t>
      </w:r>
      <w:r w:rsidRPr="00720895">
        <w:rPr>
          <w:rFonts w:ascii="Times New Roman" w:hAnsi="Times New Roman" w:cs="Times New Roman"/>
          <w:vertAlign w:val="subscript"/>
        </w:rPr>
        <w:t>OO</w:t>
      </w:r>
      <w:r w:rsidRPr="00720895">
        <w:rPr>
          <w:rFonts w:ascii="Times New Roman" w:hAnsi="Times New Roman" w:cs="Times New Roman"/>
        </w:rPr>
        <w:t xml:space="preserve"> → </w:t>
      </w:r>
      <w:proofErr w:type="spellStart"/>
      <w:r w:rsidRPr="00720895">
        <w:rPr>
          <w:rFonts w:ascii="Times New Roman" w:hAnsi="Times New Roman" w:cs="Times New Roman"/>
        </w:rPr>
        <w:t>M</w:t>
      </w:r>
      <w:r>
        <w:rPr>
          <w:rFonts w:ascii="Times New Roman" w:hAnsi="Times New Roman" w:cs="Times New Roman"/>
          <w:vertAlign w:val="subscript"/>
        </w:rPr>
        <w:t>Ni</w:t>
      </w:r>
      <w:proofErr w:type="spellEnd"/>
      <w:r>
        <w:rPr>
          <w:rFonts w:ascii="Times New Roman" w:hAnsi="Times New Roman" w:cs="Times New Roman"/>
          <w:vertAlign w:val="subscript"/>
        </w:rPr>
        <w:t>-Se/Ni-</w:t>
      </w:r>
      <w:r w:rsidRPr="002D0ACD">
        <w:rPr>
          <w:rFonts w:ascii="Times New Roman" w:hAnsi="Times New Roman" w:cs="Times New Roman"/>
          <w:vertAlign w:val="subscript"/>
        </w:rPr>
        <w:t>Sevac</w:t>
      </w:r>
      <w:r>
        <w:rPr>
          <w:rFonts w:ascii="Times New Roman" w:hAnsi="Times New Roman" w:cs="Times New Roman"/>
          <w:vertAlign w:val="subscript"/>
        </w:rPr>
        <w:t>/</w:t>
      </w:r>
      <w:r w:rsidRPr="002D0ACD">
        <w:rPr>
          <w:rFonts w:ascii="Times New Roman" w:hAnsi="Times New Roman" w:cs="Times New Roman"/>
          <w:vertAlign w:val="subscript"/>
        </w:rPr>
        <w:t>Ni-Co-Se</w:t>
      </w:r>
      <w:r>
        <w:rPr>
          <w:rFonts w:ascii="Times New Roman" w:hAnsi="Times New Roman" w:cs="Times New Roman"/>
          <w:vertAlign w:val="subscript"/>
        </w:rPr>
        <w:t>/</w:t>
      </w:r>
      <w:r w:rsidRPr="002D0ACD">
        <w:rPr>
          <w:rFonts w:ascii="Times New Roman" w:hAnsi="Times New Roman" w:cs="Times New Roman"/>
          <w:vertAlign w:val="subscript"/>
        </w:rPr>
        <w:t>Ni-Co-Sevac</w:t>
      </w:r>
      <w:r w:rsidRPr="00720895">
        <w:rPr>
          <w:rFonts w:ascii="Times New Roman" w:hAnsi="Times New Roman" w:cs="Times New Roman"/>
        </w:rPr>
        <w:t>+ O</w:t>
      </w:r>
      <w:r w:rsidRPr="00720895">
        <w:rPr>
          <w:rFonts w:ascii="Times New Roman" w:hAnsi="Times New Roman" w:cs="Times New Roman"/>
          <w:vertAlign w:val="subscript"/>
        </w:rPr>
        <w:t>2</w:t>
      </w:r>
    </w:p>
    <w:p w14:paraId="0D479D8B" w14:textId="376678CB" w:rsidR="00E8431D" w:rsidRPr="001730B2" w:rsidRDefault="00774B53" w:rsidP="001730B2">
      <w:pPr>
        <w:spacing w:line="480" w:lineRule="auto"/>
        <w:ind w:left="360"/>
        <w:rPr>
          <w:rFonts w:ascii="Times New Roman" w:hAnsi="Times New Roman" w:cs="Times New Roman"/>
        </w:rPr>
      </w:pPr>
      <w:r w:rsidRPr="00720895">
        <w:rPr>
          <w:rFonts w:ascii="Times New Roman" w:hAnsi="Times New Roman" w:cs="Times New Roman"/>
        </w:rPr>
        <w:t xml:space="preserve">             ∆E = </w:t>
      </w:r>
      <w:proofErr w:type="spellStart"/>
      <w:r w:rsidRPr="00720895">
        <w:rPr>
          <w:rFonts w:ascii="Times New Roman" w:hAnsi="Times New Roman" w:cs="Times New Roman"/>
        </w:rPr>
        <w:t>M</w:t>
      </w:r>
      <w:r>
        <w:rPr>
          <w:rFonts w:ascii="Times New Roman" w:hAnsi="Times New Roman" w:cs="Times New Roman"/>
          <w:vertAlign w:val="subscript"/>
        </w:rPr>
        <w:t>Ni</w:t>
      </w:r>
      <w:proofErr w:type="spellEnd"/>
      <w:r>
        <w:rPr>
          <w:rFonts w:ascii="Times New Roman" w:hAnsi="Times New Roman" w:cs="Times New Roman"/>
          <w:vertAlign w:val="subscript"/>
        </w:rPr>
        <w:t>-Se/Ni-</w:t>
      </w:r>
      <w:r w:rsidRPr="002D0ACD">
        <w:rPr>
          <w:rFonts w:ascii="Times New Roman" w:hAnsi="Times New Roman" w:cs="Times New Roman"/>
          <w:vertAlign w:val="subscript"/>
        </w:rPr>
        <w:t>Sevac</w:t>
      </w:r>
      <w:r>
        <w:rPr>
          <w:rFonts w:ascii="Times New Roman" w:hAnsi="Times New Roman" w:cs="Times New Roman"/>
          <w:vertAlign w:val="subscript"/>
        </w:rPr>
        <w:t>/</w:t>
      </w:r>
      <w:r w:rsidRPr="002D0ACD">
        <w:rPr>
          <w:rFonts w:ascii="Times New Roman" w:hAnsi="Times New Roman" w:cs="Times New Roman"/>
          <w:vertAlign w:val="subscript"/>
        </w:rPr>
        <w:t>Ni-Co-Se</w:t>
      </w:r>
      <w:r>
        <w:rPr>
          <w:rFonts w:ascii="Times New Roman" w:hAnsi="Times New Roman" w:cs="Times New Roman"/>
          <w:vertAlign w:val="subscript"/>
        </w:rPr>
        <w:t>/</w:t>
      </w:r>
      <w:r w:rsidRPr="002D0ACD">
        <w:rPr>
          <w:rFonts w:ascii="Times New Roman" w:hAnsi="Times New Roman" w:cs="Times New Roman"/>
          <w:vertAlign w:val="subscript"/>
        </w:rPr>
        <w:t>Ni-Co-Sevac</w:t>
      </w:r>
      <w:r w:rsidRPr="00720895">
        <w:rPr>
          <w:rFonts w:ascii="Times New Roman" w:hAnsi="Times New Roman" w:cs="Times New Roman"/>
        </w:rPr>
        <w:t>+ O</w:t>
      </w:r>
      <w:r w:rsidRPr="00720895">
        <w:rPr>
          <w:rFonts w:ascii="Times New Roman" w:hAnsi="Times New Roman" w:cs="Times New Roman"/>
          <w:vertAlign w:val="subscript"/>
        </w:rPr>
        <w:t>2</w:t>
      </w:r>
      <w:r w:rsidRPr="00720895">
        <w:rPr>
          <w:rFonts w:ascii="Times New Roman" w:hAnsi="Times New Roman" w:cs="Times New Roman"/>
        </w:rPr>
        <w:t xml:space="preserve"> – M</w:t>
      </w:r>
      <w:r w:rsidRPr="00720895">
        <w:rPr>
          <w:rFonts w:ascii="Times New Roman" w:hAnsi="Times New Roman" w:cs="Times New Roman"/>
          <w:vertAlign w:val="subscript"/>
        </w:rPr>
        <w:t>OO</w:t>
      </w:r>
    </w:p>
    <w:p w14:paraId="5AA017BA" w14:textId="51337E3B" w:rsidR="00F35D51" w:rsidRDefault="00F35D51" w:rsidP="00F35D51">
      <w:pPr>
        <w:spacing w:line="480" w:lineRule="auto"/>
        <w:rPr>
          <w:rFonts w:ascii="Times New Roman" w:eastAsia="Arial Unicode MS" w:hAnsi="Times New Roman" w:cs="Times New Roman"/>
          <w:b/>
          <w:bCs/>
          <w:iCs/>
        </w:rPr>
      </w:pPr>
    </w:p>
    <w:p w14:paraId="58C9DAF8" w14:textId="61334823" w:rsidR="00D409E6" w:rsidRDefault="00162C4C" w:rsidP="00D409E6">
      <w:pPr>
        <w:spacing w:line="480" w:lineRule="auto"/>
        <w:rPr>
          <w:rFonts w:ascii="Times New Roman" w:eastAsia="Arial Unicode MS" w:hAnsi="Times New Roman" w:cs="Times New Roman"/>
          <w:b/>
          <w:bCs/>
          <w:iCs/>
        </w:rPr>
      </w:pPr>
      <w:r>
        <w:rPr>
          <w:rFonts w:ascii="Times New Roman" w:eastAsia="Arial Unicode MS" w:hAnsi="Times New Roman" w:cs="Times New Roman"/>
          <w:b/>
          <w:bCs/>
          <w:iCs/>
        </w:rPr>
        <w:t>AEM electrolyser test</w:t>
      </w:r>
    </w:p>
    <w:p w14:paraId="6CEC140A" w14:textId="032DC416" w:rsidR="001870AB" w:rsidRPr="001870AB" w:rsidRDefault="00F279F3" w:rsidP="00124B5C">
      <w:pPr>
        <w:spacing w:line="480" w:lineRule="auto"/>
        <w:jc w:val="both"/>
        <w:rPr>
          <w:rFonts w:ascii="Times New Roman" w:eastAsia="Arial Unicode MS" w:hAnsi="Times New Roman" w:cs="Times New Roman"/>
          <w:iCs/>
        </w:rPr>
      </w:pPr>
      <w:r>
        <w:rPr>
          <w:rFonts w:ascii="Times New Roman" w:eastAsia="Arial Unicode MS" w:hAnsi="Times New Roman" w:cs="Times New Roman"/>
          <w:iCs/>
        </w:rPr>
        <w:t xml:space="preserve">The </w:t>
      </w:r>
      <w:r w:rsidR="00207A8E">
        <w:rPr>
          <w:rFonts w:ascii="Times New Roman" w:eastAsia="Arial Unicode MS" w:hAnsi="Times New Roman" w:cs="Times New Roman"/>
          <w:iCs/>
        </w:rPr>
        <w:t xml:space="preserve">anode </w:t>
      </w:r>
      <w:r>
        <w:rPr>
          <w:rFonts w:ascii="Times New Roman" w:eastAsia="Arial Unicode MS" w:hAnsi="Times New Roman" w:cs="Times New Roman"/>
          <w:iCs/>
        </w:rPr>
        <w:t>electrode w</w:t>
      </w:r>
      <w:r w:rsidR="00207A8E">
        <w:rPr>
          <w:rFonts w:ascii="Times New Roman" w:eastAsia="Arial Unicode MS" w:hAnsi="Times New Roman" w:cs="Times New Roman"/>
          <w:iCs/>
        </w:rPr>
        <w:t>as</w:t>
      </w:r>
      <w:r>
        <w:rPr>
          <w:rFonts w:ascii="Times New Roman" w:eastAsia="Arial Unicode MS" w:hAnsi="Times New Roman" w:cs="Times New Roman"/>
          <w:iCs/>
        </w:rPr>
        <w:t xml:space="preserve"> prepared by spraying </w:t>
      </w:r>
      <w:r w:rsidR="00125386">
        <w:rPr>
          <w:rFonts w:ascii="Times New Roman" w:eastAsia="Arial Unicode MS" w:hAnsi="Times New Roman" w:cs="Times New Roman"/>
          <w:iCs/>
        </w:rPr>
        <w:t>(NiCo)</w:t>
      </w:r>
      <w:r w:rsidR="00125386" w:rsidRPr="00125386">
        <w:rPr>
          <w:rFonts w:ascii="Times New Roman" w:eastAsia="Arial Unicode MS" w:hAnsi="Times New Roman" w:cs="Times New Roman"/>
          <w:iCs/>
          <w:vertAlign w:val="subscript"/>
        </w:rPr>
        <w:t>3</w:t>
      </w:r>
      <w:r w:rsidR="00125386">
        <w:rPr>
          <w:rFonts w:ascii="Times New Roman" w:eastAsia="Arial Unicode MS" w:hAnsi="Times New Roman" w:cs="Times New Roman"/>
          <w:iCs/>
        </w:rPr>
        <w:t>Se</w:t>
      </w:r>
      <w:r w:rsidR="00125386" w:rsidRPr="00125386">
        <w:rPr>
          <w:rFonts w:ascii="Times New Roman" w:eastAsia="Arial Unicode MS" w:hAnsi="Times New Roman" w:cs="Times New Roman"/>
          <w:iCs/>
          <w:vertAlign w:val="subscript"/>
        </w:rPr>
        <w:t>4</w:t>
      </w:r>
      <w:r w:rsidR="009358C3">
        <w:rPr>
          <w:rFonts w:ascii="Times New Roman" w:eastAsia="Arial Unicode MS" w:hAnsi="Times New Roman" w:cs="Times New Roman"/>
          <w:iCs/>
        </w:rPr>
        <w:t xml:space="preserve"> </w:t>
      </w:r>
      <w:r w:rsidR="00125386">
        <w:rPr>
          <w:rFonts w:ascii="Times New Roman" w:eastAsia="Arial Unicode MS" w:hAnsi="Times New Roman" w:cs="Times New Roman"/>
          <w:iCs/>
        </w:rPr>
        <w:t>and IrO</w:t>
      </w:r>
      <w:r w:rsidR="00125386" w:rsidRPr="00125386">
        <w:rPr>
          <w:rFonts w:ascii="Times New Roman" w:eastAsia="Arial Unicode MS" w:hAnsi="Times New Roman" w:cs="Times New Roman"/>
          <w:iCs/>
          <w:vertAlign w:val="subscript"/>
        </w:rPr>
        <w:t>2</w:t>
      </w:r>
      <w:r w:rsidR="00125386">
        <w:rPr>
          <w:rFonts w:ascii="Times New Roman" w:eastAsia="Arial Unicode MS" w:hAnsi="Times New Roman" w:cs="Times New Roman"/>
          <w:iCs/>
        </w:rPr>
        <w:t xml:space="preserve"> </w:t>
      </w:r>
      <w:r w:rsidR="009358C3">
        <w:rPr>
          <w:rFonts w:ascii="Times New Roman" w:eastAsia="Arial Unicode MS" w:hAnsi="Times New Roman" w:cs="Times New Roman"/>
          <w:iCs/>
        </w:rPr>
        <w:t>inks on</w:t>
      </w:r>
      <w:r w:rsidR="00207A8E">
        <w:rPr>
          <w:rFonts w:ascii="Times New Roman" w:eastAsia="Arial Unicode MS" w:hAnsi="Times New Roman" w:cs="Times New Roman"/>
          <w:iCs/>
        </w:rPr>
        <w:t xml:space="preserve"> 300 </w:t>
      </w:r>
      <w:r w:rsidR="007E5205" w:rsidRPr="007E5205">
        <w:rPr>
          <w:rFonts w:ascii="Times New Roman" w:eastAsia="Arial Unicode MS" w:hAnsi="Times New Roman" w:cs="Times New Roman"/>
          <w:iCs/>
        </w:rPr>
        <w:t>µ</w:t>
      </w:r>
      <w:r w:rsidR="007E5205">
        <w:rPr>
          <w:rFonts w:ascii="Times New Roman" w:eastAsia="Arial Unicode MS" w:hAnsi="Times New Roman" w:cs="Times New Roman"/>
          <w:iCs/>
        </w:rPr>
        <w:t>m Nickel foam (</w:t>
      </w:r>
      <w:proofErr w:type="spellStart"/>
      <w:r w:rsidR="007D4483" w:rsidRPr="007D4483">
        <w:rPr>
          <w:rFonts w:ascii="Times New Roman" w:eastAsia="Arial Unicode MS" w:hAnsi="Times New Roman" w:cs="Times New Roman"/>
          <w:iCs/>
        </w:rPr>
        <w:t>Kunhewuhua</w:t>
      </w:r>
      <w:proofErr w:type="spellEnd"/>
      <w:r w:rsidR="00125386">
        <w:rPr>
          <w:rFonts w:ascii="Times New Roman" w:eastAsia="Arial Unicode MS" w:hAnsi="Times New Roman" w:cs="Times New Roman"/>
          <w:iCs/>
        </w:rPr>
        <w:t>™</w:t>
      </w:r>
      <w:r w:rsidR="007E5205">
        <w:rPr>
          <w:rFonts w:ascii="Times New Roman" w:eastAsia="Arial Unicode MS" w:hAnsi="Times New Roman" w:cs="Times New Roman"/>
          <w:iCs/>
        </w:rPr>
        <w:t>)</w:t>
      </w:r>
      <w:r w:rsidR="00C70CBD">
        <w:rPr>
          <w:rFonts w:ascii="Times New Roman" w:eastAsia="Arial Unicode MS" w:hAnsi="Times New Roman" w:cs="Times New Roman"/>
          <w:iCs/>
        </w:rPr>
        <w:t>, spraying was controlled to</w:t>
      </w:r>
      <w:r w:rsidR="004D1EF5">
        <w:rPr>
          <w:rFonts w:ascii="Times New Roman" w:eastAsia="Arial Unicode MS" w:hAnsi="Times New Roman" w:cs="Times New Roman"/>
          <w:iCs/>
        </w:rPr>
        <w:t xml:space="preserve"> achieve a mass loading of 2 mg.cm</w:t>
      </w:r>
      <w:r w:rsidR="004D1EF5" w:rsidRPr="004D1EF5">
        <w:rPr>
          <w:rFonts w:ascii="Times New Roman" w:eastAsia="Arial Unicode MS" w:hAnsi="Times New Roman" w:cs="Times New Roman"/>
          <w:iCs/>
          <w:vertAlign w:val="superscript"/>
        </w:rPr>
        <w:t>-2</w:t>
      </w:r>
      <w:r w:rsidR="007E5205">
        <w:rPr>
          <w:rFonts w:ascii="Times New Roman" w:eastAsia="Arial Unicode MS" w:hAnsi="Times New Roman" w:cs="Times New Roman"/>
          <w:iCs/>
        </w:rPr>
        <w:t xml:space="preserve">. The </w:t>
      </w:r>
      <w:r w:rsidR="007D4483">
        <w:rPr>
          <w:rFonts w:ascii="Times New Roman" w:eastAsia="Arial Unicode MS" w:hAnsi="Times New Roman" w:cs="Times New Roman"/>
          <w:iCs/>
        </w:rPr>
        <w:t>Nickel foam</w:t>
      </w:r>
      <w:r w:rsidR="007E5205">
        <w:rPr>
          <w:rFonts w:ascii="Times New Roman" w:eastAsia="Arial Unicode MS" w:hAnsi="Times New Roman" w:cs="Times New Roman"/>
          <w:iCs/>
        </w:rPr>
        <w:t xml:space="preserve"> was degreased and pretreated in HCl before using</w:t>
      </w:r>
      <w:r w:rsidR="00394C28">
        <w:rPr>
          <w:rFonts w:ascii="Times New Roman" w:eastAsia="Arial Unicode MS" w:hAnsi="Times New Roman" w:cs="Times New Roman"/>
          <w:iCs/>
        </w:rPr>
        <w:t xml:space="preserve"> to remove the passive oxide layer and </w:t>
      </w:r>
      <w:r w:rsidR="007D4483">
        <w:rPr>
          <w:rFonts w:ascii="Times New Roman" w:eastAsia="Arial Unicode MS" w:hAnsi="Times New Roman" w:cs="Times New Roman"/>
          <w:iCs/>
        </w:rPr>
        <w:t xml:space="preserve">other </w:t>
      </w:r>
      <w:r w:rsidR="00394C28">
        <w:rPr>
          <w:rFonts w:ascii="Times New Roman" w:eastAsia="Arial Unicode MS" w:hAnsi="Times New Roman" w:cs="Times New Roman"/>
          <w:iCs/>
        </w:rPr>
        <w:t>contaminants.</w:t>
      </w:r>
      <w:r w:rsidR="007E5205">
        <w:rPr>
          <w:rFonts w:ascii="Times New Roman" w:eastAsia="Arial Unicode MS" w:hAnsi="Times New Roman" w:cs="Times New Roman"/>
          <w:iCs/>
        </w:rPr>
        <w:t xml:space="preserve"> </w:t>
      </w:r>
      <w:r w:rsidR="00394C28">
        <w:rPr>
          <w:rFonts w:ascii="Times New Roman" w:eastAsia="Arial Unicode MS" w:hAnsi="Times New Roman" w:cs="Times New Roman"/>
          <w:iCs/>
        </w:rPr>
        <w:t>For hydrogen evolution</w:t>
      </w:r>
      <w:r w:rsidR="00326E28">
        <w:rPr>
          <w:rFonts w:ascii="Times New Roman" w:eastAsia="Arial Unicode MS" w:hAnsi="Times New Roman" w:cs="Times New Roman"/>
          <w:iCs/>
        </w:rPr>
        <w:t xml:space="preserve">, 40% Pt/C was </w:t>
      </w:r>
      <w:r w:rsidR="007D4483">
        <w:rPr>
          <w:rFonts w:ascii="Times New Roman" w:eastAsia="Arial Unicode MS" w:hAnsi="Times New Roman" w:cs="Times New Roman"/>
          <w:iCs/>
        </w:rPr>
        <w:t>sprayed</w:t>
      </w:r>
      <w:r w:rsidR="00326E28">
        <w:rPr>
          <w:rFonts w:ascii="Times New Roman" w:eastAsia="Arial Unicode MS" w:hAnsi="Times New Roman" w:cs="Times New Roman"/>
          <w:iCs/>
        </w:rPr>
        <w:t xml:space="preserve"> on</w:t>
      </w:r>
      <w:r w:rsidR="00293929">
        <w:rPr>
          <w:rFonts w:ascii="Times New Roman" w:eastAsia="Arial Unicode MS" w:hAnsi="Times New Roman" w:cs="Times New Roman"/>
          <w:iCs/>
        </w:rPr>
        <w:t xml:space="preserve"> untreated carbon paper</w:t>
      </w:r>
      <w:r w:rsidR="00326E28">
        <w:rPr>
          <w:rFonts w:ascii="Times New Roman" w:eastAsia="Arial Unicode MS" w:hAnsi="Times New Roman" w:cs="Times New Roman"/>
          <w:iCs/>
        </w:rPr>
        <w:t xml:space="preserve"> </w:t>
      </w:r>
      <w:r w:rsidR="00293929">
        <w:rPr>
          <w:rFonts w:ascii="Times New Roman" w:eastAsia="Arial Unicode MS" w:hAnsi="Times New Roman" w:cs="Times New Roman"/>
          <w:iCs/>
        </w:rPr>
        <w:t>(</w:t>
      </w:r>
      <w:proofErr w:type="spellStart"/>
      <w:r w:rsidR="00326E28">
        <w:rPr>
          <w:rFonts w:ascii="Times New Roman" w:eastAsia="Arial Unicode MS" w:hAnsi="Times New Roman" w:cs="Times New Roman"/>
          <w:iCs/>
        </w:rPr>
        <w:t>AvCar</w:t>
      </w:r>
      <w:r w:rsidR="00293929">
        <w:rPr>
          <w:rFonts w:ascii="Times New Roman" w:eastAsia="Arial Unicode MS" w:hAnsi="Times New Roman" w:cs="Times New Roman"/>
          <w:iCs/>
        </w:rPr>
        <w:t>b</w:t>
      </w:r>
      <w:proofErr w:type="spellEnd"/>
      <w:r w:rsidR="00293929">
        <w:rPr>
          <w:rFonts w:ascii="Times New Roman" w:eastAsia="Arial Unicode MS" w:hAnsi="Times New Roman" w:cs="Times New Roman"/>
          <w:iCs/>
        </w:rPr>
        <w:t xml:space="preserve"> 190, Fuel Cell Store)</w:t>
      </w:r>
      <w:r w:rsidR="004D1EF5">
        <w:rPr>
          <w:rFonts w:ascii="Times New Roman" w:eastAsia="Arial Unicode MS" w:hAnsi="Times New Roman" w:cs="Times New Roman"/>
          <w:iCs/>
        </w:rPr>
        <w:t xml:space="preserve"> </w:t>
      </w:r>
      <w:r w:rsidR="00C70CBD">
        <w:rPr>
          <w:rFonts w:ascii="Times New Roman" w:eastAsia="Arial Unicode MS" w:hAnsi="Times New Roman" w:cs="Times New Roman"/>
          <w:iCs/>
        </w:rPr>
        <w:t>with a</w:t>
      </w:r>
      <w:r w:rsidR="004D1EF5">
        <w:rPr>
          <w:rFonts w:ascii="Times New Roman" w:eastAsia="Arial Unicode MS" w:hAnsi="Times New Roman" w:cs="Times New Roman"/>
          <w:iCs/>
        </w:rPr>
        <w:t xml:space="preserve"> loading of 1 mg.cm</w:t>
      </w:r>
      <w:r w:rsidR="004D1EF5" w:rsidRPr="004D1EF5">
        <w:rPr>
          <w:rFonts w:ascii="Times New Roman" w:eastAsia="Arial Unicode MS" w:hAnsi="Times New Roman" w:cs="Times New Roman"/>
          <w:iCs/>
          <w:vertAlign w:val="superscript"/>
        </w:rPr>
        <w:t>-2</w:t>
      </w:r>
      <w:r w:rsidR="007D4483">
        <w:rPr>
          <w:rFonts w:ascii="Times New Roman" w:eastAsia="Arial Unicode MS" w:hAnsi="Times New Roman" w:cs="Times New Roman"/>
          <w:iCs/>
        </w:rPr>
        <w:t>, while for CO</w:t>
      </w:r>
      <w:r w:rsidR="007D4483" w:rsidRPr="007D4483">
        <w:rPr>
          <w:rFonts w:ascii="Times New Roman" w:eastAsia="Arial Unicode MS" w:hAnsi="Times New Roman" w:cs="Times New Roman"/>
          <w:iCs/>
          <w:vertAlign w:val="subscript"/>
        </w:rPr>
        <w:t>2</w:t>
      </w:r>
      <w:r w:rsidR="007D4483">
        <w:rPr>
          <w:rFonts w:ascii="Times New Roman" w:eastAsia="Arial Unicode MS" w:hAnsi="Times New Roman" w:cs="Times New Roman"/>
          <w:iCs/>
        </w:rPr>
        <w:t xml:space="preserve"> reduction the </w:t>
      </w:r>
      <w:r w:rsidR="00FD7E5E">
        <w:rPr>
          <w:rFonts w:ascii="Times New Roman" w:eastAsia="Arial Unicode MS" w:hAnsi="Times New Roman" w:cs="Times New Roman"/>
          <w:iCs/>
        </w:rPr>
        <w:t xml:space="preserve">Cu electrode on PTFE was prepared </w:t>
      </w:r>
      <w:r w:rsidR="00125386">
        <w:rPr>
          <w:rFonts w:ascii="Times New Roman" w:eastAsia="Arial Unicode MS" w:hAnsi="Times New Roman" w:cs="Times New Roman"/>
          <w:iCs/>
        </w:rPr>
        <w:t xml:space="preserve">following the exact procedure proposed by </w:t>
      </w:r>
      <w:proofErr w:type="spellStart"/>
      <w:r w:rsidR="00AE20FD">
        <w:rPr>
          <w:rFonts w:ascii="Times New Roman" w:eastAsia="Arial Unicode MS" w:hAnsi="Times New Roman" w:cs="Times New Roman"/>
          <w:iCs/>
        </w:rPr>
        <w:t>Gabardo</w:t>
      </w:r>
      <w:proofErr w:type="spellEnd"/>
      <w:r w:rsidR="00FD7E5E">
        <w:rPr>
          <w:rFonts w:ascii="Times New Roman" w:eastAsia="Arial Unicode MS" w:hAnsi="Times New Roman" w:cs="Times New Roman"/>
          <w:iCs/>
        </w:rPr>
        <w:t xml:space="preserve"> et al.</w:t>
      </w:r>
      <w:r w:rsidR="00125386">
        <w:rPr>
          <w:rFonts w:ascii="Times New Roman" w:eastAsia="Arial Unicode MS" w:hAnsi="Times New Roman" w:cs="Times New Roman"/>
          <w:iCs/>
        </w:rPr>
        <w:t xml:space="preserve"> </w:t>
      </w:r>
      <w:r w:rsidR="00125386">
        <w:rPr>
          <w:rFonts w:ascii="Times New Roman" w:eastAsia="Arial Unicode MS" w:hAnsi="Times New Roman" w:cs="Times New Roman"/>
          <w:iCs/>
        </w:rPr>
        <w:fldChar w:fldCharType="begin" w:fldLock="1"/>
      </w:r>
      <w:r w:rsidR="00125386">
        <w:rPr>
          <w:rFonts w:ascii="Times New Roman" w:eastAsia="Arial Unicode MS" w:hAnsi="Times New Roman" w:cs="Times New Roman"/>
          <w:iCs/>
        </w:rPr>
        <w:instrText>ADDIN CSL_CITATION {"citationItems":[{"id":"ITEM-1","itemData":{"DOI":"10.1016/j.joule.2019.07.021","ISSN":"25424351","abstract":"The advent of low-cost renewable electricity and rising atmospheric CO2 has led to a focus on electrochemical CO2 reduction as a means toward low-carbon-intensity fuels and chemical feedstocks. The conversion of CO2 into C2+ hydrocarbons and oxygenates (i.e., products containing two or more carbon atoms) is attractive in light of large global market demand for these high-energy-density products. A limited number of prior studies have focused on performance in the reaction rate regime above 100 mA cm−2 generally viewed as necessary for industrial deployment. In these works, gas diffusion electrodes are used in liquid electrolyte electrochemical flow cells, which suffer in system stability and/or energy efficiency. We overcome this issue by developing a membrane electrode assembly-based electrolyzer. The combined catalyst and system strategy produces concentrated gas and liquid products and maintains performance during long-term (100 h) uninterrupted operation.","author":[{"dropping-particle":"","family":"Gabardo","given":"Christine M.","non-dropping-particle":"","parse-names":false,"suffix":""},{"dropping-particle":"","family":"O'Brien","given":"Colin P.","non-dropping-particle":"","parse-names":false,"suffix":""},{"dropping-particle":"","family":"Edwards","given":"Jonathan P.","non-dropping-particle":"","parse-names":false,"suffix":""},{"dropping-particle":"","family":"McCallum","given":"Christopher","non-dropping-particle":"","parse-names":false,"suffix":""},{"dropping-particle":"","family":"Xu","given":"Yi","non-dropping-particle":"","parse-names":false,"suffix":""},{"dropping-particle":"","family":"Dinh","given":"Cao Thang","non-dropping-particle":"","parse-names":false,"suffix":""},{"dropping-particle":"","family":"Li","given":"Jun","non-dropping-particle":"","parse-names":false,"suffix":""},{"dropping-particle":"","family":"Sargent","given":"Edward H.","non-dropping-particle":"","parse-names":false,"suffix":""},{"dropping-particle":"","family":"Sinton","given":"David","non-dropping-particle":"","parse-names":false,"suffix":""}],"container-title":"Joule","id":"ITEM-1","issue":"11","issued":{"date-parts":[["2019"]]},"page":"2777-2791","title":"Continuous Carbon Dioxide Electroreduction to Concentrated Multi-carbon Products Using a Membrane Electrode Assembly","type":"article-journal","volume":"3"},"uris":["http://www.mendeley.com/documents/?uuid=5b9f6a84-d068-41aa-a39f-80636ff3c511"]}],"mendeley":{"formattedCitation":"&lt;sup&gt;17&lt;/sup&gt;","plainTextFormattedCitation":"17"},"properties":{"noteIndex":0},"schema":"https://github.com/citation-style-language/schema/raw/master/csl-citation.json"}</w:instrText>
      </w:r>
      <w:r w:rsidR="00125386">
        <w:rPr>
          <w:rFonts w:ascii="Times New Roman" w:eastAsia="Arial Unicode MS" w:hAnsi="Times New Roman" w:cs="Times New Roman"/>
          <w:iCs/>
        </w:rPr>
        <w:fldChar w:fldCharType="separate"/>
      </w:r>
      <w:r w:rsidR="00125386" w:rsidRPr="00125386">
        <w:rPr>
          <w:rFonts w:ascii="Times New Roman" w:eastAsia="Arial Unicode MS" w:hAnsi="Times New Roman" w:cs="Times New Roman"/>
          <w:iCs/>
          <w:noProof/>
          <w:vertAlign w:val="superscript"/>
        </w:rPr>
        <w:t>17</w:t>
      </w:r>
      <w:r w:rsidR="00125386">
        <w:rPr>
          <w:rFonts w:ascii="Times New Roman" w:eastAsia="Arial Unicode MS" w:hAnsi="Times New Roman" w:cs="Times New Roman"/>
          <w:iCs/>
        </w:rPr>
        <w:fldChar w:fldCharType="end"/>
      </w:r>
      <w:r w:rsidR="004D1EF5">
        <w:rPr>
          <w:rFonts w:ascii="Times New Roman" w:eastAsia="Arial Unicode MS" w:hAnsi="Times New Roman" w:cs="Times New Roman"/>
          <w:iCs/>
        </w:rPr>
        <w:t>.</w:t>
      </w:r>
      <w:r w:rsidR="00FD7E5E">
        <w:rPr>
          <w:rFonts w:ascii="Times New Roman" w:eastAsia="Arial Unicode MS" w:hAnsi="Times New Roman" w:cs="Times New Roman"/>
          <w:iCs/>
        </w:rPr>
        <w:t xml:space="preserve"> </w:t>
      </w:r>
      <w:r w:rsidR="00125386">
        <w:rPr>
          <w:rFonts w:ascii="Times New Roman" w:eastAsia="Arial Unicode MS" w:hAnsi="Times New Roman" w:cs="Times New Roman"/>
          <w:iCs/>
        </w:rPr>
        <w:t>The</w:t>
      </w:r>
      <w:r w:rsidR="004D1EF5">
        <w:rPr>
          <w:rFonts w:ascii="Times New Roman" w:eastAsia="Arial Unicode MS" w:hAnsi="Times New Roman" w:cs="Times New Roman"/>
          <w:iCs/>
        </w:rPr>
        <w:t xml:space="preserve"> catalyst</w:t>
      </w:r>
      <w:r w:rsidR="00267C78">
        <w:rPr>
          <w:rFonts w:ascii="Times New Roman" w:eastAsia="Arial Unicode MS" w:hAnsi="Times New Roman" w:cs="Times New Roman"/>
          <w:iCs/>
        </w:rPr>
        <w:t>s</w:t>
      </w:r>
      <w:r w:rsidR="004D1EF5">
        <w:rPr>
          <w:rFonts w:ascii="Times New Roman" w:eastAsia="Arial Unicode MS" w:hAnsi="Times New Roman" w:cs="Times New Roman"/>
          <w:iCs/>
        </w:rPr>
        <w:t xml:space="preserve"> </w:t>
      </w:r>
      <w:r w:rsidR="00267C78">
        <w:rPr>
          <w:rFonts w:ascii="Times New Roman" w:eastAsia="Arial Unicode MS" w:hAnsi="Times New Roman" w:cs="Times New Roman"/>
          <w:iCs/>
        </w:rPr>
        <w:t>were</w:t>
      </w:r>
      <w:r w:rsidR="004D1EF5">
        <w:rPr>
          <w:rFonts w:ascii="Times New Roman" w:eastAsia="Arial Unicode MS" w:hAnsi="Times New Roman" w:cs="Times New Roman"/>
          <w:iCs/>
        </w:rPr>
        <w:t xml:space="preserve"> prepared in isopropanol </w:t>
      </w:r>
      <w:r w:rsidR="00267C78">
        <w:rPr>
          <w:rFonts w:ascii="Times New Roman" w:eastAsia="Arial Unicode MS" w:hAnsi="Times New Roman" w:cs="Times New Roman"/>
          <w:iCs/>
        </w:rPr>
        <w:t>and</w:t>
      </w:r>
      <w:r w:rsidR="00823D48">
        <w:rPr>
          <w:rFonts w:ascii="Times New Roman" w:eastAsia="Arial Unicode MS" w:hAnsi="Times New Roman" w:cs="Times New Roman"/>
          <w:iCs/>
        </w:rPr>
        <w:t xml:space="preserve"> </w:t>
      </w:r>
      <w:r w:rsidR="001B5639">
        <w:rPr>
          <w:rFonts w:ascii="Times New Roman" w:eastAsia="Arial Unicode MS" w:hAnsi="Times New Roman" w:cs="Times New Roman"/>
          <w:iCs/>
        </w:rPr>
        <w:t xml:space="preserve">5 wt.% </w:t>
      </w:r>
      <w:proofErr w:type="spellStart"/>
      <w:r w:rsidR="00823D48">
        <w:rPr>
          <w:rFonts w:ascii="Times New Roman" w:eastAsia="Arial Unicode MS" w:hAnsi="Times New Roman" w:cs="Times New Roman"/>
          <w:iCs/>
        </w:rPr>
        <w:t>Nafion</w:t>
      </w:r>
      <w:proofErr w:type="spellEnd"/>
      <w:r w:rsidR="00823D48">
        <w:rPr>
          <w:rFonts w:ascii="Times New Roman" w:eastAsia="Arial Unicode MS" w:hAnsi="Times New Roman" w:cs="Times New Roman"/>
          <w:iCs/>
        </w:rPr>
        <w:t xml:space="preserve"> binder</w:t>
      </w:r>
      <w:r w:rsidR="0081438F">
        <w:rPr>
          <w:rFonts w:ascii="Times New Roman" w:eastAsia="Arial Unicode MS" w:hAnsi="Times New Roman" w:cs="Times New Roman"/>
          <w:iCs/>
        </w:rPr>
        <w:t xml:space="preserve"> </w:t>
      </w:r>
      <w:r w:rsidR="00C24A96">
        <w:rPr>
          <w:rFonts w:ascii="Times New Roman" w:eastAsia="Arial Unicode MS" w:hAnsi="Times New Roman" w:cs="Times New Roman"/>
          <w:iCs/>
        </w:rPr>
        <w:t xml:space="preserve">before </w:t>
      </w:r>
      <w:r w:rsidR="00267C78">
        <w:rPr>
          <w:rFonts w:ascii="Times New Roman" w:eastAsia="Arial Unicode MS" w:hAnsi="Times New Roman" w:cs="Times New Roman"/>
          <w:iCs/>
        </w:rPr>
        <w:t>spraying</w:t>
      </w:r>
      <w:r w:rsidR="00E968E2">
        <w:rPr>
          <w:rFonts w:ascii="Times New Roman" w:eastAsia="Arial Unicode MS" w:hAnsi="Times New Roman" w:cs="Times New Roman"/>
          <w:iCs/>
        </w:rPr>
        <w:t xml:space="preserve">. </w:t>
      </w:r>
      <w:r w:rsidR="001870AB" w:rsidRPr="001870AB">
        <w:rPr>
          <w:rFonts w:ascii="Times New Roman" w:eastAsia="Arial Unicode MS" w:hAnsi="Times New Roman" w:cs="Times New Roman"/>
          <w:iCs/>
        </w:rPr>
        <w:t xml:space="preserve">An anion exchange membrane </w:t>
      </w:r>
      <w:r w:rsidR="00E968E2">
        <w:rPr>
          <w:rFonts w:ascii="Times New Roman" w:eastAsia="Arial Unicode MS" w:hAnsi="Times New Roman" w:cs="Times New Roman"/>
          <w:iCs/>
        </w:rPr>
        <w:t>(</w:t>
      </w:r>
      <w:proofErr w:type="spellStart"/>
      <w:r w:rsidR="00E968E2">
        <w:rPr>
          <w:rFonts w:ascii="Times New Roman" w:eastAsia="Arial Unicode MS" w:hAnsi="Times New Roman" w:cs="Times New Roman"/>
          <w:iCs/>
        </w:rPr>
        <w:t>Sustanion</w:t>
      </w:r>
      <w:proofErr w:type="spellEnd"/>
      <w:r w:rsidR="00124B5C">
        <w:rPr>
          <w:rFonts w:ascii="Times New Roman" w:eastAsia="Arial Unicode MS" w:hAnsi="Times New Roman" w:cs="Times New Roman"/>
          <w:iCs/>
        </w:rPr>
        <w:t xml:space="preserve">® </w:t>
      </w:r>
      <w:r w:rsidR="00124B5C" w:rsidRPr="00124B5C">
        <w:rPr>
          <w:rFonts w:ascii="Times New Roman" w:eastAsia="Arial Unicode MS" w:hAnsi="Times New Roman" w:cs="Times New Roman"/>
          <w:iCs/>
        </w:rPr>
        <w:t>x37-50</w:t>
      </w:r>
      <w:r w:rsidR="00124B5C">
        <w:rPr>
          <w:rFonts w:ascii="Times New Roman" w:eastAsia="Arial Unicode MS" w:hAnsi="Times New Roman" w:cs="Times New Roman"/>
          <w:iCs/>
        </w:rPr>
        <w:t xml:space="preserve">) </w:t>
      </w:r>
      <w:r w:rsidR="001870AB" w:rsidRPr="001870AB">
        <w:rPr>
          <w:rFonts w:ascii="Times New Roman" w:eastAsia="Arial Unicode MS" w:hAnsi="Times New Roman" w:cs="Times New Roman"/>
          <w:iCs/>
        </w:rPr>
        <w:t xml:space="preserve">was used to separate the cathode and anode compartments of the </w:t>
      </w:r>
      <w:r w:rsidR="00124B5C">
        <w:rPr>
          <w:rFonts w:ascii="Times New Roman" w:eastAsia="Arial Unicode MS" w:hAnsi="Times New Roman" w:cs="Times New Roman"/>
          <w:iCs/>
        </w:rPr>
        <w:t>electrolyser</w:t>
      </w:r>
      <w:r w:rsidR="001870AB" w:rsidRPr="001870AB">
        <w:rPr>
          <w:rFonts w:ascii="Times New Roman" w:eastAsia="Arial Unicode MS" w:hAnsi="Times New Roman" w:cs="Times New Roman"/>
          <w:iCs/>
        </w:rPr>
        <w:t xml:space="preserve">, each </w:t>
      </w:r>
      <w:r w:rsidR="00124B5C">
        <w:rPr>
          <w:rFonts w:ascii="Times New Roman" w:eastAsia="Arial Unicode MS" w:hAnsi="Times New Roman" w:cs="Times New Roman"/>
          <w:iCs/>
        </w:rPr>
        <w:t>end plate</w:t>
      </w:r>
      <w:r w:rsidR="001870AB" w:rsidRPr="001870AB">
        <w:rPr>
          <w:rFonts w:ascii="Times New Roman" w:eastAsia="Arial Unicode MS" w:hAnsi="Times New Roman" w:cs="Times New Roman"/>
          <w:iCs/>
        </w:rPr>
        <w:t xml:space="preserve"> with a 5 cm</w:t>
      </w:r>
      <w:r w:rsidR="001870AB" w:rsidRPr="001870AB">
        <w:rPr>
          <w:rFonts w:ascii="Times New Roman" w:eastAsia="Arial Unicode MS" w:hAnsi="Times New Roman" w:cs="Times New Roman"/>
          <w:iCs/>
          <w:vertAlign w:val="superscript"/>
        </w:rPr>
        <w:t>2 </w:t>
      </w:r>
      <w:r w:rsidR="001870AB" w:rsidRPr="001870AB">
        <w:rPr>
          <w:rFonts w:ascii="Times New Roman" w:eastAsia="Arial Unicode MS" w:hAnsi="Times New Roman" w:cs="Times New Roman"/>
          <w:iCs/>
        </w:rPr>
        <w:t xml:space="preserve">serpentine flow field. </w:t>
      </w:r>
      <w:r w:rsidR="003928AA">
        <w:rPr>
          <w:rFonts w:ascii="Times New Roman" w:eastAsia="Arial Unicode MS" w:hAnsi="Times New Roman" w:cs="Times New Roman"/>
          <w:iCs/>
        </w:rPr>
        <w:t xml:space="preserve">For water splitting, 1 M KOH </w:t>
      </w:r>
      <w:r w:rsidR="000F1117">
        <w:rPr>
          <w:rFonts w:ascii="Times New Roman" w:eastAsia="Arial Unicode MS" w:hAnsi="Times New Roman" w:cs="Times New Roman"/>
          <w:iCs/>
        </w:rPr>
        <w:t xml:space="preserve">was </w:t>
      </w:r>
      <w:r w:rsidR="003928AA">
        <w:rPr>
          <w:rFonts w:ascii="Times New Roman" w:eastAsia="Arial Unicode MS" w:hAnsi="Times New Roman" w:cs="Times New Roman"/>
          <w:iCs/>
        </w:rPr>
        <w:t>fed to both sides of the electrolyser</w:t>
      </w:r>
      <w:r w:rsidR="00C24A96">
        <w:rPr>
          <w:rFonts w:ascii="Times New Roman" w:eastAsia="Arial Unicode MS" w:hAnsi="Times New Roman" w:cs="Times New Roman"/>
          <w:iCs/>
        </w:rPr>
        <w:t>, while for CO</w:t>
      </w:r>
      <w:r w:rsidR="00C24A96" w:rsidRPr="00C24A96">
        <w:rPr>
          <w:rFonts w:ascii="Times New Roman" w:eastAsia="Arial Unicode MS" w:hAnsi="Times New Roman" w:cs="Times New Roman"/>
          <w:iCs/>
          <w:vertAlign w:val="subscript"/>
        </w:rPr>
        <w:t>2</w:t>
      </w:r>
      <w:r w:rsidR="00C24A96">
        <w:rPr>
          <w:rFonts w:ascii="Times New Roman" w:eastAsia="Arial Unicode MS" w:hAnsi="Times New Roman" w:cs="Times New Roman"/>
          <w:iCs/>
        </w:rPr>
        <w:t xml:space="preserve"> reduction </w:t>
      </w:r>
      <w:r w:rsidR="000F1117">
        <w:rPr>
          <w:rFonts w:ascii="Times New Roman" w:eastAsia="Arial Unicode MS" w:hAnsi="Times New Roman" w:cs="Times New Roman"/>
          <w:iCs/>
        </w:rPr>
        <w:t xml:space="preserve">only the anode was supplied with 1 M KOH while the cathode was provided with </w:t>
      </w:r>
      <w:r w:rsidR="008A1A1A">
        <w:rPr>
          <w:rFonts w:ascii="Times New Roman" w:eastAsia="Arial Unicode MS" w:hAnsi="Times New Roman" w:cs="Times New Roman"/>
          <w:iCs/>
        </w:rPr>
        <w:t>humidified CO</w:t>
      </w:r>
      <w:r w:rsidR="008A1A1A" w:rsidRPr="008A1A1A">
        <w:rPr>
          <w:rFonts w:ascii="Times New Roman" w:eastAsia="Arial Unicode MS" w:hAnsi="Times New Roman" w:cs="Times New Roman"/>
          <w:iCs/>
          <w:vertAlign w:val="subscript"/>
        </w:rPr>
        <w:t>2</w:t>
      </w:r>
      <w:r w:rsidR="000F1117">
        <w:rPr>
          <w:rFonts w:ascii="Times New Roman" w:eastAsia="Arial Unicode MS" w:hAnsi="Times New Roman" w:cs="Times New Roman"/>
          <w:iCs/>
        </w:rPr>
        <w:t xml:space="preserve">. </w:t>
      </w:r>
      <w:r w:rsidR="00DD549E">
        <w:rPr>
          <w:rFonts w:ascii="Times New Roman" w:eastAsia="Arial Unicode MS" w:hAnsi="Times New Roman" w:cs="Times New Roman"/>
          <w:iCs/>
        </w:rPr>
        <w:t xml:space="preserve"> </w:t>
      </w:r>
    </w:p>
    <w:p w14:paraId="7EE44460" w14:textId="77777777" w:rsidR="00F40D9D" w:rsidRDefault="00F40D9D" w:rsidP="00F35D51">
      <w:pPr>
        <w:spacing w:line="480" w:lineRule="auto"/>
        <w:rPr>
          <w:rFonts w:ascii="Times New Roman" w:eastAsia="Arial Unicode MS" w:hAnsi="Times New Roman" w:cs="Times New Roman"/>
          <w:b/>
          <w:bCs/>
          <w:iCs/>
        </w:rPr>
      </w:pPr>
    </w:p>
    <w:p w14:paraId="4ABB1708" w14:textId="77777777" w:rsidR="00F35D51" w:rsidRDefault="00F35D51" w:rsidP="00F35D51">
      <w:pPr>
        <w:keepNext/>
        <w:spacing w:line="480" w:lineRule="auto"/>
        <w:ind w:right="-478" w:hanging="426"/>
        <w:jc w:val="center"/>
      </w:pPr>
      <w:r w:rsidRPr="009D034E">
        <w:rPr>
          <w:rFonts w:ascii="Times New Roman" w:eastAsia="Arial Unicode MS" w:hAnsi="Times New Roman" w:cs="Times New Roman"/>
          <w:b/>
          <w:bCs/>
          <w:iCs/>
          <w:noProof/>
        </w:rPr>
        <w:lastRenderedPageBreak/>
        <w:drawing>
          <wp:inline distT="0" distB="0" distL="0" distR="0" wp14:anchorId="6F373511" wp14:editId="33FBCB35">
            <wp:extent cx="6295773" cy="2897312"/>
            <wp:effectExtent l="0" t="0" r="3810" b="0"/>
            <wp:docPr id="79" name="Picture 78" descr="A picture containing clock&#10;&#10;Description automatically generated">
              <a:extLst xmlns:a="http://schemas.openxmlformats.org/drawingml/2006/main">
                <a:ext uri="{FF2B5EF4-FFF2-40B4-BE49-F238E27FC236}">
                  <a16:creationId xmlns:a16="http://schemas.microsoft.com/office/drawing/2014/main" id="{D34D7399-6F41-4FDC-AB62-DB634A8A08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8">
                      <a:extLst>
                        <a:ext uri="{FF2B5EF4-FFF2-40B4-BE49-F238E27FC236}">
                          <a16:creationId xmlns:a16="http://schemas.microsoft.com/office/drawing/2014/main" id="{D34D7399-6F41-4FDC-AB62-DB634A8A08AE}"/>
                        </a:ext>
                      </a:extLst>
                    </pic:cNvPr>
                    <pic:cNvPicPr>
                      <a:picLocks noChangeAspect="1"/>
                    </pic:cNvPicPr>
                  </pic:nvPicPr>
                  <pic:blipFill>
                    <a:blip r:embed="rId6"/>
                    <a:stretch>
                      <a:fillRect/>
                    </a:stretch>
                  </pic:blipFill>
                  <pic:spPr>
                    <a:xfrm>
                      <a:off x="0" y="0"/>
                      <a:ext cx="6295773" cy="2897312"/>
                    </a:xfrm>
                    <a:prstGeom prst="rect">
                      <a:avLst/>
                    </a:prstGeom>
                  </pic:spPr>
                </pic:pic>
              </a:graphicData>
            </a:graphic>
          </wp:inline>
        </w:drawing>
      </w:r>
    </w:p>
    <w:p w14:paraId="066F6D4B" w14:textId="36C4FAD7" w:rsidR="00F35D51" w:rsidRDefault="00F35D51" w:rsidP="00F35D51">
      <w:pPr>
        <w:pStyle w:val="Caption"/>
        <w:jc w:val="center"/>
        <w:rPr>
          <w:b w:val="0"/>
          <w:bCs w:val="0"/>
        </w:rPr>
      </w:pPr>
      <w:r>
        <w:t>Fig</w:t>
      </w:r>
      <w:r w:rsidR="002C0286">
        <w:t>ure</w:t>
      </w:r>
      <w:r>
        <w:t xml:space="preserve"> S</w:t>
      </w:r>
      <w:r w:rsidR="002C0286">
        <w:t>1.</w:t>
      </w:r>
      <w:r>
        <w:t xml:space="preserve"> </w:t>
      </w:r>
      <w:r>
        <w:rPr>
          <w:b w:val="0"/>
          <w:bCs w:val="0"/>
        </w:rPr>
        <w:t>Characterization of Ni-Se compound. a) XRD evolution with cryomilling time b) Ni-Se phase diagram c) crystal evolution d) DLS particle distribution and e) TEM and HRSEM images for NiSe cluster after 9 hours of cryomilling.</w:t>
      </w:r>
    </w:p>
    <w:p w14:paraId="7BC0927C" w14:textId="77777777" w:rsidR="00F35D51" w:rsidRDefault="00F35D51" w:rsidP="00F35D51"/>
    <w:p w14:paraId="25C0A0C0" w14:textId="77777777" w:rsidR="00F35D51" w:rsidRPr="00AB762D" w:rsidRDefault="00F35D51" w:rsidP="00F35D51"/>
    <w:p w14:paraId="69E3A968" w14:textId="4ECF1175" w:rsidR="00F35D51" w:rsidRDefault="00F35D51" w:rsidP="00F35D51">
      <w:pPr>
        <w:keepNext/>
        <w:spacing w:line="480" w:lineRule="auto"/>
        <w:ind w:hanging="284"/>
        <w:jc w:val="center"/>
      </w:pPr>
      <w:r>
        <w:rPr>
          <w:noProof/>
        </w:rPr>
        <w:drawing>
          <wp:inline distT="0" distB="0" distL="0" distR="0" wp14:anchorId="5DAF77CF" wp14:editId="2F942BF3">
            <wp:extent cx="6417926" cy="2978601"/>
            <wp:effectExtent l="0" t="0" r="2540" b="0"/>
            <wp:docPr id="6" name="Picture 6"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442586" cy="2990046"/>
                    </a:xfrm>
                    <a:prstGeom prst="rect">
                      <a:avLst/>
                    </a:prstGeom>
                    <a:noFill/>
                  </pic:spPr>
                </pic:pic>
              </a:graphicData>
            </a:graphic>
          </wp:inline>
        </w:drawing>
      </w:r>
    </w:p>
    <w:p w14:paraId="5DE6FBCE" w14:textId="1E816A64" w:rsidR="00F35D51" w:rsidRPr="00717FC1" w:rsidRDefault="00F35D51" w:rsidP="00F35D51">
      <w:pPr>
        <w:pStyle w:val="Caption"/>
        <w:jc w:val="center"/>
        <w:rPr>
          <w:rFonts w:ascii="Times New Roman" w:eastAsia="Arial Unicode MS" w:hAnsi="Times New Roman" w:cs="Times New Roman"/>
          <w:b w:val="0"/>
          <w:bCs w:val="0"/>
          <w:iCs/>
        </w:rPr>
      </w:pPr>
      <w:r>
        <w:t>Fig</w:t>
      </w:r>
      <w:r w:rsidR="002C0286">
        <w:t>ure</w:t>
      </w:r>
      <w:r>
        <w:t xml:space="preserve"> S</w:t>
      </w:r>
      <w:r w:rsidR="002C0286">
        <w:t>2.</w:t>
      </w:r>
      <w:r>
        <w:rPr>
          <w:rFonts w:ascii="Times New Roman" w:eastAsia="Arial Unicode MS" w:hAnsi="Times New Roman" w:cs="Times New Roman"/>
          <w:b w:val="0"/>
          <w:bCs w:val="0"/>
          <w:iCs/>
        </w:rPr>
        <w:t xml:space="preserve"> </w:t>
      </w:r>
      <w:r>
        <w:rPr>
          <w:b w:val="0"/>
          <w:bCs w:val="0"/>
        </w:rPr>
        <w:t>Characterization of Co-Se compound. a) XRD evolution with cryomilling time b) Ni-Se phase diagram c) crystal evolution. d) DLS particle distribution and e) TEM and HRSEM images for Co-Se cluster after 15 hours of cryomilling</w:t>
      </w:r>
    </w:p>
    <w:p w14:paraId="40C34FC5" w14:textId="56C0E2F3" w:rsidR="00061D7A" w:rsidRDefault="00155D5E" w:rsidP="00061D7A">
      <w:pPr>
        <w:spacing w:line="480" w:lineRule="auto"/>
        <w:rPr>
          <w:rFonts w:ascii="Times New Roman" w:eastAsia="Arial Unicode MS" w:hAnsi="Times New Roman" w:cs="Times New Roman"/>
          <w:b/>
          <w:bCs/>
          <w:iCs/>
        </w:rPr>
      </w:pPr>
      <w:r>
        <w:rPr>
          <w:rFonts w:ascii="Times New Roman" w:eastAsia="Arial Unicode MS" w:hAnsi="Times New Roman" w:cs="Times New Roman"/>
          <w:b/>
          <w:bCs/>
          <w:iCs/>
          <w:noProof/>
        </w:rPr>
        <w:lastRenderedPageBreak/>
        <w:drawing>
          <wp:inline distT="0" distB="0" distL="0" distR="0" wp14:anchorId="197D5308" wp14:editId="76D3B071">
            <wp:extent cx="5359400" cy="6718300"/>
            <wp:effectExtent l="0" t="0" r="0" b="0"/>
            <wp:docPr id="14" name="Picture 1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Qr cod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59400" cy="6718300"/>
                    </a:xfrm>
                    <a:prstGeom prst="rect">
                      <a:avLst/>
                    </a:prstGeom>
                  </pic:spPr>
                </pic:pic>
              </a:graphicData>
            </a:graphic>
          </wp:inline>
        </w:drawing>
      </w:r>
    </w:p>
    <w:p w14:paraId="3EC5AE7A" w14:textId="689C44CC" w:rsidR="00061D7A" w:rsidRPr="001D1137" w:rsidRDefault="00061D7A" w:rsidP="001D1137">
      <w:pPr>
        <w:pStyle w:val="Caption"/>
        <w:jc w:val="center"/>
        <w:rPr>
          <w:b w:val="0"/>
          <w:bCs w:val="0"/>
        </w:rPr>
      </w:pPr>
      <w:r w:rsidRPr="00061D7A">
        <w:t>Fig</w:t>
      </w:r>
      <w:r w:rsidR="002C0286">
        <w:t>ure</w:t>
      </w:r>
      <w:r w:rsidRPr="00061D7A">
        <w:t xml:space="preserve"> </w:t>
      </w:r>
      <w:r>
        <w:t>S</w:t>
      </w:r>
      <w:r w:rsidR="002C0286">
        <w:t>3</w:t>
      </w:r>
      <w:r w:rsidRPr="00061D7A">
        <w:t xml:space="preserve">. </w:t>
      </w:r>
      <w:r w:rsidRPr="00061D7A">
        <w:rPr>
          <w:b w:val="0"/>
          <w:bCs w:val="0"/>
        </w:rPr>
        <w:t>Structural and compositional analysis of (NiCo)</w:t>
      </w:r>
      <w:r w:rsidRPr="00061D7A">
        <w:rPr>
          <w:b w:val="0"/>
          <w:bCs w:val="0"/>
          <w:vertAlign w:val="subscript"/>
        </w:rPr>
        <w:t>3</w:t>
      </w:r>
      <w:r w:rsidRPr="00061D7A">
        <w:rPr>
          <w:b w:val="0"/>
          <w:bCs w:val="0"/>
        </w:rPr>
        <w:t>Se</w:t>
      </w:r>
      <w:r w:rsidRPr="00061D7A">
        <w:rPr>
          <w:b w:val="0"/>
          <w:bCs w:val="0"/>
          <w:vertAlign w:val="subscript"/>
        </w:rPr>
        <w:t>4</w:t>
      </w:r>
      <w:r>
        <w:rPr>
          <w:b w:val="0"/>
          <w:bCs w:val="0"/>
        </w:rPr>
        <w:t>.</w:t>
      </w:r>
      <w:r w:rsidRPr="00061D7A">
        <w:rPr>
          <w:b w:val="0"/>
          <w:bCs w:val="0"/>
        </w:rPr>
        <w:t xml:space="preserve"> a) TEM image of the nanoparticle cluster. b) HRTEM image of a single particle in the cluster. c) HRSEM image of the nanoparticle cluster. d) HAADF-STEM image with corresponding EDS elemental mapping for Ni, Co and Se. Structural and compositional analysis of (NiCo)Se</w:t>
      </w:r>
      <w:r>
        <w:rPr>
          <w:b w:val="0"/>
          <w:bCs w:val="0"/>
        </w:rPr>
        <w:t>.</w:t>
      </w:r>
      <w:r w:rsidRPr="00061D7A">
        <w:rPr>
          <w:b w:val="0"/>
          <w:bCs w:val="0"/>
        </w:rPr>
        <w:t xml:space="preserve"> e) TEM image of the nanoparticle cluster. f) HRTEM image of a single particle in the cluster. g) HRSEM image of the nanoparticle cluster. h) HAADF-STEM image with corresponding EDS elemental mapping for Ni, Co and Se. </w:t>
      </w:r>
    </w:p>
    <w:p w14:paraId="1DE8E25B" w14:textId="7E3D1E1D" w:rsidR="00F35D51" w:rsidRDefault="00932713" w:rsidP="00F35D51">
      <w:pPr>
        <w:keepNext/>
        <w:jc w:val="center"/>
      </w:pPr>
      <w:r>
        <w:rPr>
          <w:noProof/>
        </w:rPr>
        <w:lastRenderedPageBreak/>
        <w:drawing>
          <wp:inline distT="0" distB="0" distL="0" distR="0" wp14:anchorId="09B94D34" wp14:editId="5EB12D2A">
            <wp:extent cx="5245100" cy="2603500"/>
            <wp:effectExtent l="0" t="0" r="0" b="0"/>
            <wp:docPr id="3" name="Picture 3"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s-SV3-02.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45100" cy="2603500"/>
                    </a:xfrm>
                    <a:prstGeom prst="rect">
                      <a:avLst/>
                    </a:prstGeom>
                  </pic:spPr>
                </pic:pic>
              </a:graphicData>
            </a:graphic>
          </wp:inline>
        </w:drawing>
      </w:r>
    </w:p>
    <w:p w14:paraId="0A408FA2" w14:textId="77777777" w:rsidR="00F35D51" w:rsidRDefault="00F35D51" w:rsidP="00F35D51">
      <w:pPr>
        <w:pStyle w:val="Caption"/>
        <w:jc w:val="center"/>
        <w:rPr>
          <w:szCs w:val="20"/>
        </w:rPr>
      </w:pPr>
      <w:bookmarkStart w:id="7" w:name="_Toc19565968"/>
    </w:p>
    <w:p w14:paraId="69D2F3C5" w14:textId="58E62574" w:rsidR="00F35D51" w:rsidRDefault="00F35D51" w:rsidP="00F35D51">
      <w:pPr>
        <w:pStyle w:val="Caption"/>
        <w:jc w:val="center"/>
        <w:rPr>
          <w:rFonts w:ascii="Times New Roman" w:hAnsi="Times New Roman" w:cs="Times New Roman"/>
          <w:b w:val="0"/>
          <w:bCs w:val="0"/>
          <w:szCs w:val="20"/>
        </w:rPr>
      </w:pPr>
      <w:r w:rsidRPr="00AB762D">
        <w:rPr>
          <w:szCs w:val="20"/>
        </w:rPr>
        <w:t>Fig</w:t>
      </w:r>
      <w:r w:rsidR="002C0286">
        <w:rPr>
          <w:szCs w:val="20"/>
        </w:rPr>
        <w:t>ure</w:t>
      </w:r>
      <w:r w:rsidRPr="00AB762D">
        <w:rPr>
          <w:szCs w:val="20"/>
        </w:rPr>
        <w:t xml:space="preserve"> S</w:t>
      </w:r>
      <w:r w:rsidR="002C0286">
        <w:rPr>
          <w:szCs w:val="20"/>
        </w:rPr>
        <w:t>4.</w:t>
      </w:r>
      <w:r w:rsidRPr="00AB762D">
        <w:rPr>
          <w:szCs w:val="20"/>
        </w:rPr>
        <w:t xml:space="preserve"> </w:t>
      </w:r>
      <w:r w:rsidRPr="00AB762D">
        <w:rPr>
          <w:rFonts w:ascii="Times New Roman" w:hAnsi="Times New Roman" w:cs="Times New Roman"/>
          <w:b w:val="0"/>
          <w:bCs w:val="0"/>
          <w:szCs w:val="20"/>
        </w:rPr>
        <w:t>a) illustration of the actual cell used for electrochemical testing b) cross sectional schematic of the cell in water bath and with Argon bubbler.</w:t>
      </w:r>
      <w:bookmarkEnd w:id="7"/>
    </w:p>
    <w:p w14:paraId="329DD886" w14:textId="77777777" w:rsidR="00BD729D" w:rsidRPr="00BD729D" w:rsidRDefault="00BD729D" w:rsidP="00BD729D"/>
    <w:p w14:paraId="5CDEB610" w14:textId="77777777" w:rsidR="00F35D51" w:rsidRDefault="00F35D51" w:rsidP="00F35D51">
      <w:pPr>
        <w:pStyle w:val="Caption"/>
        <w:keepNext/>
        <w:jc w:val="center"/>
      </w:pPr>
    </w:p>
    <w:p w14:paraId="66FB7A6C" w14:textId="77777777" w:rsidR="00F35D51" w:rsidRDefault="00F35D51" w:rsidP="00F35D51">
      <w:pPr>
        <w:pStyle w:val="Caption"/>
        <w:keepNext/>
        <w:jc w:val="center"/>
      </w:pPr>
      <w:r>
        <w:rPr>
          <w:rFonts w:ascii="Times New Roman" w:eastAsia="Arial Unicode MS" w:hAnsi="Times New Roman" w:cs="Times New Roman"/>
          <w:iCs/>
          <w:noProof/>
        </w:rPr>
        <w:drawing>
          <wp:inline distT="0" distB="0" distL="0" distR="0" wp14:anchorId="00DBDF0E" wp14:editId="0630F038">
            <wp:extent cx="3840000" cy="288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C-Performance.eps"/>
                    <pic:cNvPicPr/>
                  </pic:nvPicPr>
                  <pic:blipFill>
                    <a:blip r:embed="rId10">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inline>
        </w:drawing>
      </w:r>
      <w:r>
        <w:rPr>
          <w:noProof/>
        </w:rPr>
        <w:t xml:space="preserve"> </w:t>
      </w:r>
    </w:p>
    <w:p w14:paraId="58946FAD" w14:textId="430809F3" w:rsidR="00F35D51" w:rsidRDefault="00F35D51" w:rsidP="00F35D51">
      <w:pPr>
        <w:pStyle w:val="Caption"/>
        <w:jc w:val="center"/>
        <w:rPr>
          <w:b w:val="0"/>
          <w:bCs w:val="0"/>
        </w:rPr>
      </w:pPr>
      <w:r>
        <w:t>Fig</w:t>
      </w:r>
      <w:r w:rsidR="002C0286">
        <w:t xml:space="preserve">ure </w:t>
      </w:r>
      <w:r>
        <w:t>S</w:t>
      </w:r>
      <w:r w:rsidR="002C0286">
        <w:t>5</w:t>
      </w:r>
      <w:r w:rsidR="002C0286">
        <w:rPr>
          <w:noProof/>
        </w:rPr>
        <w:t>.</w:t>
      </w:r>
      <w:r>
        <w:t xml:space="preserve"> </w:t>
      </w:r>
      <w:r>
        <w:rPr>
          <w:b w:val="0"/>
          <w:bCs w:val="0"/>
        </w:rPr>
        <w:t>Polarization curves of (NiCo)</w:t>
      </w:r>
      <w:r w:rsidRPr="00992C20">
        <w:rPr>
          <w:b w:val="0"/>
          <w:bCs w:val="0"/>
          <w:vertAlign w:val="subscript"/>
        </w:rPr>
        <w:t>3</w:t>
      </w:r>
      <w:r>
        <w:rPr>
          <w:b w:val="0"/>
          <w:bCs w:val="0"/>
        </w:rPr>
        <w:t>Se</w:t>
      </w:r>
      <w:r w:rsidRPr="00992C20">
        <w:rPr>
          <w:b w:val="0"/>
          <w:bCs w:val="0"/>
          <w:vertAlign w:val="subscript"/>
        </w:rPr>
        <w:t>4</w:t>
      </w:r>
      <w:r>
        <w:rPr>
          <w:b w:val="0"/>
          <w:bCs w:val="0"/>
          <w:vertAlign w:val="subscript"/>
        </w:rPr>
        <w:t xml:space="preserve"> </w:t>
      </w:r>
      <w:r>
        <w:rPr>
          <w:b w:val="0"/>
          <w:bCs w:val="0"/>
        </w:rPr>
        <w:t xml:space="preserve"> and (NiCo)Se after Cryomilling (Cryo) and after surfactant assisted ball milling (SABM) compared to standard catalysts Ni, IrO</w:t>
      </w:r>
      <w:r w:rsidRPr="00FD3588">
        <w:rPr>
          <w:b w:val="0"/>
          <w:bCs w:val="0"/>
          <w:vertAlign w:val="subscript"/>
        </w:rPr>
        <w:t>2</w:t>
      </w:r>
      <w:r>
        <w:rPr>
          <w:b w:val="0"/>
          <w:bCs w:val="0"/>
        </w:rPr>
        <w:t xml:space="preserve"> and NiFe.</w:t>
      </w:r>
    </w:p>
    <w:p w14:paraId="518D3602" w14:textId="77777777" w:rsidR="00F35D51" w:rsidRDefault="00F35D51" w:rsidP="00F35D51"/>
    <w:p w14:paraId="315DD5BA" w14:textId="1A1FFAEE" w:rsidR="00F35D51" w:rsidRDefault="00932713" w:rsidP="00932713">
      <w:pPr>
        <w:jc w:val="center"/>
      </w:pPr>
      <w:r>
        <w:rPr>
          <w:noProof/>
        </w:rPr>
        <w:lastRenderedPageBreak/>
        <w:drawing>
          <wp:inline distT="0" distB="0" distL="0" distR="0" wp14:anchorId="486656B7" wp14:editId="1E366219">
            <wp:extent cx="3667874" cy="2852791"/>
            <wp:effectExtent l="0" t="0" r="254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s-SV3-03.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75290" cy="2858559"/>
                    </a:xfrm>
                    <a:prstGeom prst="rect">
                      <a:avLst/>
                    </a:prstGeom>
                  </pic:spPr>
                </pic:pic>
              </a:graphicData>
            </a:graphic>
          </wp:inline>
        </w:drawing>
      </w:r>
    </w:p>
    <w:p w14:paraId="4EFB9353" w14:textId="145EE5ED" w:rsidR="00932713" w:rsidRDefault="00932713" w:rsidP="00932713">
      <w:pPr>
        <w:pStyle w:val="Caption"/>
        <w:jc w:val="center"/>
        <w:rPr>
          <w:b w:val="0"/>
          <w:bCs w:val="0"/>
        </w:rPr>
      </w:pPr>
      <w:r>
        <w:t>Fig</w:t>
      </w:r>
      <w:r w:rsidR="002C0286">
        <w:t>ure</w:t>
      </w:r>
      <w:r>
        <w:t xml:space="preserve"> S</w:t>
      </w:r>
      <w:r w:rsidR="002C0286">
        <w:t>6.</w:t>
      </w:r>
      <w:r>
        <w:t xml:space="preserve"> </w:t>
      </w:r>
      <w:r>
        <w:rPr>
          <w:b w:val="0"/>
          <w:bCs w:val="0"/>
        </w:rPr>
        <w:t>Tafel analysis of (NiCo)</w:t>
      </w:r>
      <w:r w:rsidRPr="00992C20">
        <w:rPr>
          <w:b w:val="0"/>
          <w:bCs w:val="0"/>
          <w:vertAlign w:val="subscript"/>
        </w:rPr>
        <w:t>3</w:t>
      </w:r>
      <w:r>
        <w:rPr>
          <w:b w:val="0"/>
          <w:bCs w:val="0"/>
        </w:rPr>
        <w:t>Se</w:t>
      </w:r>
      <w:r w:rsidRPr="00992C20">
        <w:rPr>
          <w:b w:val="0"/>
          <w:bCs w:val="0"/>
          <w:vertAlign w:val="subscript"/>
        </w:rPr>
        <w:t>4</w:t>
      </w:r>
      <w:r>
        <w:rPr>
          <w:b w:val="0"/>
          <w:bCs w:val="0"/>
          <w:vertAlign w:val="subscript"/>
        </w:rPr>
        <w:t xml:space="preserve"> </w:t>
      </w:r>
      <w:r>
        <w:rPr>
          <w:b w:val="0"/>
          <w:bCs w:val="0"/>
        </w:rPr>
        <w:t xml:space="preserve"> and (NiCo)Se after Cryomilling (Cryo) and after surfactant assisted ball milling (SABM) compared to </w:t>
      </w:r>
      <w:r w:rsidR="00451224">
        <w:rPr>
          <w:b w:val="0"/>
          <w:bCs w:val="0"/>
        </w:rPr>
        <w:t>NiSe and CoSe.</w:t>
      </w:r>
    </w:p>
    <w:p w14:paraId="57EA34E1" w14:textId="77777777" w:rsidR="00932713" w:rsidRPr="007B39B8" w:rsidRDefault="00932713" w:rsidP="00932713">
      <w:pPr>
        <w:jc w:val="center"/>
      </w:pPr>
    </w:p>
    <w:p w14:paraId="77DD02BB" w14:textId="77777777" w:rsidR="00F35D51" w:rsidRDefault="00F35D51" w:rsidP="00F35D51">
      <w:pPr>
        <w:keepNext/>
        <w:jc w:val="center"/>
      </w:pPr>
      <w:r>
        <w:rPr>
          <w:noProof/>
        </w:rPr>
        <w:drawing>
          <wp:inline distT="0" distB="0" distL="0" distR="0" wp14:anchorId="04518A81" wp14:editId="473B3431">
            <wp:extent cx="3840000" cy="288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CS34-CV.eps"/>
                    <pic:cNvPicPr/>
                  </pic:nvPicPr>
                  <pic:blipFill>
                    <a:blip r:embed="rId12">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inline>
        </w:drawing>
      </w:r>
    </w:p>
    <w:p w14:paraId="74BEA8AE" w14:textId="0C5541B9" w:rsidR="00F35D51" w:rsidRPr="00512286" w:rsidRDefault="00F35D51" w:rsidP="00F35D51">
      <w:pPr>
        <w:pStyle w:val="Caption"/>
        <w:jc w:val="center"/>
        <w:rPr>
          <w:b w:val="0"/>
          <w:bCs w:val="0"/>
        </w:rPr>
      </w:pPr>
      <w:r>
        <w:t>Fig</w:t>
      </w:r>
      <w:r w:rsidR="002C0286">
        <w:t>ure</w:t>
      </w:r>
      <w:r>
        <w:t xml:space="preserve"> S</w:t>
      </w:r>
      <w:r w:rsidR="002C0286">
        <w:t>7.</w:t>
      </w:r>
      <w:r>
        <w:t xml:space="preserve"> </w:t>
      </w:r>
      <w:r>
        <w:rPr>
          <w:b w:val="0"/>
          <w:bCs w:val="0"/>
        </w:rPr>
        <w:t>Cyclic voltammetry done on (NiCo)</w:t>
      </w:r>
      <w:r w:rsidRPr="0006204D">
        <w:rPr>
          <w:b w:val="0"/>
          <w:bCs w:val="0"/>
          <w:vertAlign w:val="subscript"/>
        </w:rPr>
        <w:t>3</w:t>
      </w:r>
      <w:r>
        <w:rPr>
          <w:b w:val="0"/>
          <w:bCs w:val="0"/>
        </w:rPr>
        <w:t>Se</w:t>
      </w:r>
      <w:r w:rsidRPr="0006204D">
        <w:rPr>
          <w:b w:val="0"/>
          <w:bCs w:val="0"/>
          <w:vertAlign w:val="subscript"/>
        </w:rPr>
        <w:t>4</w:t>
      </w:r>
      <w:r>
        <w:rPr>
          <w:b w:val="0"/>
          <w:bCs w:val="0"/>
        </w:rPr>
        <w:t xml:space="preserve"> to calculate double layer capacitance (</w:t>
      </w:r>
      <w:proofErr w:type="spellStart"/>
      <w:r>
        <w:rPr>
          <w:b w:val="0"/>
          <w:bCs w:val="0"/>
        </w:rPr>
        <w:t>C</w:t>
      </w:r>
      <w:r w:rsidRPr="0006204D">
        <w:rPr>
          <w:b w:val="0"/>
          <w:bCs w:val="0"/>
          <w:vertAlign w:val="subscript"/>
        </w:rPr>
        <w:t>dl</w:t>
      </w:r>
      <w:proofErr w:type="spellEnd"/>
      <w:r>
        <w:rPr>
          <w:b w:val="0"/>
          <w:bCs w:val="0"/>
        </w:rPr>
        <w:t>) for electrochemical surface area (ECSA) calculations</w:t>
      </w:r>
    </w:p>
    <w:p w14:paraId="515A1904" w14:textId="77777777" w:rsidR="00F35D51" w:rsidRDefault="00F35D51" w:rsidP="00F35D51"/>
    <w:p w14:paraId="087E8766" w14:textId="77777777" w:rsidR="00F35D51" w:rsidRDefault="00F35D51" w:rsidP="00F35D51">
      <w:pPr>
        <w:jc w:val="center"/>
      </w:pPr>
      <w:r>
        <w:rPr>
          <w:noProof/>
        </w:rPr>
        <w:lastRenderedPageBreak/>
        <w:drawing>
          <wp:inline distT="0" distB="0" distL="0" distR="0" wp14:anchorId="454E1C45" wp14:editId="609F6AC4">
            <wp:extent cx="3840000" cy="288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CSA-Cdl.eps"/>
                    <pic:cNvPicPr/>
                  </pic:nvPicPr>
                  <pic:blipFill>
                    <a:blip r:embed="rId13">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inline>
        </w:drawing>
      </w:r>
    </w:p>
    <w:p w14:paraId="791CF877" w14:textId="38313AD3" w:rsidR="00F35D51" w:rsidRDefault="00F35D51" w:rsidP="00F35D51">
      <w:pPr>
        <w:pStyle w:val="Caption"/>
        <w:jc w:val="center"/>
        <w:rPr>
          <w:b w:val="0"/>
          <w:bCs w:val="0"/>
        </w:rPr>
      </w:pPr>
      <w:r>
        <w:t>Fig</w:t>
      </w:r>
      <w:r w:rsidR="002C0286">
        <w:t>ure</w:t>
      </w:r>
      <w:r>
        <w:t xml:space="preserve"> S</w:t>
      </w:r>
      <w:r w:rsidR="002C0286">
        <w:t>8.</w:t>
      </w:r>
      <w:r>
        <w:t xml:space="preserve"> </w:t>
      </w:r>
      <w:r>
        <w:rPr>
          <w:b w:val="0"/>
          <w:bCs w:val="0"/>
        </w:rPr>
        <w:t>Capacitive current vs scan rate for (NiCo)</w:t>
      </w:r>
      <w:r w:rsidRPr="0006204D">
        <w:rPr>
          <w:b w:val="0"/>
          <w:bCs w:val="0"/>
          <w:vertAlign w:val="subscript"/>
        </w:rPr>
        <w:t>3</w:t>
      </w:r>
      <w:r>
        <w:rPr>
          <w:b w:val="0"/>
          <w:bCs w:val="0"/>
        </w:rPr>
        <w:t>Se</w:t>
      </w:r>
      <w:r w:rsidRPr="0006204D">
        <w:rPr>
          <w:b w:val="0"/>
          <w:bCs w:val="0"/>
          <w:vertAlign w:val="subscript"/>
        </w:rPr>
        <w:t>4</w:t>
      </w:r>
      <w:r>
        <w:rPr>
          <w:b w:val="0"/>
          <w:bCs w:val="0"/>
          <w:vertAlign w:val="subscript"/>
        </w:rPr>
        <w:t xml:space="preserve">, </w:t>
      </w:r>
      <w:r>
        <w:rPr>
          <w:b w:val="0"/>
          <w:bCs w:val="0"/>
        </w:rPr>
        <w:t>(NiCo)Se, Ni NPs, IrO</w:t>
      </w:r>
      <w:r w:rsidRPr="00F15FEC">
        <w:rPr>
          <w:b w:val="0"/>
          <w:bCs w:val="0"/>
          <w:vertAlign w:val="subscript"/>
        </w:rPr>
        <w:t>2</w:t>
      </w:r>
      <w:r>
        <w:rPr>
          <w:b w:val="0"/>
          <w:bCs w:val="0"/>
          <w:vertAlign w:val="subscript"/>
        </w:rPr>
        <w:t xml:space="preserve">, </w:t>
      </w:r>
      <w:r>
        <w:rPr>
          <w:b w:val="0"/>
          <w:bCs w:val="0"/>
        </w:rPr>
        <w:t>and NiFe.</w:t>
      </w:r>
    </w:p>
    <w:p w14:paraId="752B5055" w14:textId="676C7F7A" w:rsidR="00E11A21" w:rsidRDefault="00E11A21" w:rsidP="00E11A21">
      <w:pPr>
        <w:jc w:val="center"/>
      </w:pPr>
      <w:r>
        <w:rPr>
          <w:noProof/>
        </w:rPr>
        <w:drawing>
          <wp:inline distT="0" distB="0" distL="0" distR="0" wp14:anchorId="7AE8ABDD" wp14:editId="0DAAE2CF">
            <wp:extent cx="3642092" cy="2601552"/>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4">
                      <a:extLst>
                        <a:ext uri="{28A0092B-C50C-407E-A947-70E740481C1C}">
                          <a14:useLocalDpi xmlns:a14="http://schemas.microsoft.com/office/drawing/2010/main" val="0"/>
                        </a:ext>
                      </a:extLst>
                    </a:blip>
                    <a:stretch>
                      <a:fillRect/>
                    </a:stretch>
                  </pic:blipFill>
                  <pic:spPr>
                    <a:xfrm>
                      <a:off x="0" y="0"/>
                      <a:ext cx="3642921" cy="2602144"/>
                    </a:xfrm>
                    <a:prstGeom prst="rect">
                      <a:avLst/>
                    </a:prstGeom>
                  </pic:spPr>
                </pic:pic>
              </a:graphicData>
            </a:graphic>
          </wp:inline>
        </w:drawing>
      </w:r>
    </w:p>
    <w:p w14:paraId="5F784868" w14:textId="7A665F03" w:rsidR="00E11A21" w:rsidRDefault="00E11A21" w:rsidP="00E11A21">
      <w:pPr>
        <w:pStyle w:val="Caption"/>
        <w:jc w:val="center"/>
        <w:rPr>
          <w:b w:val="0"/>
          <w:bCs w:val="0"/>
        </w:rPr>
      </w:pPr>
      <w:r>
        <w:t>Fig</w:t>
      </w:r>
      <w:r w:rsidR="00484F14">
        <w:t>ure</w:t>
      </w:r>
      <w:r>
        <w:t xml:space="preserve"> S</w:t>
      </w:r>
      <w:r w:rsidR="002C0286">
        <w:t>9.</w:t>
      </w:r>
      <w:r>
        <w:t xml:space="preserve"> </w:t>
      </w:r>
      <w:r w:rsidR="00484F14">
        <w:rPr>
          <w:b w:val="0"/>
          <w:bCs w:val="0"/>
        </w:rPr>
        <w:t>Chronopotentiometry of activated (NiCo)</w:t>
      </w:r>
      <w:r w:rsidR="00484F14" w:rsidRPr="00484F14">
        <w:rPr>
          <w:b w:val="0"/>
          <w:bCs w:val="0"/>
          <w:vertAlign w:val="subscript"/>
        </w:rPr>
        <w:t>3</w:t>
      </w:r>
      <w:r w:rsidR="00484F14">
        <w:rPr>
          <w:b w:val="0"/>
          <w:bCs w:val="0"/>
        </w:rPr>
        <w:t>Se</w:t>
      </w:r>
      <w:r w:rsidR="00484F14" w:rsidRPr="00484F14">
        <w:rPr>
          <w:b w:val="0"/>
          <w:bCs w:val="0"/>
          <w:vertAlign w:val="subscript"/>
        </w:rPr>
        <w:t>4</w:t>
      </w:r>
      <w:r w:rsidR="00484F14">
        <w:rPr>
          <w:b w:val="0"/>
          <w:bCs w:val="0"/>
        </w:rPr>
        <w:t xml:space="preserve"> on carbon paper (CP)</w:t>
      </w:r>
    </w:p>
    <w:p w14:paraId="48634875" w14:textId="77777777" w:rsidR="00E11A21" w:rsidRPr="00E11A21" w:rsidRDefault="00E11A21" w:rsidP="00E11A21">
      <w:pPr>
        <w:jc w:val="center"/>
      </w:pPr>
    </w:p>
    <w:p w14:paraId="6774F812" w14:textId="77777777" w:rsidR="00F35D51" w:rsidRDefault="00F35D51" w:rsidP="00F35D51"/>
    <w:p w14:paraId="0D5DBAB6" w14:textId="77777777" w:rsidR="00F35D51" w:rsidRDefault="00F35D51" w:rsidP="00F35D51">
      <w:pPr>
        <w:jc w:val="center"/>
      </w:pPr>
      <w:r>
        <w:rPr>
          <w:noProof/>
        </w:rPr>
        <w:lastRenderedPageBreak/>
        <w:drawing>
          <wp:inline distT="0" distB="0" distL="0" distR="0" wp14:anchorId="5ECFCA07" wp14:editId="0FF6A581">
            <wp:extent cx="3367233" cy="288603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CS34-NF-LSV-1mV.eps"/>
                    <pic:cNvPicPr/>
                  </pic:nvPicPr>
                  <pic:blipFill>
                    <a:blip r:embed="rId15">
                      <a:extLst>
                        <a:ext uri="{28A0092B-C50C-407E-A947-70E740481C1C}">
                          <a14:useLocalDpi xmlns:a14="http://schemas.microsoft.com/office/drawing/2010/main" val="0"/>
                        </a:ext>
                      </a:extLst>
                    </a:blip>
                    <a:stretch>
                      <a:fillRect/>
                    </a:stretch>
                  </pic:blipFill>
                  <pic:spPr>
                    <a:xfrm>
                      <a:off x="0" y="0"/>
                      <a:ext cx="3380633" cy="2897524"/>
                    </a:xfrm>
                    <a:prstGeom prst="rect">
                      <a:avLst/>
                    </a:prstGeom>
                  </pic:spPr>
                </pic:pic>
              </a:graphicData>
            </a:graphic>
          </wp:inline>
        </w:drawing>
      </w:r>
    </w:p>
    <w:p w14:paraId="5FD0885F" w14:textId="5122BDD9" w:rsidR="00F35D51" w:rsidRDefault="00F35D51" w:rsidP="00F35D51">
      <w:pPr>
        <w:pStyle w:val="Caption"/>
        <w:jc w:val="center"/>
        <w:rPr>
          <w:b w:val="0"/>
          <w:bCs w:val="0"/>
        </w:rPr>
      </w:pPr>
      <w:r>
        <w:t>Fig</w:t>
      </w:r>
      <w:r w:rsidR="00484F14">
        <w:t>ure</w:t>
      </w:r>
      <w:r>
        <w:t xml:space="preserve"> S</w:t>
      </w:r>
      <w:r w:rsidR="002C0286">
        <w:t>10.</w:t>
      </w:r>
      <w:r w:rsidR="00366355">
        <w:t xml:space="preserve"> </w:t>
      </w:r>
      <w:r>
        <w:rPr>
          <w:b w:val="0"/>
          <w:bCs w:val="0"/>
        </w:rPr>
        <w:t>Polarization curve of (NiCo)</w:t>
      </w:r>
      <w:r w:rsidRPr="0006204D">
        <w:rPr>
          <w:b w:val="0"/>
          <w:bCs w:val="0"/>
          <w:vertAlign w:val="subscript"/>
        </w:rPr>
        <w:t>3</w:t>
      </w:r>
      <w:r>
        <w:rPr>
          <w:b w:val="0"/>
          <w:bCs w:val="0"/>
        </w:rPr>
        <w:t>Se</w:t>
      </w:r>
      <w:r w:rsidRPr="0006204D">
        <w:rPr>
          <w:b w:val="0"/>
          <w:bCs w:val="0"/>
          <w:vertAlign w:val="subscript"/>
        </w:rPr>
        <w:t>4</w:t>
      </w:r>
      <w:r>
        <w:rPr>
          <w:b w:val="0"/>
          <w:bCs w:val="0"/>
          <w:vertAlign w:val="subscript"/>
        </w:rPr>
        <w:t xml:space="preserve">, </w:t>
      </w:r>
      <w:r>
        <w:rPr>
          <w:b w:val="0"/>
          <w:bCs w:val="0"/>
        </w:rPr>
        <w:t>on NF and bare NF.</w:t>
      </w:r>
    </w:p>
    <w:p w14:paraId="11F72549" w14:textId="77777777" w:rsidR="00BE11C9" w:rsidRPr="00BE11C9" w:rsidRDefault="00BE11C9" w:rsidP="00BE11C9"/>
    <w:p w14:paraId="5E0C7D73" w14:textId="23CDCFFD" w:rsidR="00F35D51" w:rsidRDefault="008C0D9E" w:rsidP="00F35D51">
      <w:pPr>
        <w:jc w:val="center"/>
      </w:pPr>
      <w:r>
        <w:rPr>
          <w:noProof/>
        </w:rPr>
        <w:drawing>
          <wp:inline distT="0" distB="0" distL="0" distR="0" wp14:anchorId="6182E16A" wp14:editId="44DA93E4">
            <wp:extent cx="6190037" cy="2074555"/>
            <wp:effectExtent l="0" t="0" r="0" b="0"/>
            <wp:docPr id="15" name="Picture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00392" cy="2078025"/>
                    </a:xfrm>
                    <a:prstGeom prst="rect">
                      <a:avLst/>
                    </a:prstGeom>
                  </pic:spPr>
                </pic:pic>
              </a:graphicData>
            </a:graphic>
          </wp:inline>
        </w:drawing>
      </w:r>
    </w:p>
    <w:p w14:paraId="01E078FE" w14:textId="111AEDD5" w:rsidR="00BE11C9" w:rsidRPr="00663D6B" w:rsidRDefault="00BE11C9" w:rsidP="00BE11C9">
      <w:pPr>
        <w:pStyle w:val="Caption"/>
        <w:jc w:val="center"/>
        <w:rPr>
          <w:b w:val="0"/>
          <w:bCs w:val="0"/>
        </w:rPr>
      </w:pPr>
      <w:r>
        <w:t>Figure S11</w:t>
      </w:r>
      <w:r w:rsidR="002C0286">
        <w:t>.</w:t>
      </w:r>
      <w:r>
        <w:t xml:space="preserve"> </w:t>
      </w:r>
      <w:r w:rsidR="00663D6B" w:rsidRPr="00663D6B">
        <w:rPr>
          <w:b w:val="0"/>
          <w:bCs w:val="0"/>
        </w:rPr>
        <w:t>Comparison of the performance of this work (star) and other OER catalysts in literature from Table S8 on b) glassy carbon electrode (GCE) and c) 3D substrates.  d) Top performing OER electrocatalysts at a current density &gt;500 mA.cm</w:t>
      </w:r>
      <w:r w:rsidR="00663D6B" w:rsidRPr="00663D6B">
        <w:rPr>
          <w:b w:val="0"/>
          <w:bCs w:val="0"/>
          <w:vertAlign w:val="superscript"/>
        </w:rPr>
        <w:t>-2</w:t>
      </w:r>
      <w:r w:rsidR="00663D6B" w:rsidRPr="00663D6B">
        <w:rPr>
          <w:b w:val="0"/>
          <w:bCs w:val="0"/>
        </w:rPr>
        <w:t xml:space="preserve"> are compared with respect to electrochemical potential degradation.</w:t>
      </w:r>
    </w:p>
    <w:p w14:paraId="29B0E225" w14:textId="77777777" w:rsidR="00BE11C9" w:rsidRDefault="00BE11C9" w:rsidP="00F35D51">
      <w:pPr>
        <w:jc w:val="center"/>
      </w:pPr>
    </w:p>
    <w:p w14:paraId="5CDF421B" w14:textId="553B51B1" w:rsidR="008C0D9E" w:rsidRDefault="008C0D9E" w:rsidP="00F35D51">
      <w:pPr>
        <w:jc w:val="center"/>
      </w:pPr>
    </w:p>
    <w:p w14:paraId="5FB9D1A2" w14:textId="76AC27FD" w:rsidR="00D80739" w:rsidRDefault="00D80739" w:rsidP="00F35D51">
      <w:pPr>
        <w:jc w:val="center"/>
      </w:pPr>
    </w:p>
    <w:p w14:paraId="45870394" w14:textId="67A1298B" w:rsidR="00D80739" w:rsidRDefault="00D80739" w:rsidP="00F35D51">
      <w:pPr>
        <w:jc w:val="center"/>
      </w:pPr>
    </w:p>
    <w:p w14:paraId="2CC39F1A" w14:textId="67BB679C" w:rsidR="00D80739" w:rsidRDefault="00D80739" w:rsidP="00F35D51">
      <w:pPr>
        <w:jc w:val="center"/>
      </w:pPr>
    </w:p>
    <w:p w14:paraId="1B82AA3C" w14:textId="7EC97C1C" w:rsidR="00D80739" w:rsidRDefault="00D80739" w:rsidP="00F35D51">
      <w:pPr>
        <w:jc w:val="center"/>
      </w:pPr>
    </w:p>
    <w:p w14:paraId="12AB46D8" w14:textId="4FC98BEF" w:rsidR="00D80739" w:rsidRDefault="00D80739" w:rsidP="00F35D51">
      <w:pPr>
        <w:jc w:val="center"/>
      </w:pPr>
    </w:p>
    <w:p w14:paraId="020A23E6" w14:textId="5A0FDA63" w:rsidR="00D80739" w:rsidRDefault="00D80739" w:rsidP="00F35D51">
      <w:pPr>
        <w:jc w:val="center"/>
      </w:pPr>
    </w:p>
    <w:p w14:paraId="2D39EBC6" w14:textId="2216D350" w:rsidR="00D80739" w:rsidRDefault="00D80739" w:rsidP="00F35D51">
      <w:pPr>
        <w:jc w:val="center"/>
      </w:pPr>
    </w:p>
    <w:p w14:paraId="60B5695F" w14:textId="2A983C07" w:rsidR="00D80739" w:rsidRDefault="00D80739" w:rsidP="00F35D51">
      <w:pPr>
        <w:jc w:val="center"/>
      </w:pPr>
    </w:p>
    <w:p w14:paraId="54A5597B" w14:textId="49A831CE" w:rsidR="00D80739" w:rsidRDefault="00D80739" w:rsidP="00F35D51">
      <w:pPr>
        <w:jc w:val="center"/>
      </w:pPr>
    </w:p>
    <w:p w14:paraId="548B9137" w14:textId="77777777" w:rsidR="00D80739" w:rsidRPr="00233118" w:rsidRDefault="00D80739" w:rsidP="00F35D51">
      <w:pPr>
        <w:jc w:val="center"/>
      </w:pPr>
    </w:p>
    <w:p w14:paraId="203595EC" w14:textId="2B53E744" w:rsidR="00F35D51" w:rsidRPr="009A60B1" w:rsidRDefault="00F35D51" w:rsidP="00F35D51">
      <w:pPr>
        <w:pStyle w:val="Caption"/>
        <w:keepNext/>
        <w:jc w:val="center"/>
        <w:rPr>
          <w:b w:val="0"/>
          <w:bCs w:val="0"/>
        </w:rPr>
      </w:pPr>
      <w:r w:rsidRPr="00E8138A">
        <w:lastRenderedPageBreak/>
        <w:t>Table S</w:t>
      </w:r>
      <w:r w:rsidR="00FF2D61">
        <w:fldChar w:fldCharType="begin"/>
      </w:r>
      <w:r w:rsidR="00FF2D61">
        <w:instrText xml:space="preserve"> SEQ Table_S \* ARABIC </w:instrText>
      </w:r>
      <w:r w:rsidR="00FF2D61">
        <w:fldChar w:fldCharType="separate"/>
      </w:r>
      <w:r>
        <w:rPr>
          <w:noProof/>
        </w:rPr>
        <w:t>4</w:t>
      </w:r>
      <w:r w:rsidR="00FF2D61">
        <w:rPr>
          <w:noProof/>
        </w:rPr>
        <w:fldChar w:fldCharType="end"/>
      </w:r>
      <w:r w:rsidR="002C0286">
        <w:rPr>
          <w:noProof/>
        </w:rPr>
        <w:t>.</w:t>
      </w:r>
      <w:r>
        <w:t xml:space="preserve"> </w:t>
      </w:r>
      <w:r>
        <w:rPr>
          <w:b w:val="0"/>
          <w:bCs w:val="0"/>
        </w:rPr>
        <w:t xml:space="preserve">Summary of electrochemical performance of all catalysts in this study. </w:t>
      </w:r>
      <w:r w:rsidRPr="00140F30">
        <w:rPr>
          <w:b w:val="0"/>
          <w:bCs w:val="0"/>
        </w:rPr>
        <w:t xml:space="preserve">* </w:t>
      </w:r>
      <w:r>
        <w:rPr>
          <w:b w:val="0"/>
          <w:bCs w:val="0"/>
        </w:rPr>
        <w:t xml:space="preserve">overpotential was </w:t>
      </w:r>
      <w:r w:rsidRPr="00140F30">
        <w:rPr>
          <w:b w:val="0"/>
          <w:bCs w:val="0"/>
        </w:rPr>
        <w:t>extrapolated using Tafel slope</w:t>
      </w:r>
      <w:r>
        <w:rPr>
          <w:b w:val="0"/>
          <w:bCs w:val="0"/>
        </w:rPr>
        <w:t>.</w:t>
      </w:r>
    </w:p>
    <w:tbl>
      <w:tblPr>
        <w:tblW w:w="6290" w:type="dxa"/>
        <w:jc w:val="center"/>
        <w:tblLayout w:type="fixed"/>
        <w:tblCellMar>
          <w:left w:w="0" w:type="dxa"/>
          <w:right w:w="0" w:type="dxa"/>
        </w:tblCellMar>
        <w:tblLook w:val="0600" w:firstRow="0" w:lastRow="0" w:firstColumn="0" w:lastColumn="0" w:noHBand="1" w:noVBand="1"/>
      </w:tblPr>
      <w:tblGrid>
        <w:gridCol w:w="1880"/>
        <w:gridCol w:w="720"/>
        <w:gridCol w:w="810"/>
        <w:gridCol w:w="900"/>
        <w:gridCol w:w="990"/>
        <w:gridCol w:w="990"/>
      </w:tblGrid>
      <w:tr w:rsidR="00F35D51" w:rsidRPr="002C1F70" w14:paraId="00944AD0" w14:textId="77777777" w:rsidTr="00B05959">
        <w:trPr>
          <w:trHeight w:val="660"/>
          <w:jc w:val="center"/>
        </w:trPr>
        <w:tc>
          <w:tcPr>
            <w:tcW w:w="1880" w:type="dxa"/>
            <w:tcBorders>
              <w:top w:val="single" w:sz="8" w:space="0" w:color="000000"/>
              <w:right w:val="nil"/>
            </w:tcBorders>
            <w:shd w:val="clear" w:color="auto" w:fill="C00000"/>
            <w:tcMar>
              <w:top w:w="13" w:type="dxa"/>
              <w:left w:w="13" w:type="dxa"/>
              <w:bottom w:w="0" w:type="dxa"/>
              <w:right w:w="13" w:type="dxa"/>
            </w:tcMar>
            <w:vAlign w:val="center"/>
            <w:hideMark/>
          </w:tcPr>
          <w:p w14:paraId="42C53CDA" w14:textId="77777777" w:rsidR="00F35D51" w:rsidRPr="009A60B1" w:rsidRDefault="00F35D51" w:rsidP="00B05959">
            <w:pPr>
              <w:jc w:val="center"/>
              <w:rPr>
                <w:sz w:val="20"/>
                <w:szCs w:val="20"/>
              </w:rPr>
            </w:pPr>
          </w:p>
        </w:tc>
        <w:tc>
          <w:tcPr>
            <w:tcW w:w="720" w:type="dxa"/>
            <w:tcBorders>
              <w:top w:val="single" w:sz="8" w:space="0" w:color="000000"/>
              <w:left w:val="nil"/>
              <w:right w:val="nil"/>
            </w:tcBorders>
            <w:shd w:val="clear" w:color="auto" w:fill="C00000"/>
            <w:tcMar>
              <w:top w:w="13" w:type="dxa"/>
              <w:left w:w="13" w:type="dxa"/>
              <w:bottom w:w="0" w:type="dxa"/>
              <w:right w:w="13" w:type="dxa"/>
            </w:tcMar>
            <w:vAlign w:val="center"/>
            <w:hideMark/>
          </w:tcPr>
          <w:p w14:paraId="23BC40ED" w14:textId="77777777" w:rsidR="00F35D51" w:rsidRPr="002C1F70" w:rsidRDefault="00F35D51" w:rsidP="00B05959">
            <w:pPr>
              <w:jc w:val="center"/>
              <w:rPr>
                <w:sz w:val="20"/>
                <w:szCs w:val="20"/>
                <w:lang w:val="en-US"/>
              </w:rPr>
            </w:pPr>
            <w:r w:rsidRPr="002C1F70">
              <w:rPr>
                <w:b/>
                <w:bCs/>
                <w:sz w:val="20"/>
                <w:szCs w:val="20"/>
              </w:rPr>
              <w:sym w:font="Symbol" w:char="F068"/>
            </w:r>
            <w:r w:rsidRPr="002C1F70">
              <w:rPr>
                <w:sz w:val="20"/>
                <w:szCs w:val="20"/>
              </w:rPr>
              <w:t xml:space="preserve"> [mV]</w:t>
            </w:r>
            <w:r w:rsidRPr="002C1F70">
              <w:rPr>
                <w:sz w:val="20"/>
                <w:szCs w:val="20"/>
              </w:rPr>
              <w:br/>
            </w:r>
            <w:r w:rsidRPr="002C1F70">
              <w:rPr>
                <w:b/>
                <w:bCs/>
                <w:sz w:val="20"/>
                <w:szCs w:val="20"/>
              </w:rPr>
              <w:t>@1mA</w:t>
            </w:r>
          </w:p>
        </w:tc>
        <w:tc>
          <w:tcPr>
            <w:tcW w:w="810" w:type="dxa"/>
            <w:tcBorders>
              <w:top w:val="single" w:sz="8" w:space="0" w:color="000000"/>
              <w:left w:val="nil"/>
              <w:right w:val="nil"/>
            </w:tcBorders>
            <w:shd w:val="clear" w:color="auto" w:fill="C00000"/>
            <w:tcMar>
              <w:top w:w="13" w:type="dxa"/>
              <w:left w:w="13" w:type="dxa"/>
              <w:bottom w:w="0" w:type="dxa"/>
              <w:right w:w="13" w:type="dxa"/>
            </w:tcMar>
            <w:vAlign w:val="center"/>
            <w:hideMark/>
          </w:tcPr>
          <w:p w14:paraId="081393C0" w14:textId="77777777" w:rsidR="00F35D51" w:rsidRPr="002C1F70" w:rsidRDefault="00F35D51" w:rsidP="00B05959">
            <w:pPr>
              <w:jc w:val="center"/>
              <w:rPr>
                <w:sz w:val="20"/>
                <w:szCs w:val="20"/>
                <w:lang w:val="en-US"/>
              </w:rPr>
            </w:pPr>
            <w:r w:rsidRPr="002C1F70">
              <w:rPr>
                <w:b/>
                <w:bCs/>
                <w:sz w:val="20"/>
                <w:szCs w:val="20"/>
              </w:rPr>
              <w:sym w:font="Symbol" w:char="F068"/>
            </w:r>
            <w:r w:rsidRPr="002C1F70">
              <w:rPr>
                <w:sz w:val="20"/>
                <w:szCs w:val="20"/>
              </w:rPr>
              <w:t xml:space="preserve"> [mV]</w:t>
            </w:r>
            <w:r w:rsidRPr="002C1F70">
              <w:rPr>
                <w:sz w:val="20"/>
                <w:szCs w:val="20"/>
              </w:rPr>
              <w:br/>
            </w:r>
            <w:r w:rsidRPr="002C1F70">
              <w:rPr>
                <w:b/>
                <w:bCs/>
                <w:sz w:val="20"/>
                <w:szCs w:val="20"/>
              </w:rPr>
              <w:t>@10mA</w:t>
            </w:r>
          </w:p>
        </w:tc>
        <w:tc>
          <w:tcPr>
            <w:tcW w:w="900" w:type="dxa"/>
            <w:tcBorders>
              <w:top w:val="single" w:sz="8" w:space="0" w:color="000000"/>
              <w:left w:val="nil"/>
              <w:right w:val="nil"/>
            </w:tcBorders>
            <w:shd w:val="clear" w:color="auto" w:fill="C00000"/>
            <w:tcMar>
              <w:top w:w="13" w:type="dxa"/>
              <w:left w:w="13" w:type="dxa"/>
              <w:bottom w:w="0" w:type="dxa"/>
              <w:right w:w="13" w:type="dxa"/>
            </w:tcMar>
            <w:vAlign w:val="center"/>
            <w:hideMark/>
          </w:tcPr>
          <w:p w14:paraId="7217E372" w14:textId="77777777" w:rsidR="00F35D51" w:rsidRPr="002C1F70" w:rsidRDefault="00F35D51" w:rsidP="00B05959">
            <w:pPr>
              <w:jc w:val="center"/>
              <w:rPr>
                <w:sz w:val="20"/>
                <w:szCs w:val="20"/>
                <w:lang w:val="en-US"/>
              </w:rPr>
            </w:pPr>
            <w:r w:rsidRPr="002C1F70">
              <w:rPr>
                <w:b/>
                <w:bCs/>
                <w:sz w:val="20"/>
                <w:szCs w:val="20"/>
              </w:rPr>
              <w:t>Tafel</w:t>
            </w:r>
            <w:r w:rsidRPr="002C1F70">
              <w:rPr>
                <w:b/>
                <w:bCs/>
                <w:sz w:val="20"/>
                <w:szCs w:val="20"/>
              </w:rPr>
              <w:br/>
            </w:r>
            <w:r w:rsidRPr="002C1F70">
              <w:rPr>
                <w:sz w:val="20"/>
                <w:szCs w:val="20"/>
              </w:rPr>
              <w:t>[mV.dec</w:t>
            </w:r>
            <w:r w:rsidRPr="002C1F70">
              <w:rPr>
                <w:sz w:val="20"/>
                <w:szCs w:val="20"/>
                <w:vertAlign w:val="superscript"/>
              </w:rPr>
              <w:t>-1</w:t>
            </w:r>
            <w:r w:rsidRPr="002C1F70">
              <w:rPr>
                <w:sz w:val="20"/>
                <w:szCs w:val="20"/>
              </w:rPr>
              <w:t>]</w:t>
            </w:r>
          </w:p>
        </w:tc>
        <w:tc>
          <w:tcPr>
            <w:tcW w:w="990" w:type="dxa"/>
            <w:tcBorders>
              <w:top w:val="single" w:sz="8" w:space="0" w:color="000000"/>
              <w:left w:val="nil"/>
              <w:right w:val="nil"/>
            </w:tcBorders>
            <w:shd w:val="clear" w:color="auto" w:fill="C00000"/>
            <w:tcMar>
              <w:top w:w="13" w:type="dxa"/>
              <w:left w:w="13" w:type="dxa"/>
              <w:bottom w:w="0" w:type="dxa"/>
              <w:right w:w="13" w:type="dxa"/>
            </w:tcMar>
            <w:vAlign w:val="center"/>
            <w:hideMark/>
          </w:tcPr>
          <w:p w14:paraId="197D7D2F" w14:textId="77777777" w:rsidR="00F35D51" w:rsidRPr="002C1F70" w:rsidRDefault="00F35D51" w:rsidP="00B05959">
            <w:pPr>
              <w:jc w:val="center"/>
              <w:rPr>
                <w:sz w:val="20"/>
                <w:szCs w:val="20"/>
                <w:lang w:val="en-US"/>
              </w:rPr>
            </w:pPr>
            <w:r w:rsidRPr="002C1F70">
              <w:rPr>
                <w:b/>
                <w:bCs/>
                <w:sz w:val="20"/>
                <w:szCs w:val="20"/>
              </w:rPr>
              <w:t>RF</w:t>
            </w:r>
          </w:p>
        </w:tc>
        <w:tc>
          <w:tcPr>
            <w:tcW w:w="990" w:type="dxa"/>
            <w:tcBorders>
              <w:top w:val="single" w:sz="8" w:space="0" w:color="000000"/>
              <w:left w:val="nil"/>
            </w:tcBorders>
            <w:shd w:val="clear" w:color="auto" w:fill="C00000"/>
            <w:tcMar>
              <w:top w:w="13" w:type="dxa"/>
              <w:left w:w="13" w:type="dxa"/>
              <w:bottom w:w="0" w:type="dxa"/>
              <w:right w:w="13" w:type="dxa"/>
            </w:tcMar>
            <w:vAlign w:val="center"/>
            <w:hideMark/>
          </w:tcPr>
          <w:p w14:paraId="7E3835C8" w14:textId="77777777" w:rsidR="00F35D51" w:rsidRPr="002C1F70" w:rsidRDefault="00F35D51" w:rsidP="00B05959">
            <w:pPr>
              <w:jc w:val="center"/>
              <w:rPr>
                <w:sz w:val="20"/>
                <w:szCs w:val="20"/>
                <w:lang w:val="en-US"/>
              </w:rPr>
            </w:pPr>
            <w:r w:rsidRPr="002C1F70">
              <w:rPr>
                <w:b/>
                <w:bCs/>
                <w:sz w:val="20"/>
                <w:szCs w:val="20"/>
              </w:rPr>
              <w:t>Size</w:t>
            </w:r>
          </w:p>
          <w:p w14:paraId="4D744552" w14:textId="77777777" w:rsidR="00F35D51" w:rsidRPr="002C1F70" w:rsidRDefault="00F35D51" w:rsidP="00B05959">
            <w:pPr>
              <w:jc w:val="center"/>
              <w:rPr>
                <w:sz w:val="20"/>
                <w:szCs w:val="20"/>
                <w:lang w:val="en-US"/>
              </w:rPr>
            </w:pPr>
            <w:r w:rsidRPr="002C1F70">
              <w:rPr>
                <w:sz w:val="20"/>
                <w:szCs w:val="20"/>
              </w:rPr>
              <w:t>[nm]</w:t>
            </w:r>
          </w:p>
        </w:tc>
      </w:tr>
      <w:tr w:rsidR="00F35D51" w:rsidRPr="002C1F70" w14:paraId="7C16D64F" w14:textId="77777777" w:rsidTr="00B05959">
        <w:trPr>
          <w:trHeight w:val="488"/>
          <w:jc w:val="center"/>
        </w:trPr>
        <w:tc>
          <w:tcPr>
            <w:tcW w:w="1880" w:type="dxa"/>
            <w:tcBorders>
              <w:top w:val="nil"/>
              <w:bottom w:val="nil"/>
              <w:right w:val="nil"/>
            </w:tcBorders>
            <w:shd w:val="clear" w:color="auto" w:fill="FFFFFF" w:themeFill="background1"/>
            <w:tcMar>
              <w:top w:w="13" w:type="dxa"/>
              <w:left w:w="13" w:type="dxa"/>
              <w:bottom w:w="0" w:type="dxa"/>
              <w:right w:w="13" w:type="dxa"/>
            </w:tcMar>
            <w:vAlign w:val="center"/>
            <w:hideMark/>
          </w:tcPr>
          <w:p w14:paraId="5406AFE1" w14:textId="77777777" w:rsidR="00F35D51" w:rsidRPr="002C1F70" w:rsidRDefault="00F35D51" w:rsidP="00B05959">
            <w:pPr>
              <w:spacing w:line="360" w:lineRule="auto"/>
              <w:rPr>
                <w:sz w:val="20"/>
                <w:szCs w:val="20"/>
                <w:lang w:val="en-US"/>
              </w:rPr>
            </w:pPr>
            <w:r w:rsidRPr="002C1F70">
              <w:rPr>
                <w:b/>
                <w:bCs/>
                <w:sz w:val="20"/>
                <w:szCs w:val="20"/>
              </w:rPr>
              <w:t>Ni NPs</w:t>
            </w:r>
          </w:p>
        </w:tc>
        <w:tc>
          <w:tcPr>
            <w:tcW w:w="720" w:type="dxa"/>
            <w:tcBorders>
              <w:top w:val="nil"/>
              <w:left w:val="nil"/>
              <w:bottom w:val="nil"/>
              <w:right w:val="nil"/>
            </w:tcBorders>
            <w:shd w:val="clear" w:color="auto" w:fill="FFFFFF" w:themeFill="background1"/>
            <w:tcMar>
              <w:top w:w="13" w:type="dxa"/>
              <w:left w:w="13" w:type="dxa"/>
              <w:bottom w:w="0" w:type="dxa"/>
              <w:right w:w="13" w:type="dxa"/>
            </w:tcMar>
            <w:vAlign w:val="center"/>
            <w:hideMark/>
          </w:tcPr>
          <w:p w14:paraId="1F962BEC" w14:textId="77777777" w:rsidR="00F35D51" w:rsidRPr="002C1F70" w:rsidRDefault="00F35D51" w:rsidP="00B05959">
            <w:pPr>
              <w:spacing w:line="360" w:lineRule="auto"/>
              <w:jc w:val="center"/>
              <w:rPr>
                <w:sz w:val="20"/>
                <w:szCs w:val="20"/>
                <w:lang w:val="en-US"/>
              </w:rPr>
            </w:pPr>
            <w:r w:rsidRPr="002C1F70">
              <w:rPr>
                <w:sz w:val="20"/>
                <w:szCs w:val="20"/>
              </w:rPr>
              <w:t>321</w:t>
            </w:r>
            <w:r w:rsidRPr="009B72A7">
              <w:rPr>
                <w:sz w:val="20"/>
                <w:szCs w:val="20"/>
              </w:rPr>
              <w:t>±</w:t>
            </w:r>
            <w:r>
              <w:rPr>
                <w:sz w:val="20"/>
                <w:szCs w:val="20"/>
              </w:rPr>
              <w:t>2</w:t>
            </w:r>
          </w:p>
        </w:tc>
        <w:tc>
          <w:tcPr>
            <w:tcW w:w="810" w:type="dxa"/>
            <w:tcBorders>
              <w:top w:val="nil"/>
              <w:left w:val="nil"/>
              <w:bottom w:val="nil"/>
              <w:right w:val="nil"/>
            </w:tcBorders>
            <w:shd w:val="clear" w:color="auto" w:fill="FFFFFF" w:themeFill="background1"/>
            <w:tcMar>
              <w:top w:w="13" w:type="dxa"/>
              <w:left w:w="13" w:type="dxa"/>
              <w:bottom w:w="0" w:type="dxa"/>
              <w:right w:w="13" w:type="dxa"/>
            </w:tcMar>
            <w:vAlign w:val="center"/>
            <w:hideMark/>
          </w:tcPr>
          <w:p w14:paraId="5F1FD23A" w14:textId="77777777" w:rsidR="00F35D51" w:rsidRPr="002C1F70" w:rsidRDefault="00F35D51" w:rsidP="00B05959">
            <w:pPr>
              <w:spacing w:line="360" w:lineRule="auto"/>
              <w:jc w:val="center"/>
              <w:rPr>
                <w:sz w:val="20"/>
                <w:szCs w:val="20"/>
                <w:lang w:val="en-US"/>
              </w:rPr>
            </w:pPr>
            <w:r w:rsidRPr="002C1F70">
              <w:rPr>
                <w:sz w:val="20"/>
                <w:szCs w:val="20"/>
              </w:rPr>
              <w:t>383±3</w:t>
            </w:r>
          </w:p>
        </w:tc>
        <w:tc>
          <w:tcPr>
            <w:tcW w:w="900" w:type="dxa"/>
            <w:tcBorders>
              <w:top w:val="nil"/>
              <w:left w:val="nil"/>
              <w:bottom w:val="nil"/>
              <w:right w:val="nil"/>
            </w:tcBorders>
            <w:shd w:val="clear" w:color="auto" w:fill="FFFFFF" w:themeFill="background1"/>
            <w:tcMar>
              <w:top w:w="13" w:type="dxa"/>
              <w:left w:w="13" w:type="dxa"/>
              <w:bottom w:w="0" w:type="dxa"/>
              <w:right w:w="13" w:type="dxa"/>
            </w:tcMar>
            <w:vAlign w:val="center"/>
            <w:hideMark/>
          </w:tcPr>
          <w:p w14:paraId="62D0DE93" w14:textId="77777777" w:rsidR="00F35D51" w:rsidRPr="002C1F70" w:rsidRDefault="00F35D51" w:rsidP="00B05959">
            <w:pPr>
              <w:spacing w:line="360" w:lineRule="auto"/>
              <w:jc w:val="center"/>
              <w:rPr>
                <w:sz w:val="20"/>
                <w:szCs w:val="20"/>
                <w:lang w:val="en-US"/>
              </w:rPr>
            </w:pPr>
            <w:r w:rsidRPr="002C1F70">
              <w:rPr>
                <w:sz w:val="20"/>
                <w:szCs w:val="20"/>
              </w:rPr>
              <w:t>62</w:t>
            </w:r>
          </w:p>
        </w:tc>
        <w:tc>
          <w:tcPr>
            <w:tcW w:w="990" w:type="dxa"/>
            <w:tcBorders>
              <w:top w:val="nil"/>
              <w:left w:val="nil"/>
              <w:bottom w:val="nil"/>
              <w:right w:val="nil"/>
            </w:tcBorders>
            <w:shd w:val="clear" w:color="auto" w:fill="FFFFFF" w:themeFill="background1"/>
            <w:tcMar>
              <w:top w:w="13" w:type="dxa"/>
              <w:left w:w="13" w:type="dxa"/>
              <w:bottom w:w="0" w:type="dxa"/>
              <w:right w:w="13" w:type="dxa"/>
            </w:tcMar>
            <w:vAlign w:val="center"/>
            <w:hideMark/>
          </w:tcPr>
          <w:p w14:paraId="01F78FA3" w14:textId="77777777" w:rsidR="00F35D51" w:rsidRPr="002C1F70" w:rsidRDefault="00F35D51" w:rsidP="00B05959">
            <w:pPr>
              <w:spacing w:line="360" w:lineRule="auto"/>
              <w:jc w:val="center"/>
              <w:rPr>
                <w:sz w:val="20"/>
                <w:szCs w:val="20"/>
                <w:lang w:val="en-US"/>
              </w:rPr>
            </w:pPr>
            <w:r w:rsidRPr="002C1F70">
              <w:rPr>
                <w:sz w:val="20"/>
                <w:szCs w:val="20"/>
              </w:rPr>
              <w:t>17.5</w:t>
            </w:r>
            <w:r>
              <w:rPr>
                <w:sz w:val="20"/>
                <w:szCs w:val="20"/>
              </w:rPr>
              <w:t>5</w:t>
            </w:r>
          </w:p>
        </w:tc>
        <w:tc>
          <w:tcPr>
            <w:tcW w:w="990" w:type="dxa"/>
            <w:tcBorders>
              <w:top w:val="nil"/>
              <w:left w:val="nil"/>
              <w:bottom w:val="nil"/>
            </w:tcBorders>
            <w:shd w:val="clear" w:color="auto" w:fill="FFFFFF" w:themeFill="background1"/>
            <w:tcMar>
              <w:top w:w="13" w:type="dxa"/>
              <w:left w:w="13" w:type="dxa"/>
              <w:bottom w:w="0" w:type="dxa"/>
              <w:right w:w="13" w:type="dxa"/>
            </w:tcMar>
            <w:vAlign w:val="center"/>
            <w:hideMark/>
          </w:tcPr>
          <w:p w14:paraId="114E18B7" w14:textId="77777777" w:rsidR="00F35D51" w:rsidRPr="002C1F70" w:rsidRDefault="00F35D51" w:rsidP="00B05959">
            <w:pPr>
              <w:spacing w:line="360" w:lineRule="auto"/>
              <w:jc w:val="center"/>
              <w:rPr>
                <w:sz w:val="20"/>
                <w:szCs w:val="20"/>
                <w:lang w:val="en-US"/>
              </w:rPr>
            </w:pPr>
            <w:r>
              <w:rPr>
                <w:sz w:val="20"/>
                <w:szCs w:val="20"/>
              </w:rPr>
              <w:t>&lt;</w:t>
            </w:r>
            <w:r w:rsidRPr="002C1F70">
              <w:rPr>
                <w:sz w:val="20"/>
                <w:szCs w:val="20"/>
              </w:rPr>
              <w:t>100</w:t>
            </w:r>
          </w:p>
        </w:tc>
      </w:tr>
      <w:tr w:rsidR="00F35D51" w:rsidRPr="002C1F70" w14:paraId="3AE45585" w14:textId="77777777" w:rsidTr="00B05959">
        <w:trPr>
          <w:trHeight w:val="488"/>
          <w:jc w:val="center"/>
        </w:trPr>
        <w:tc>
          <w:tcPr>
            <w:tcW w:w="1880" w:type="dxa"/>
            <w:tcBorders>
              <w:top w:val="nil"/>
              <w:bottom w:val="nil"/>
              <w:right w:val="nil"/>
            </w:tcBorders>
            <w:shd w:val="clear" w:color="auto" w:fill="FFFFFF" w:themeFill="background1"/>
            <w:tcMar>
              <w:top w:w="13" w:type="dxa"/>
              <w:left w:w="13" w:type="dxa"/>
              <w:bottom w:w="0" w:type="dxa"/>
              <w:right w:w="13" w:type="dxa"/>
            </w:tcMar>
            <w:vAlign w:val="center"/>
            <w:hideMark/>
          </w:tcPr>
          <w:p w14:paraId="13287D87" w14:textId="77777777" w:rsidR="00F35D51" w:rsidRPr="002C1F70" w:rsidRDefault="00F35D51" w:rsidP="00B05959">
            <w:pPr>
              <w:spacing w:line="360" w:lineRule="auto"/>
              <w:rPr>
                <w:sz w:val="20"/>
                <w:szCs w:val="20"/>
                <w:lang w:val="en-US"/>
              </w:rPr>
            </w:pPr>
            <w:r w:rsidRPr="002C1F70">
              <w:rPr>
                <w:b/>
                <w:bCs/>
                <w:sz w:val="20"/>
                <w:szCs w:val="20"/>
              </w:rPr>
              <w:t>IrO</w:t>
            </w:r>
            <w:r w:rsidRPr="002C1F70">
              <w:rPr>
                <w:b/>
                <w:bCs/>
                <w:sz w:val="20"/>
                <w:szCs w:val="20"/>
                <w:vertAlign w:val="subscript"/>
              </w:rPr>
              <w:t>2</w:t>
            </w:r>
          </w:p>
        </w:tc>
        <w:tc>
          <w:tcPr>
            <w:tcW w:w="720" w:type="dxa"/>
            <w:tcBorders>
              <w:top w:val="nil"/>
              <w:left w:val="nil"/>
              <w:bottom w:val="nil"/>
              <w:right w:val="nil"/>
            </w:tcBorders>
            <w:shd w:val="clear" w:color="auto" w:fill="FFFFFF" w:themeFill="background1"/>
            <w:tcMar>
              <w:top w:w="13" w:type="dxa"/>
              <w:left w:w="13" w:type="dxa"/>
              <w:bottom w:w="0" w:type="dxa"/>
              <w:right w:w="13" w:type="dxa"/>
            </w:tcMar>
            <w:vAlign w:val="center"/>
            <w:hideMark/>
          </w:tcPr>
          <w:p w14:paraId="13645C04" w14:textId="77777777" w:rsidR="00F35D51" w:rsidRPr="002C1F70" w:rsidRDefault="00F35D51" w:rsidP="00B05959">
            <w:pPr>
              <w:spacing w:line="360" w:lineRule="auto"/>
              <w:jc w:val="center"/>
              <w:rPr>
                <w:sz w:val="20"/>
                <w:szCs w:val="20"/>
                <w:lang w:val="en-US"/>
              </w:rPr>
            </w:pPr>
            <w:r w:rsidRPr="002C1F70">
              <w:rPr>
                <w:sz w:val="20"/>
                <w:szCs w:val="20"/>
              </w:rPr>
              <w:t>250</w:t>
            </w:r>
            <w:r w:rsidRPr="009B72A7">
              <w:rPr>
                <w:sz w:val="20"/>
                <w:szCs w:val="20"/>
              </w:rPr>
              <w:t>±1</w:t>
            </w:r>
          </w:p>
        </w:tc>
        <w:tc>
          <w:tcPr>
            <w:tcW w:w="810" w:type="dxa"/>
            <w:tcBorders>
              <w:top w:val="nil"/>
              <w:left w:val="nil"/>
              <w:bottom w:val="nil"/>
              <w:right w:val="nil"/>
            </w:tcBorders>
            <w:shd w:val="clear" w:color="auto" w:fill="FFFFFF" w:themeFill="background1"/>
            <w:tcMar>
              <w:top w:w="13" w:type="dxa"/>
              <w:left w:w="13" w:type="dxa"/>
              <w:bottom w:w="0" w:type="dxa"/>
              <w:right w:w="13" w:type="dxa"/>
            </w:tcMar>
            <w:vAlign w:val="center"/>
            <w:hideMark/>
          </w:tcPr>
          <w:p w14:paraId="0C2AD33B" w14:textId="77777777" w:rsidR="00F35D51" w:rsidRPr="002C1F70" w:rsidRDefault="00F35D51" w:rsidP="00B05959">
            <w:pPr>
              <w:spacing w:line="360" w:lineRule="auto"/>
              <w:jc w:val="center"/>
              <w:rPr>
                <w:sz w:val="20"/>
                <w:szCs w:val="20"/>
                <w:lang w:val="en-US"/>
              </w:rPr>
            </w:pPr>
            <w:r w:rsidRPr="002C1F70">
              <w:rPr>
                <w:sz w:val="20"/>
                <w:szCs w:val="20"/>
              </w:rPr>
              <w:t>298±1</w:t>
            </w:r>
          </w:p>
        </w:tc>
        <w:tc>
          <w:tcPr>
            <w:tcW w:w="900" w:type="dxa"/>
            <w:tcBorders>
              <w:top w:val="nil"/>
              <w:left w:val="nil"/>
              <w:bottom w:val="nil"/>
              <w:right w:val="nil"/>
            </w:tcBorders>
            <w:shd w:val="clear" w:color="auto" w:fill="FFFFFF" w:themeFill="background1"/>
            <w:tcMar>
              <w:top w:w="13" w:type="dxa"/>
              <w:left w:w="13" w:type="dxa"/>
              <w:bottom w:w="0" w:type="dxa"/>
              <w:right w:w="13" w:type="dxa"/>
            </w:tcMar>
            <w:vAlign w:val="center"/>
            <w:hideMark/>
          </w:tcPr>
          <w:p w14:paraId="61F646BD" w14:textId="77777777" w:rsidR="00F35D51" w:rsidRPr="002C1F70" w:rsidRDefault="00F35D51" w:rsidP="00B05959">
            <w:pPr>
              <w:spacing w:line="360" w:lineRule="auto"/>
              <w:jc w:val="center"/>
              <w:rPr>
                <w:sz w:val="20"/>
                <w:szCs w:val="20"/>
                <w:lang w:val="en-US"/>
              </w:rPr>
            </w:pPr>
            <w:r w:rsidRPr="002C1F70">
              <w:rPr>
                <w:sz w:val="20"/>
                <w:szCs w:val="20"/>
              </w:rPr>
              <w:t>48</w:t>
            </w:r>
          </w:p>
        </w:tc>
        <w:tc>
          <w:tcPr>
            <w:tcW w:w="990" w:type="dxa"/>
            <w:tcBorders>
              <w:top w:val="nil"/>
              <w:left w:val="nil"/>
              <w:bottom w:val="nil"/>
              <w:right w:val="nil"/>
            </w:tcBorders>
            <w:shd w:val="clear" w:color="auto" w:fill="FFFFFF" w:themeFill="background1"/>
            <w:tcMar>
              <w:top w:w="13" w:type="dxa"/>
              <w:left w:w="13" w:type="dxa"/>
              <w:bottom w:w="0" w:type="dxa"/>
              <w:right w:w="13" w:type="dxa"/>
            </w:tcMar>
            <w:vAlign w:val="center"/>
            <w:hideMark/>
          </w:tcPr>
          <w:p w14:paraId="4004A55D" w14:textId="77777777" w:rsidR="00F35D51" w:rsidRPr="002C1F70" w:rsidRDefault="00F35D51" w:rsidP="00B05959">
            <w:pPr>
              <w:spacing w:line="360" w:lineRule="auto"/>
              <w:jc w:val="center"/>
              <w:rPr>
                <w:sz w:val="20"/>
                <w:szCs w:val="20"/>
                <w:lang w:val="en-US"/>
              </w:rPr>
            </w:pPr>
            <w:r w:rsidRPr="002C1F70">
              <w:rPr>
                <w:sz w:val="20"/>
                <w:szCs w:val="20"/>
              </w:rPr>
              <w:t>13.43</w:t>
            </w:r>
          </w:p>
        </w:tc>
        <w:tc>
          <w:tcPr>
            <w:tcW w:w="990" w:type="dxa"/>
            <w:tcBorders>
              <w:top w:val="nil"/>
              <w:left w:val="nil"/>
              <w:bottom w:val="nil"/>
            </w:tcBorders>
            <w:shd w:val="clear" w:color="auto" w:fill="FFFFFF" w:themeFill="background1"/>
            <w:tcMar>
              <w:top w:w="13" w:type="dxa"/>
              <w:left w:w="13" w:type="dxa"/>
              <w:bottom w:w="0" w:type="dxa"/>
              <w:right w:w="13" w:type="dxa"/>
            </w:tcMar>
            <w:vAlign w:val="center"/>
            <w:hideMark/>
          </w:tcPr>
          <w:p w14:paraId="0D48BF6C" w14:textId="77777777" w:rsidR="00F35D51" w:rsidRPr="002C1F70" w:rsidRDefault="00F35D51" w:rsidP="00B05959">
            <w:pPr>
              <w:spacing w:line="360" w:lineRule="auto"/>
              <w:jc w:val="center"/>
              <w:rPr>
                <w:sz w:val="20"/>
                <w:szCs w:val="20"/>
                <w:lang w:val="en-US"/>
              </w:rPr>
            </w:pPr>
            <w:r>
              <w:rPr>
                <w:sz w:val="20"/>
                <w:szCs w:val="20"/>
              </w:rPr>
              <w:t>&lt;100</w:t>
            </w:r>
          </w:p>
        </w:tc>
      </w:tr>
      <w:tr w:rsidR="00F35D51" w:rsidRPr="002C1F70" w14:paraId="7F18961B" w14:textId="77777777" w:rsidTr="00B05959">
        <w:trPr>
          <w:trHeight w:val="488"/>
          <w:jc w:val="center"/>
        </w:trPr>
        <w:tc>
          <w:tcPr>
            <w:tcW w:w="1880" w:type="dxa"/>
            <w:tcBorders>
              <w:top w:val="nil"/>
              <w:bottom w:val="single" w:sz="8" w:space="0" w:color="767171"/>
              <w:right w:val="nil"/>
            </w:tcBorders>
            <w:shd w:val="clear" w:color="auto" w:fill="FFFFFF" w:themeFill="background1"/>
            <w:tcMar>
              <w:top w:w="13" w:type="dxa"/>
              <w:left w:w="13" w:type="dxa"/>
              <w:bottom w:w="0" w:type="dxa"/>
              <w:right w:w="13" w:type="dxa"/>
            </w:tcMar>
            <w:vAlign w:val="center"/>
            <w:hideMark/>
          </w:tcPr>
          <w:p w14:paraId="64B1AD80" w14:textId="77777777" w:rsidR="00F35D51" w:rsidRPr="002C1F70" w:rsidRDefault="00F35D51" w:rsidP="00B05959">
            <w:pPr>
              <w:spacing w:line="360" w:lineRule="auto"/>
              <w:rPr>
                <w:sz w:val="20"/>
                <w:szCs w:val="20"/>
                <w:lang w:val="en-US"/>
              </w:rPr>
            </w:pPr>
            <w:r w:rsidRPr="002C1F70">
              <w:rPr>
                <w:b/>
                <w:bCs/>
                <w:sz w:val="20"/>
                <w:szCs w:val="20"/>
              </w:rPr>
              <w:t>NiFe</w:t>
            </w:r>
          </w:p>
        </w:tc>
        <w:tc>
          <w:tcPr>
            <w:tcW w:w="720" w:type="dxa"/>
            <w:tcBorders>
              <w:top w:val="nil"/>
              <w:left w:val="nil"/>
              <w:bottom w:val="single" w:sz="8" w:space="0" w:color="767171"/>
              <w:right w:val="nil"/>
            </w:tcBorders>
            <w:shd w:val="clear" w:color="auto" w:fill="FFFFFF" w:themeFill="background1"/>
            <w:tcMar>
              <w:top w:w="13" w:type="dxa"/>
              <w:left w:w="13" w:type="dxa"/>
              <w:bottom w:w="0" w:type="dxa"/>
              <w:right w:w="13" w:type="dxa"/>
            </w:tcMar>
            <w:vAlign w:val="center"/>
            <w:hideMark/>
          </w:tcPr>
          <w:p w14:paraId="0F59EDB5" w14:textId="77777777" w:rsidR="00F35D51" w:rsidRPr="002C1F70" w:rsidRDefault="00F35D51" w:rsidP="00B05959">
            <w:pPr>
              <w:spacing w:line="360" w:lineRule="auto"/>
              <w:jc w:val="center"/>
              <w:rPr>
                <w:sz w:val="20"/>
                <w:szCs w:val="20"/>
                <w:lang w:val="en-US"/>
              </w:rPr>
            </w:pPr>
            <w:r w:rsidRPr="002C1F70">
              <w:rPr>
                <w:sz w:val="20"/>
                <w:szCs w:val="20"/>
              </w:rPr>
              <w:t>212</w:t>
            </w:r>
            <w:r w:rsidRPr="009B72A7">
              <w:rPr>
                <w:sz w:val="20"/>
                <w:szCs w:val="20"/>
              </w:rPr>
              <w:t>±</w:t>
            </w:r>
            <w:r>
              <w:rPr>
                <w:sz w:val="20"/>
                <w:szCs w:val="20"/>
              </w:rPr>
              <w:t>3</w:t>
            </w:r>
          </w:p>
        </w:tc>
        <w:tc>
          <w:tcPr>
            <w:tcW w:w="810" w:type="dxa"/>
            <w:tcBorders>
              <w:top w:val="nil"/>
              <w:left w:val="nil"/>
              <w:bottom w:val="single" w:sz="8" w:space="0" w:color="767171"/>
              <w:right w:val="nil"/>
            </w:tcBorders>
            <w:shd w:val="clear" w:color="auto" w:fill="FFFFFF" w:themeFill="background1"/>
            <w:tcMar>
              <w:top w:w="13" w:type="dxa"/>
              <w:left w:w="13" w:type="dxa"/>
              <w:bottom w:w="0" w:type="dxa"/>
              <w:right w:w="13" w:type="dxa"/>
            </w:tcMar>
            <w:vAlign w:val="center"/>
            <w:hideMark/>
          </w:tcPr>
          <w:p w14:paraId="0800E2F1" w14:textId="77777777" w:rsidR="00F35D51" w:rsidRPr="002C1F70" w:rsidRDefault="00F35D51" w:rsidP="00B05959">
            <w:pPr>
              <w:spacing w:line="360" w:lineRule="auto"/>
              <w:jc w:val="center"/>
              <w:rPr>
                <w:sz w:val="20"/>
                <w:szCs w:val="20"/>
                <w:lang w:val="en-US"/>
              </w:rPr>
            </w:pPr>
            <w:r w:rsidRPr="002C1F70">
              <w:rPr>
                <w:sz w:val="20"/>
                <w:szCs w:val="20"/>
              </w:rPr>
              <w:t>272</w:t>
            </w:r>
            <w:r w:rsidRPr="009B72A7">
              <w:rPr>
                <w:sz w:val="20"/>
                <w:szCs w:val="20"/>
              </w:rPr>
              <w:t>±</w:t>
            </w:r>
            <w:r>
              <w:rPr>
                <w:sz w:val="20"/>
                <w:szCs w:val="20"/>
              </w:rPr>
              <w:t>5</w:t>
            </w:r>
          </w:p>
        </w:tc>
        <w:tc>
          <w:tcPr>
            <w:tcW w:w="900" w:type="dxa"/>
            <w:tcBorders>
              <w:top w:val="nil"/>
              <w:left w:val="nil"/>
              <w:bottom w:val="single" w:sz="8" w:space="0" w:color="767171"/>
              <w:right w:val="nil"/>
            </w:tcBorders>
            <w:shd w:val="clear" w:color="auto" w:fill="FFFFFF" w:themeFill="background1"/>
            <w:tcMar>
              <w:top w:w="13" w:type="dxa"/>
              <w:left w:w="13" w:type="dxa"/>
              <w:bottom w:w="0" w:type="dxa"/>
              <w:right w:w="13" w:type="dxa"/>
            </w:tcMar>
            <w:vAlign w:val="center"/>
            <w:hideMark/>
          </w:tcPr>
          <w:p w14:paraId="250EF525" w14:textId="77777777" w:rsidR="00F35D51" w:rsidRPr="002C1F70" w:rsidRDefault="00F35D51" w:rsidP="00B05959">
            <w:pPr>
              <w:spacing w:line="360" w:lineRule="auto"/>
              <w:jc w:val="center"/>
              <w:rPr>
                <w:sz w:val="20"/>
                <w:szCs w:val="20"/>
                <w:lang w:val="en-US"/>
              </w:rPr>
            </w:pPr>
            <w:r w:rsidRPr="002C1F70">
              <w:rPr>
                <w:sz w:val="20"/>
                <w:szCs w:val="20"/>
              </w:rPr>
              <w:t>62</w:t>
            </w:r>
          </w:p>
        </w:tc>
        <w:tc>
          <w:tcPr>
            <w:tcW w:w="990" w:type="dxa"/>
            <w:tcBorders>
              <w:top w:val="nil"/>
              <w:left w:val="nil"/>
              <w:bottom w:val="single" w:sz="8" w:space="0" w:color="767171"/>
              <w:right w:val="nil"/>
            </w:tcBorders>
            <w:shd w:val="clear" w:color="auto" w:fill="FFFFFF" w:themeFill="background1"/>
            <w:tcMar>
              <w:top w:w="13" w:type="dxa"/>
              <w:left w:w="13" w:type="dxa"/>
              <w:bottom w:w="0" w:type="dxa"/>
              <w:right w:w="13" w:type="dxa"/>
            </w:tcMar>
            <w:vAlign w:val="center"/>
            <w:hideMark/>
          </w:tcPr>
          <w:p w14:paraId="49DF4BC1" w14:textId="77777777" w:rsidR="00F35D51" w:rsidRPr="002C1F70" w:rsidRDefault="00F35D51" w:rsidP="00B05959">
            <w:pPr>
              <w:spacing w:line="360" w:lineRule="auto"/>
              <w:jc w:val="center"/>
              <w:rPr>
                <w:sz w:val="20"/>
                <w:szCs w:val="20"/>
                <w:lang w:val="en-US"/>
              </w:rPr>
            </w:pPr>
            <w:r>
              <w:rPr>
                <w:sz w:val="20"/>
                <w:szCs w:val="20"/>
              </w:rPr>
              <w:t>275</w:t>
            </w:r>
          </w:p>
        </w:tc>
        <w:tc>
          <w:tcPr>
            <w:tcW w:w="990" w:type="dxa"/>
            <w:tcBorders>
              <w:top w:val="nil"/>
              <w:left w:val="nil"/>
              <w:bottom w:val="single" w:sz="8" w:space="0" w:color="767171"/>
            </w:tcBorders>
            <w:shd w:val="clear" w:color="auto" w:fill="FFFFFF" w:themeFill="background1"/>
            <w:tcMar>
              <w:top w:w="13" w:type="dxa"/>
              <w:left w:w="13" w:type="dxa"/>
              <w:bottom w:w="0" w:type="dxa"/>
              <w:right w:w="13" w:type="dxa"/>
            </w:tcMar>
            <w:vAlign w:val="center"/>
            <w:hideMark/>
          </w:tcPr>
          <w:p w14:paraId="166A179D" w14:textId="77777777" w:rsidR="00F35D51" w:rsidRPr="002C1F70" w:rsidRDefault="00F35D51" w:rsidP="00B05959">
            <w:pPr>
              <w:spacing w:line="360" w:lineRule="auto"/>
              <w:jc w:val="center"/>
              <w:rPr>
                <w:sz w:val="20"/>
                <w:szCs w:val="20"/>
                <w:lang w:val="en-US"/>
              </w:rPr>
            </w:pPr>
            <w:r w:rsidRPr="002C1F70">
              <w:rPr>
                <w:sz w:val="20"/>
                <w:szCs w:val="20"/>
              </w:rPr>
              <w:t>-</w:t>
            </w:r>
          </w:p>
        </w:tc>
      </w:tr>
      <w:tr w:rsidR="00F35D51" w:rsidRPr="002C1F70" w14:paraId="660F767F" w14:textId="77777777" w:rsidTr="00B05959">
        <w:trPr>
          <w:trHeight w:val="488"/>
          <w:jc w:val="center"/>
        </w:trPr>
        <w:tc>
          <w:tcPr>
            <w:tcW w:w="1880" w:type="dxa"/>
            <w:tcBorders>
              <w:top w:val="single" w:sz="8" w:space="0" w:color="767171"/>
              <w:right w:val="nil"/>
            </w:tcBorders>
            <w:shd w:val="clear" w:color="auto" w:fill="FFFFFF" w:themeFill="background1"/>
            <w:tcMar>
              <w:top w:w="13" w:type="dxa"/>
              <w:left w:w="13" w:type="dxa"/>
              <w:bottom w:w="0" w:type="dxa"/>
              <w:right w:w="13" w:type="dxa"/>
            </w:tcMar>
            <w:vAlign w:val="center"/>
          </w:tcPr>
          <w:p w14:paraId="6D43933A" w14:textId="77777777" w:rsidR="00F35D51" w:rsidRPr="002C1F70" w:rsidRDefault="00F35D51" w:rsidP="00B05959">
            <w:pPr>
              <w:spacing w:line="360" w:lineRule="auto"/>
              <w:rPr>
                <w:b/>
                <w:bCs/>
                <w:sz w:val="20"/>
                <w:szCs w:val="20"/>
              </w:rPr>
            </w:pPr>
            <w:r w:rsidRPr="001555D9">
              <w:rPr>
                <w:b/>
                <w:bCs/>
                <w:sz w:val="20"/>
                <w:szCs w:val="20"/>
              </w:rPr>
              <w:t>NiSe</w:t>
            </w:r>
          </w:p>
        </w:tc>
        <w:tc>
          <w:tcPr>
            <w:tcW w:w="720" w:type="dxa"/>
            <w:tcBorders>
              <w:top w:val="single" w:sz="8" w:space="0" w:color="767171"/>
              <w:left w:val="nil"/>
              <w:right w:val="nil"/>
            </w:tcBorders>
            <w:shd w:val="clear" w:color="auto" w:fill="FFFFFF" w:themeFill="background1"/>
            <w:tcMar>
              <w:top w:w="13" w:type="dxa"/>
              <w:left w:w="13" w:type="dxa"/>
              <w:bottom w:w="0" w:type="dxa"/>
              <w:right w:w="13" w:type="dxa"/>
            </w:tcMar>
            <w:vAlign w:val="center"/>
          </w:tcPr>
          <w:p w14:paraId="5473F701" w14:textId="77777777" w:rsidR="00F35D51" w:rsidRPr="009B72A7" w:rsidRDefault="00F35D51" w:rsidP="00B05959">
            <w:pPr>
              <w:spacing w:line="360" w:lineRule="auto"/>
              <w:jc w:val="center"/>
              <w:rPr>
                <w:sz w:val="20"/>
                <w:szCs w:val="20"/>
              </w:rPr>
            </w:pPr>
            <w:r w:rsidRPr="009B72A7">
              <w:rPr>
                <w:sz w:val="20"/>
                <w:szCs w:val="20"/>
              </w:rPr>
              <w:t>277±1</w:t>
            </w:r>
          </w:p>
        </w:tc>
        <w:tc>
          <w:tcPr>
            <w:tcW w:w="810" w:type="dxa"/>
            <w:tcBorders>
              <w:top w:val="single" w:sz="8" w:space="0" w:color="767171"/>
              <w:left w:val="nil"/>
              <w:right w:val="nil"/>
            </w:tcBorders>
            <w:shd w:val="clear" w:color="auto" w:fill="FFFFFF" w:themeFill="background1"/>
            <w:tcMar>
              <w:top w:w="13" w:type="dxa"/>
              <w:left w:w="13" w:type="dxa"/>
              <w:bottom w:w="0" w:type="dxa"/>
              <w:right w:w="13" w:type="dxa"/>
            </w:tcMar>
            <w:vAlign w:val="center"/>
          </w:tcPr>
          <w:p w14:paraId="7FD7C098" w14:textId="77777777" w:rsidR="00F35D51" w:rsidRPr="009B72A7" w:rsidRDefault="00F35D51" w:rsidP="00B05959">
            <w:pPr>
              <w:spacing w:line="360" w:lineRule="auto"/>
              <w:jc w:val="center"/>
              <w:rPr>
                <w:sz w:val="20"/>
                <w:szCs w:val="20"/>
              </w:rPr>
            </w:pPr>
            <w:r w:rsidRPr="009B72A7">
              <w:rPr>
                <w:sz w:val="20"/>
                <w:szCs w:val="20"/>
              </w:rPr>
              <w:t>330±5</w:t>
            </w:r>
          </w:p>
        </w:tc>
        <w:tc>
          <w:tcPr>
            <w:tcW w:w="900" w:type="dxa"/>
            <w:tcBorders>
              <w:top w:val="single" w:sz="8" w:space="0" w:color="767171"/>
              <w:left w:val="nil"/>
              <w:right w:val="nil"/>
            </w:tcBorders>
            <w:shd w:val="clear" w:color="auto" w:fill="FFFFFF" w:themeFill="background1"/>
            <w:tcMar>
              <w:top w:w="13" w:type="dxa"/>
              <w:left w:w="13" w:type="dxa"/>
              <w:bottom w:w="0" w:type="dxa"/>
              <w:right w:w="13" w:type="dxa"/>
            </w:tcMar>
            <w:vAlign w:val="center"/>
          </w:tcPr>
          <w:p w14:paraId="13048241" w14:textId="77777777" w:rsidR="00F35D51" w:rsidRPr="009B72A7" w:rsidRDefault="00F35D51" w:rsidP="00B05959">
            <w:pPr>
              <w:spacing w:line="360" w:lineRule="auto"/>
              <w:jc w:val="center"/>
              <w:rPr>
                <w:sz w:val="20"/>
                <w:szCs w:val="20"/>
              </w:rPr>
            </w:pPr>
            <w:r w:rsidRPr="009B72A7">
              <w:rPr>
                <w:sz w:val="20"/>
                <w:szCs w:val="20"/>
              </w:rPr>
              <w:t>53</w:t>
            </w:r>
          </w:p>
        </w:tc>
        <w:tc>
          <w:tcPr>
            <w:tcW w:w="990" w:type="dxa"/>
            <w:tcBorders>
              <w:top w:val="single" w:sz="8" w:space="0" w:color="767171"/>
              <w:left w:val="nil"/>
              <w:right w:val="nil"/>
            </w:tcBorders>
            <w:shd w:val="clear" w:color="auto" w:fill="FFFFFF" w:themeFill="background1"/>
            <w:tcMar>
              <w:top w:w="13" w:type="dxa"/>
              <w:left w:w="13" w:type="dxa"/>
              <w:bottom w:w="0" w:type="dxa"/>
              <w:right w:w="13" w:type="dxa"/>
            </w:tcMar>
            <w:vAlign w:val="center"/>
          </w:tcPr>
          <w:p w14:paraId="2F05B4FB" w14:textId="77777777" w:rsidR="00F35D51" w:rsidRPr="002C1F70" w:rsidRDefault="00F35D51" w:rsidP="00B05959">
            <w:pPr>
              <w:spacing w:line="360" w:lineRule="auto"/>
              <w:jc w:val="center"/>
              <w:rPr>
                <w:sz w:val="20"/>
                <w:szCs w:val="20"/>
              </w:rPr>
            </w:pPr>
            <w:r>
              <w:rPr>
                <w:sz w:val="20"/>
                <w:szCs w:val="20"/>
              </w:rPr>
              <w:t>-</w:t>
            </w:r>
          </w:p>
        </w:tc>
        <w:tc>
          <w:tcPr>
            <w:tcW w:w="990" w:type="dxa"/>
            <w:tcBorders>
              <w:top w:val="single" w:sz="8" w:space="0" w:color="767171"/>
              <w:left w:val="nil"/>
            </w:tcBorders>
            <w:shd w:val="clear" w:color="auto" w:fill="FFFFFF" w:themeFill="background1"/>
            <w:tcMar>
              <w:top w:w="13" w:type="dxa"/>
              <w:left w:w="13" w:type="dxa"/>
              <w:bottom w:w="0" w:type="dxa"/>
              <w:right w:w="13" w:type="dxa"/>
            </w:tcMar>
            <w:vAlign w:val="center"/>
          </w:tcPr>
          <w:p w14:paraId="08FCD1F6" w14:textId="77777777" w:rsidR="00F35D51" w:rsidRPr="002C1F70" w:rsidRDefault="00F35D51" w:rsidP="00B05959">
            <w:pPr>
              <w:spacing w:line="360" w:lineRule="auto"/>
              <w:jc w:val="center"/>
              <w:rPr>
                <w:sz w:val="20"/>
                <w:szCs w:val="20"/>
              </w:rPr>
            </w:pPr>
            <w:r w:rsidRPr="00CF78F3">
              <w:rPr>
                <w:sz w:val="20"/>
                <w:szCs w:val="20"/>
              </w:rPr>
              <w:t>60±30</w:t>
            </w:r>
          </w:p>
        </w:tc>
      </w:tr>
      <w:tr w:rsidR="00F35D51" w:rsidRPr="002C1F70" w14:paraId="4FABCD07" w14:textId="77777777" w:rsidTr="00B05959">
        <w:trPr>
          <w:trHeight w:val="488"/>
          <w:jc w:val="center"/>
        </w:trPr>
        <w:tc>
          <w:tcPr>
            <w:tcW w:w="1880" w:type="dxa"/>
            <w:tcBorders>
              <w:bottom w:val="nil"/>
              <w:right w:val="nil"/>
            </w:tcBorders>
            <w:shd w:val="clear" w:color="auto" w:fill="FFFFFF" w:themeFill="background1"/>
            <w:tcMar>
              <w:top w:w="13" w:type="dxa"/>
              <w:left w:w="13" w:type="dxa"/>
              <w:bottom w:w="0" w:type="dxa"/>
              <w:right w:w="13" w:type="dxa"/>
            </w:tcMar>
            <w:vAlign w:val="center"/>
          </w:tcPr>
          <w:p w14:paraId="7A41E5D0" w14:textId="77777777" w:rsidR="00F35D51" w:rsidRPr="002C1F70" w:rsidRDefault="00F35D51" w:rsidP="00B05959">
            <w:pPr>
              <w:spacing w:line="360" w:lineRule="auto"/>
              <w:rPr>
                <w:b/>
                <w:bCs/>
                <w:sz w:val="20"/>
                <w:szCs w:val="20"/>
              </w:rPr>
            </w:pPr>
            <w:r w:rsidRPr="001555D9">
              <w:rPr>
                <w:b/>
                <w:bCs/>
                <w:sz w:val="20"/>
                <w:szCs w:val="20"/>
              </w:rPr>
              <w:t xml:space="preserve">CoSe </w:t>
            </w:r>
          </w:p>
        </w:tc>
        <w:tc>
          <w:tcPr>
            <w:tcW w:w="720" w:type="dxa"/>
            <w:tcBorders>
              <w:left w:val="nil"/>
              <w:bottom w:val="nil"/>
              <w:right w:val="nil"/>
            </w:tcBorders>
            <w:shd w:val="clear" w:color="auto" w:fill="FFFFFF" w:themeFill="background1"/>
            <w:tcMar>
              <w:top w:w="13" w:type="dxa"/>
              <w:left w:w="13" w:type="dxa"/>
              <w:bottom w:w="0" w:type="dxa"/>
              <w:right w:w="13" w:type="dxa"/>
            </w:tcMar>
            <w:vAlign w:val="center"/>
          </w:tcPr>
          <w:p w14:paraId="4D1A4A2F" w14:textId="77777777" w:rsidR="00F35D51" w:rsidRPr="009B72A7" w:rsidRDefault="00F35D51" w:rsidP="00B05959">
            <w:pPr>
              <w:spacing w:line="360" w:lineRule="auto"/>
              <w:jc w:val="center"/>
              <w:rPr>
                <w:sz w:val="20"/>
                <w:szCs w:val="20"/>
              </w:rPr>
            </w:pPr>
            <w:r w:rsidRPr="009B72A7">
              <w:rPr>
                <w:sz w:val="20"/>
                <w:szCs w:val="20"/>
              </w:rPr>
              <w:t>275±1</w:t>
            </w:r>
          </w:p>
        </w:tc>
        <w:tc>
          <w:tcPr>
            <w:tcW w:w="810" w:type="dxa"/>
            <w:tcBorders>
              <w:left w:val="nil"/>
              <w:bottom w:val="nil"/>
              <w:right w:val="nil"/>
            </w:tcBorders>
            <w:shd w:val="clear" w:color="auto" w:fill="FFFFFF" w:themeFill="background1"/>
            <w:tcMar>
              <w:top w:w="13" w:type="dxa"/>
              <w:left w:w="13" w:type="dxa"/>
              <w:bottom w:w="0" w:type="dxa"/>
              <w:right w:w="13" w:type="dxa"/>
            </w:tcMar>
            <w:vAlign w:val="center"/>
          </w:tcPr>
          <w:p w14:paraId="049CBD07" w14:textId="77777777" w:rsidR="00F35D51" w:rsidRPr="009B72A7" w:rsidRDefault="00F35D51" w:rsidP="00B05959">
            <w:pPr>
              <w:spacing w:line="360" w:lineRule="auto"/>
              <w:jc w:val="center"/>
              <w:rPr>
                <w:sz w:val="20"/>
                <w:szCs w:val="20"/>
              </w:rPr>
            </w:pPr>
            <w:r w:rsidRPr="009B72A7">
              <w:rPr>
                <w:sz w:val="20"/>
                <w:szCs w:val="20"/>
              </w:rPr>
              <w:t>332±1</w:t>
            </w:r>
          </w:p>
        </w:tc>
        <w:tc>
          <w:tcPr>
            <w:tcW w:w="900" w:type="dxa"/>
            <w:tcBorders>
              <w:left w:val="nil"/>
              <w:bottom w:val="nil"/>
              <w:right w:val="nil"/>
            </w:tcBorders>
            <w:shd w:val="clear" w:color="auto" w:fill="FFFFFF" w:themeFill="background1"/>
            <w:tcMar>
              <w:top w:w="13" w:type="dxa"/>
              <w:left w:w="13" w:type="dxa"/>
              <w:bottom w:w="0" w:type="dxa"/>
              <w:right w:w="13" w:type="dxa"/>
            </w:tcMar>
            <w:vAlign w:val="center"/>
          </w:tcPr>
          <w:p w14:paraId="0C0C61C1" w14:textId="77777777" w:rsidR="00F35D51" w:rsidRPr="009B72A7" w:rsidRDefault="00F35D51" w:rsidP="00B05959">
            <w:pPr>
              <w:spacing w:line="360" w:lineRule="auto"/>
              <w:jc w:val="center"/>
              <w:rPr>
                <w:sz w:val="20"/>
                <w:szCs w:val="20"/>
              </w:rPr>
            </w:pPr>
            <w:r w:rsidRPr="009B72A7">
              <w:rPr>
                <w:sz w:val="20"/>
                <w:szCs w:val="20"/>
              </w:rPr>
              <w:t>57</w:t>
            </w:r>
          </w:p>
        </w:tc>
        <w:tc>
          <w:tcPr>
            <w:tcW w:w="990" w:type="dxa"/>
            <w:tcBorders>
              <w:left w:val="nil"/>
              <w:bottom w:val="nil"/>
              <w:right w:val="nil"/>
            </w:tcBorders>
            <w:shd w:val="clear" w:color="auto" w:fill="FFFFFF" w:themeFill="background1"/>
            <w:tcMar>
              <w:top w:w="13" w:type="dxa"/>
              <w:left w:w="13" w:type="dxa"/>
              <w:bottom w:w="0" w:type="dxa"/>
              <w:right w:w="13" w:type="dxa"/>
            </w:tcMar>
            <w:vAlign w:val="center"/>
          </w:tcPr>
          <w:p w14:paraId="520EE308" w14:textId="77777777" w:rsidR="00F35D51" w:rsidRPr="002C1F70" w:rsidRDefault="00F35D51" w:rsidP="00B05959">
            <w:pPr>
              <w:spacing w:line="360" w:lineRule="auto"/>
              <w:jc w:val="center"/>
              <w:rPr>
                <w:sz w:val="20"/>
                <w:szCs w:val="20"/>
              </w:rPr>
            </w:pPr>
            <w:r>
              <w:rPr>
                <w:sz w:val="20"/>
                <w:szCs w:val="20"/>
              </w:rPr>
              <w:t>-</w:t>
            </w:r>
          </w:p>
        </w:tc>
        <w:tc>
          <w:tcPr>
            <w:tcW w:w="990" w:type="dxa"/>
            <w:tcBorders>
              <w:left w:val="nil"/>
              <w:bottom w:val="nil"/>
            </w:tcBorders>
            <w:shd w:val="clear" w:color="auto" w:fill="FFFFFF" w:themeFill="background1"/>
            <w:tcMar>
              <w:top w:w="13" w:type="dxa"/>
              <w:left w:w="13" w:type="dxa"/>
              <w:bottom w:w="0" w:type="dxa"/>
              <w:right w:w="13" w:type="dxa"/>
            </w:tcMar>
            <w:vAlign w:val="center"/>
          </w:tcPr>
          <w:p w14:paraId="20289368" w14:textId="77777777" w:rsidR="00F35D51" w:rsidRPr="002C1F70" w:rsidRDefault="00F35D51" w:rsidP="00B05959">
            <w:pPr>
              <w:spacing w:line="360" w:lineRule="auto"/>
              <w:jc w:val="center"/>
              <w:rPr>
                <w:sz w:val="20"/>
                <w:szCs w:val="20"/>
              </w:rPr>
            </w:pPr>
            <w:r w:rsidRPr="00CF78F3">
              <w:rPr>
                <w:sz w:val="20"/>
                <w:szCs w:val="20"/>
              </w:rPr>
              <w:t>80±35</w:t>
            </w:r>
          </w:p>
        </w:tc>
      </w:tr>
      <w:tr w:rsidR="00F35D51" w:rsidRPr="002C1F70" w14:paraId="28ED634B" w14:textId="77777777" w:rsidTr="00B05959">
        <w:trPr>
          <w:trHeight w:val="488"/>
          <w:jc w:val="center"/>
        </w:trPr>
        <w:tc>
          <w:tcPr>
            <w:tcW w:w="1880" w:type="dxa"/>
            <w:tcBorders>
              <w:top w:val="single" w:sz="8" w:space="0" w:color="767171"/>
              <w:bottom w:val="nil"/>
              <w:right w:val="nil"/>
            </w:tcBorders>
            <w:shd w:val="clear" w:color="auto" w:fill="FFFFFF" w:themeFill="background1"/>
            <w:tcMar>
              <w:top w:w="13" w:type="dxa"/>
              <w:left w:w="13" w:type="dxa"/>
              <w:bottom w:w="0" w:type="dxa"/>
              <w:right w:w="13" w:type="dxa"/>
            </w:tcMar>
            <w:vAlign w:val="center"/>
            <w:hideMark/>
          </w:tcPr>
          <w:p w14:paraId="0CE573FE" w14:textId="77777777" w:rsidR="00F35D51" w:rsidRPr="002C1F70" w:rsidRDefault="00F35D51" w:rsidP="00B05959">
            <w:pPr>
              <w:spacing w:line="360" w:lineRule="auto"/>
              <w:rPr>
                <w:sz w:val="20"/>
                <w:szCs w:val="20"/>
                <w:lang w:val="en-US"/>
              </w:rPr>
            </w:pPr>
            <w:r w:rsidRPr="002C1F70">
              <w:rPr>
                <w:b/>
                <w:bCs/>
                <w:sz w:val="20"/>
                <w:szCs w:val="20"/>
              </w:rPr>
              <w:t xml:space="preserve">(NiCo)Se </w:t>
            </w:r>
            <w:r>
              <w:rPr>
                <w:b/>
                <w:bCs/>
                <w:sz w:val="20"/>
                <w:szCs w:val="20"/>
              </w:rPr>
              <w:t>Cryo</w:t>
            </w:r>
          </w:p>
        </w:tc>
        <w:tc>
          <w:tcPr>
            <w:tcW w:w="720" w:type="dxa"/>
            <w:tcBorders>
              <w:top w:val="single" w:sz="8" w:space="0" w:color="767171"/>
              <w:left w:val="nil"/>
              <w:bottom w:val="nil"/>
              <w:right w:val="nil"/>
            </w:tcBorders>
            <w:shd w:val="clear" w:color="auto" w:fill="FFFFFF" w:themeFill="background1"/>
            <w:tcMar>
              <w:top w:w="13" w:type="dxa"/>
              <w:left w:w="13" w:type="dxa"/>
              <w:bottom w:w="0" w:type="dxa"/>
              <w:right w:w="13" w:type="dxa"/>
            </w:tcMar>
            <w:vAlign w:val="center"/>
            <w:hideMark/>
          </w:tcPr>
          <w:p w14:paraId="599F80B5" w14:textId="77777777" w:rsidR="00F35D51" w:rsidRPr="002C1F70" w:rsidRDefault="00F35D51" w:rsidP="00B05959">
            <w:pPr>
              <w:spacing w:line="360" w:lineRule="auto"/>
              <w:jc w:val="center"/>
              <w:rPr>
                <w:sz w:val="20"/>
                <w:szCs w:val="20"/>
                <w:lang w:val="en-US"/>
              </w:rPr>
            </w:pPr>
            <w:r w:rsidRPr="002C1F70">
              <w:rPr>
                <w:sz w:val="20"/>
                <w:szCs w:val="20"/>
              </w:rPr>
              <w:t>288</w:t>
            </w:r>
            <w:r w:rsidRPr="009B72A7">
              <w:rPr>
                <w:sz w:val="20"/>
                <w:szCs w:val="20"/>
              </w:rPr>
              <w:t>±</w:t>
            </w:r>
            <w:r>
              <w:rPr>
                <w:sz w:val="20"/>
                <w:szCs w:val="20"/>
              </w:rPr>
              <w:t>2</w:t>
            </w:r>
          </w:p>
        </w:tc>
        <w:tc>
          <w:tcPr>
            <w:tcW w:w="810" w:type="dxa"/>
            <w:tcBorders>
              <w:top w:val="single" w:sz="8" w:space="0" w:color="767171"/>
              <w:left w:val="nil"/>
              <w:bottom w:val="nil"/>
              <w:right w:val="nil"/>
            </w:tcBorders>
            <w:shd w:val="clear" w:color="auto" w:fill="FFFFFF" w:themeFill="background1"/>
            <w:tcMar>
              <w:top w:w="13" w:type="dxa"/>
              <w:left w:w="13" w:type="dxa"/>
              <w:bottom w:w="0" w:type="dxa"/>
              <w:right w:w="13" w:type="dxa"/>
            </w:tcMar>
            <w:vAlign w:val="center"/>
            <w:hideMark/>
          </w:tcPr>
          <w:p w14:paraId="57198AC0" w14:textId="77777777" w:rsidR="00F35D51" w:rsidRPr="002C1F70" w:rsidRDefault="00F35D51" w:rsidP="00B05959">
            <w:pPr>
              <w:spacing w:line="360" w:lineRule="auto"/>
              <w:jc w:val="center"/>
              <w:rPr>
                <w:sz w:val="20"/>
                <w:szCs w:val="20"/>
                <w:lang w:val="en-US"/>
              </w:rPr>
            </w:pPr>
            <w:r w:rsidRPr="002C1F70">
              <w:rPr>
                <w:sz w:val="20"/>
                <w:szCs w:val="20"/>
              </w:rPr>
              <w:t>353</w:t>
            </w:r>
            <w:r w:rsidRPr="009B72A7">
              <w:rPr>
                <w:sz w:val="20"/>
                <w:szCs w:val="20"/>
              </w:rPr>
              <w:t>±</w:t>
            </w:r>
            <w:r>
              <w:rPr>
                <w:sz w:val="20"/>
                <w:szCs w:val="20"/>
              </w:rPr>
              <w:t>3</w:t>
            </w:r>
          </w:p>
        </w:tc>
        <w:tc>
          <w:tcPr>
            <w:tcW w:w="900" w:type="dxa"/>
            <w:tcBorders>
              <w:top w:val="single" w:sz="8" w:space="0" w:color="767171"/>
              <w:left w:val="nil"/>
              <w:bottom w:val="nil"/>
              <w:right w:val="nil"/>
            </w:tcBorders>
            <w:shd w:val="clear" w:color="auto" w:fill="FFFFFF" w:themeFill="background1"/>
            <w:tcMar>
              <w:top w:w="13" w:type="dxa"/>
              <w:left w:w="13" w:type="dxa"/>
              <w:bottom w:w="0" w:type="dxa"/>
              <w:right w:w="13" w:type="dxa"/>
            </w:tcMar>
            <w:vAlign w:val="center"/>
            <w:hideMark/>
          </w:tcPr>
          <w:p w14:paraId="09ECD047" w14:textId="77777777" w:rsidR="00F35D51" w:rsidRPr="002C1F70" w:rsidRDefault="00F35D51" w:rsidP="00B05959">
            <w:pPr>
              <w:spacing w:line="360" w:lineRule="auto"/>
              <w:jc w:val="center"/>
              <w:rPr>
                <w:sz w:val="20"/>
                <w:szCs w:val="20"/>
                <w:lang w:val="en-US"/>
              </w:rPr>
            </w:pPr>
            <w:r w:rsidRPr="002C1F70">
              <w:rPr>
                <w:sz w:val="20"/>
                <w:szCs w:val="20"/>
              </w:rPr>
              <w:t>65</w:t>
            </w:r>
          </w:p>
        </w:tc>
        <w:tc>
          <w:tcPr>
            <w:tcW w:w="990" w:type="dxa"/>
            <w:tcBorders>
              <w:top w:val="single" w:sz="8" w:space="0" w:color="767171"/>
              <w:left w:val="nil"/>
              <w:bottom w:val="nil"/>
              <w:right w:val="nil"/>
            </w:tcBorders>
            <w:shd w:val="clear" w:color="auto" w:fill="FFFFFF" w:themeFill="background1"/>
            <w:tcMar>
              <w:top w:w="13" w:type="dxa"/>
              <w:left w:w="13" w:type="dxa"/>
              <w:bottom w:w="0" w:type="dxa"/>
              <w:right w:w="13" w:type="dxa"/>
            </w:tcMar>
            <w:vAlign w:val="center"/>
            <w:hideMark/>
          </w:tcPr>
          <w:p w14:paraId="5CFEF62E" w14:textId="77777777" w:rsidR="00F35D51" w:rsidRPr="002C1F70" w:rsidRDefault="00F35D51" w:rsidP="00B05959">
            <w:pPr>
              <w:spacing w:line="360" w:lineRule="auto"/>
              <w:jc w:val="center"/>
              <w:rPr>
                <w:sz w:val="20"/>
                <w:szCs w:val="20"/>
                <w:lang w:val="en-US"/>
              </w:rPr>
            </w:pPr>
            <w:r w:rsidRPr="002C1F70">
              <w:rPr>
                <w:sz w:val="20"/>
                <w:szCs w:val="20"/>
              </w:rPr>
              <w:t>-</w:t>
            </w:r>
          </w:p>
        </w:tc>
        <w:tc>
          <w:tcPr>
            <w:tcW w:w="990" w:type="dxa"/>
            <w:tcBorders>
              <w:top w:val="single" w:sz="8" w:space="0" w:color="767171"/>
              <w:left w:val="nil"/>
              <w:bottom w:val="nil"/>
            </w:tcBorders>
            <w:shd w:val="clear" w:color="auto" w:fill="FFFFFF" w:themeFill="background1"/>
            <w:tcMar>
              <w:top w:w="13" w:type="dxa"/>
              <w:left w:w="13" w:type="dxa"/>
              <w:bottom w:w="0" w:type="dxa"/>
              <w:right w:w="13" w:type="dxa"/>
            </w:tcMar>
            <w:vAlign w:val="center"/>
            <w:hideMark/>
          </w:tcPr>
          <w:p w14:paraId="3C371A01" w14:textId="77777777" w:rsidR="00F35D51" w:rsidRPr="002C1F70" w:rsidRDefault="00F35D51" w:rsidP="00B05959">
            <w:pPr>
              <w:spacing w:line="360" w:lineRule="auto"/>
              <w:jc w:val="center"/>
              <w:rPr>
                <w:sz w:val="20"/>
                <w:szCs w:val="20"/>
                <w:lang w:val="en-US"/>
              </w:rPr>
            </w:pPr>
            <w:r w:rsidRPr="002C1F70">
              <w:rPr>
                <w:sz w:val="20"/>
                <w:szCs w:val="20"/>
              </w:rPr>
              <w:t>1065±330</w:t>
            </w:r>
          </w:p>
        </w:tc>
      </w:tr>
      <w:tr w:rsidR="00F35D51" w:rsidRPr="002C1F70" w14:paraId="10792BFA" w14:textId="77777777" w:rsidTr="00B05959">
        <w:trPr>
          <w:trHeight w:val="488"/>
          <w:jc w:val="center"/>
        </w:trPr>
        <w:tc>
          <w:tcPr>
            <w:tcW w:w="1880" w:type="dxa"/>
            <w:tcBorders>
              <w:top w:val="nil"/>
              <w:bottom w:val="nil"/>
              <w:right w:val="nil"/>
            </w:tcBorders>
            <w:shd w:val="clear" w:color="auto" w:fill="FFFFFF" w:themeFill="background1"/>
            <w:tcMar>
              <w:top w:w="13" w:type="dxa"/>
              <w:left w:w="13" w:type="dxa"/>
              <w:bottom w:w="0" w:type="dxa"/>
              <w:right w:w="13" w:type="dxa"/>
            </w:tcMar>
            <w:vAlign w:val="center"/>
            <w:hideMark/>
          </w:tcPr>
          <w:p w14:paraId="3607004D" w14:textId="77777777" w:rsidR="00F35D51" w:rsidRPr="002C1F70" w:rsidRDefault="00F35D51" w:rsidP="00B05959">
            <w:pPr>
              <w:spacing w:line="360" w:lineRule="auto"/>
              <w:rPr>
                <w:sz w:val="20"/>
                <w:szCs w:val="20"/>
                <w:lang w:val="en-US"/>
              </w:rPr>
            </w:pPr>
            <w:r w:rsidRPr="002C1F70">
              <w:rPr>
                <w:b/>
                <w:bCs/>
                <w:sz w:val="20"/>
                <w:szCs w:val="20"/>
              </w:rPr>
              <w:t>(NiCo)</w:t>
            </w:r>
            <w:r w:rsidRPr="002C1F70">
              <w:rPr>
                <w:b/>
                <w:bCs/>
                <w:sz w:val="20"/>
                <w:szCs w:val="20"/>
                <w:vertAlign w:val="subscript"/>
              </w:rPr>
              <w:t>3</w:t>
            </w:r>
            <w:r w:rsidRPr="002C1F70">
              <w:rPr>
                <w:b/>
                <w:bCs/>
                <w:sz w:val="20"/>
                <w:szCs w:val="20"/>
              </w:rPr>
              <w:t>Se</w:t>
            </w:r>
            <w:r w:rsidRPr="002C1F70">
              <w:rPr>
                <w:b/>
                <w:bCs/>
                <w:sz w:val="20"/>
                <w:szCs w:val="20"/>
                <w:vertAlign w:val="subscript"/>
              </w:rPr>
              <w:t>4</w:t>
            </w:r>
            <w:r w:rsidRPr="002C1F70">
              <w:rPr>
                <w:b/>
                <w:bCs/>
                <w:sz w:val="20"/>
                <w:szCs w:val="20"/>
              </w:rPr>
              <w:t xml:space="preserve"> </w:t>
            </w:r>
            <w:r>
              <w:rPr>
                <w:b/>
                <w:bCs/>
                <w:sz w:val="20"/>
                <w:szCs w:val="20"/>
              </w:rPr>
              <w:t>Cryo</w:t>
            </w:r>
          </w:p>
        </w:tc>
        <w:tc>
          <w:tcPr>
            <w:tcW w:w="720" w:type="dxa"/>
            <w:tcBorders>
              <w:top w:val="nil"/>
              <w:left w:val="nil"/>
              <w:bottom w:val="nil"/>
              <w:right w:val="nil"/>
            </w:tcBorders>
            <w:shd w:val="clear" w:color="auto" w:fill="FFFFFF" w:themeFill="background1"/>
            <w:tcMar>
              <w:top w:w="13" w:type="dxa"/>
              <w:left w:w="13" w:type="dxa"/>
              <w:bottom w:w="0" w:type="dxa"/>
              <w:right w:w="13" w:type="dxa"/>
            </w:tcMar>
            <w:vAlign w:val="center"/>
            <w:hideMark/>
          </w:tcPr>
          <w:p w14:paraId="45A34B76" w14:textId="77777777" w:rsidR="00F35D51" w:rsidRPr="002C1F70" w:rsidRDefault="00F35D51" w:rsidP="00B05959">
            <w:pPr>
              <w:spacing w:line="360" w:lineRule="auto"/>
              <w:jc w:val="center"/>
              <w:rPr>
                <w:sz w:val="20"/>
                <w:szCs w:val="20"/>
                <w:lang w:val="en-US"/>
              </w:rPr>
            </w:pPr>
            <w:r w:rsidRPr="002C1F70">
              <w:rPr>
                <w:sz w:val="20"/>
                <w:szCs w:val="20"/>
              </w:rPr>
              <w:t>310</w:t>
            </w:r>
            <w:r w:rsidRPr="009B72A7">
              <w:rPr>
                <w:sz w:val="20"/>
                <w:szCs w:val="20"/>
              </w:rPr>
              <w:t>±</w:t>
            </w:r>
            <w:r>
              <w:rPr>
                <w:sz w:val="20"/>
                <w:szCs w:val="20"/>
              </w:rPr>
              <w:t>3</w:t>
            </w:r>
          </w:p>
        </w:tc>
        <w:tc>
          <w:tcPr>
            <w:tcW w:w="810" w:type="dxa"/>
            <w:tcBorders>
              <w:top w:val="nil"/>
              <w:left w:val="nil"/>
              <w:bottom w:val="nil"/>
              <w:right w:val="nil"/>
            </w:tcBorders>
            <w:shd w:val="clear" w:color="auto" w:fill="FFFFFF" w:themeFill="background1"/>
            <w:tcMar>
              <w:top w:w="13" w:type="dxa"/>
              <w:left w:w="13" w:type="dxa"/>
              <w:bottom w:w="0" w:type="dxa"/>
              <w:right w:w="13" w:type="dxa"/>
            </w:tcMar>
            <w:vAlign w:val="center"/>
            <w:hideMark/>
          </w:tcPr>
          <w:p w14:paraId="2492BE44" w14:textId="77777777" w:rsidR="00F35D51" w:rsidRPr="002C1F70" w:rsidRDefault="00F35D51" w:rsidP="00B05959">
            <w:pPr>
              <w:spacing w:line="360" w:lineRule="auto"/>
              <w:jc w:val="center"/>
              <w:rPr>
                <w:sz w:val="20"/>
                <w:szCs w:val="20"/>
                <w:lang w:val="en-US"/>
              </w:rPr>
            </w:pPr>
            <w:r w:rsidRPr="002C1F70">
              <w:rPr>
                <w:sz w:val="20"/>
                <w:szCs w:val="20"/>
              </w:rPr>
              <w:t>389*</w:t>
            </w:r>
          </w:p>
        </w:tc>
        <w:tc>
          <w:tcPr>
            <w:tcW w:w="900" w:type="dxa"/>
            <w:tcBorders>
              <w:top w:val="nil"/>
              <w:left w:val="nil"/>
              <w:bottom w:val="nil"/>
              <w:right w:val="nil"/>
            </w:tcBorders>
            <w:shd w:val="clear" w:color="auto" w:fill="FFFFFF" w:themeFill="background1"/>
            <w:tcMar>
              <w:top w:w="13" w:type="dxa"/>
              <w:left w:w="13" w:type="dxa"/>
              <w:bottom w:w="0" w:type="dxa"/>
              <w:right w:w="13" w:type="dxa"/>
            </w:tcMar>
            <w:vAlign w:val="center"/>
            <w:hideMark/>
          </w:tcPr>
          <w:p w14:paraId="2C9A0CB9" w14:textId="77777777" w:rsidR="00F35D51" w:rsidRPr="002C1F70" w:rsidRDefault="00F35D51" w:rsidP="00B05959">
            <w:pPr>
              <w:spacing w:line="360" w:lineRule="auto"/>
              <w:jc w:val="center"/>
              <w:rPr>
                <w:sz w:val="20"/>
                <w:szCs w:val="20"/>
                <w:lang w:val="en-US"/>
              </w:rPr>
            </w:pPr>
            <w:r w:rsidRPr="002C1F70">
              <w:rPr>
                <w:sz w:val="20"/>
                <w:szCs w:val="20"/>
              </w:rPr>
              <w:t>79</w:t>
            </w:r>
          </w:p>
        </w:tc>
        <w:tc>
          <w:tcPr>
            <w:tcW w:w="990" w:type="dxa"/>
            <w:tcBorders>
              <w:top w:val="nil"/>
              <w:left w:val="nil"/>
              <w:bottom w:val="nil"/>
              <w:right w:val="nil"/>
            </w:tcBorders>
            <w:shd w:val="clear" w:color="auto" w:fill="FFFFFF" w:themeFill="background1"/>
            <w:tcMar>
              <w:top w:w="13" w:type="dxa"/>
              <w:left w:w="13" w:type="dxa"/>
              <w:bottom w:w="0" w:type="dxa"/>
              <w:right w:w="13" w:type="dxa"/>
            </w:tcMar>
            <w:vAlign w:val="center"/>
            <w:hideMark/>
          </w:tcPr>
          <w:p w14:paraId="2CE6DCC4" w14:textId="77777777" w:rsidR="00F35D51" w:rsidRPr="002C1F70" w:rsidRDefault="00F35D51" w:rsidP="00B05959">
            <w:pPr>
              <w:spacing w:line="360" w:lineRule="auto"/>
              <w:jc w:val="center"/>
              <w:rPr>
                <w:sz w:val="20"/>
                <w:szCs w:val="20"/>
                <w:lang w:val="en-US"/>
              </w:rPr>
            </w:pPr>
            <w:r w:rsidRPr="002C1F70">
              <w:rPr>
                <w:sz w:val="20"/>
                <w:szCs w:val="20"/>
              </w:rPr>
              <w:t>-</w:t>
            </w:r>
          </w:p>
        </w:tc>
        <w:tc>
          <w:tcPr>
            <w:tcW w:w="990" w:type="dxa"/>
            <w:tcBorders>
              <w:top w:val="nil"/>
              <w:left w:val="nil"/>
              <w:bottom w:val="nil"/>
            </w:tcBorders>
            <w:shd w:val="clear" w:color="auto" w:fill="FFFFFF" w:themeFill="background1"/>
            <w:tcMar>
              <w:top w:w="13" w:type="dxa"/>
              <w:left w:w="13" w:type="dxa"/>
              <w:bottom w:w="0" w:type="dxa"/>
              <w:right w:w="13" w:type="dxa"/>
            </w:tcMar>
            <w:vAlign w:val="center"/>
            <w:hideMark/>
          </w:tcPr>
          <w:p w14:paraId="2FB01097" w14:textId="77777777" w:rsidR="00F35D51" w:rsidRPr="002C1F70" w:rsidRDefault="00F35D51" w:rsidP="00B05959">
            <w:pPr>
              <w:spacing w:line="360" w:lineRule="auto"/>
              <w:jc w:val="center"/>
              <w:rPr>
                <w:sz w:val="20"/>
                <w:szCs w:val="20"/>
                <w:lang w:val="en-US"/>
              </w:rPr>
            </w:pPr>
            <w:r w:rsidRPr="002C1F70">
              <w:rPr>
                <w:sz w:val="20"/>
                <w:szCs w:val="20"/>
              </w:rPr>
              <w:t>4055±778</w:t>
            </w:r>
          </w:p>
        </w:tc>
      </w:tr>
      <w:tr w:rsidR="00F35D51" w:rsidRPr="002C1F70" w14:paraId="45D54989" w14:textId="77777777" w:rsidTr="00B05959">
        <w:trPr>
          <w:trHeight w:val="488"/>
          <w:jc w:val="center"/>
        </w:trPr>
        <w:tc>
          <w:tcPr>
            <w:tcW w:w="1880" w:type="dxa"/>
            <w:tcBorders>
              <w:top w:val="nil"/>
              <w:bottom w:val="nil"/>
              <w:right w:val="nil"/>
            </w:tcBorders>
            <w:shd w:val="clear" w:color="auto" w:fill="FFFFFF" w:themeFill="background1"/>
            <w:tcMar>
              <w:top w:w="13" w:type="dxa"/>
              <w:left w:w="13" w:type="dxa"/>
              <w:bottom w:w="0" w:type="dxa"/>
              <w:right w:w="13" w:type="dxa"/>
            </w:tcMar>
            <w:vAlign w:val="center"/>
            <w:hideMark/>
          </w:tcPr>
          <w:p w14:paraId="1398D55D" w14:textId="77777777" w:rsidR="00F35D51" w:rsidRPr="002C1F70" w:rsidRDefault="00F35D51" w:rsidP="00B05959">
            <w:pPr>
              <w:spacing w:line="360" w:lineRule="auto"/>
              <w:rPr>
                <w:sz w:val="20"/>
                <w:szCs w:val="20"/>
                <w:lang w:val="en-US"/>
              </w:rPr>
            </w:pPr>
            <w:r w:rsidRPr="002C1F70">
              <w:rPr>
                <w:b/>
                <w:bCs/>
                <w:sz w:val="20"/>
                <w:szCs w:val="20"/>
              </w:rPr>
              <w:t xml:space="preserve">(NiCo)Se </w:t>
            </w:r>
            <w:r>
              <w:rPr>
                <w:b/>
                <w:bCs/>
                <w:sz w:val="20"/>
                <w:szCs w:val="20"/>
              </w:rPr>
              <w:t>SABM</w:t>
            </w:r>
          </w:p>
        </w:tc>
        <w:tc>
          <w:tcPr>
            <w:tcW w:w="720" w:type="dxa"/>
            <w:tcBorders>
              <w:top w:val="nil"/>
              <w:left w:val="nil"/>
              <w:bottom w:val="nil"/>
              <w:right w:val="nil"/>
            </w:tcBorders>
            <w:shd w:val="clear" w:color="auto" w:fill="FFFFFF" w:themeFill="background1"/>
            <w:tcMar>
              <w:top w:w="13" w:type="dxa"/>
              <w:left w:w="13" w:type="dxa"/>
              <w:bottom w:w="0" w:type="dxa"/>
              <w:right w:w="13" w:type="dxa"/>
            </w:tcMar>
            <w:vAlign w:val="center"/>
            <w:hideMark/>
          </w:tcPr>
          <w:p w14:paraId="693E0575" w14:textId="77777777" w:rsidR="00F35D51" w:rsidRPr="002C1F70" w:rsidRDefault="00F35D51" w:rsidP="00B05959">
            <w:pPr>
              <w:spacing w:line="360" w:lineRule="auto"/>
              <w:jc w:val="center"/>
              <w:rPr>
                <w:sz w:val="20"/>
                <w:szCs w:val="20"/>
                <w:lang w:val="en-US"/>
              </w:rPr>
            </w:pPr>
            <w:r w:rsidRPr="002C1F70">
              <w:rPr>
                <w:sz w:val="20"/>
                <w:szCs w:val="20"/>
              </w:rPr>
              <w:t>233</w:t>
            </w:r>
            <w:r w:rsidRPr="009B72A7">
              <w:rPr>
                <w:sz w:val="20"/>
                <w:szCs w:val="20"/>
              </w:rPr>
              <w:t>±</w:t>
            </w:r>
            <w:r>
              <w:rPr>
                <w:sz w:val="20"/>
                <w:szCs w:val="20"/>
              </w:rPr>
              <w:t>2</w:t>
            </w:r>
          </w:p>
        </w:tc>
        <w:tc>
          <w:tcPr>
            <w:tcW w:w="810" w:type="dxa"/>
            <w:tcBorders>
              <w:top w:val="nil"/>
              <w:left w:val="nil"/>
              <w:bottom w:val="nil"/>
              <w:right w:val="nil"/>
            </w:tcBorders>
            <w:shd w:val="clear" w:color="auto" w:fill="FFFFFF" w:themeFill="background1"/>
            <w:tcMar>
              <w:top w:w="13" w:type="dxa"/>
              <w:left w:w="13" w:type="dxa"/>
              <w:bottom w:w="0" w:type="dxa"/>
              <w:right w:w="13" w:type="dxa"/>
            </w:tcMar>
            <w:vAlign w:val="center"/>
            <w:hideMark/>
          </w:tcPr>
          <w:p w14:paraId="0B644DF2" w14:textId="77777777" w:rsidR="00F35D51" w:rsidRPr="002C1F70" w:rsidRDefault="00F35D51" w:rsidP="00B05959">
            <w:pPr>
              <w:spacing w:line="360" w:lineRule="auto"/>
              <w:jc w:val="center"/>
              <w:rPr>
                <w:sz w:val="20"/>
                <w:szCs w:val="20"/>
                <w:lang w:val="en-US"/>
              </w:rPr>
            </w:pPr>
            <w:r w:rsidRPr="002C1F70">
              <w:rPr>
                <w:sz w:val="20"/>
                <w:szCs w:val="20"/>
              </w:rPr>
              <w:t>283</w:t>
            </w:r>
            <w:r w:rsidRPr="009B72A7">
              <w:rPr>
                <w:sz w:val="20"/>
                <w:szCs w:val="20"/>
              </w:rPr>
              <w:t>±1</w:t>
            </w:r>
          </w:p>
        </w:tc>
        <w:tc>
          <w:tcPr>
            <w:tcW w:w="900" w:type="dxa"/>
            <w:tcBorders>
              <w:top w:val="nil"/>
              <w:left w:val="nil"/>
              <w:bottom w:val="nil"/>
              <w:right w:val="nil"/>
            </w:tcBorders>
            <w:shd w:val="clear" w:color="auto" w:fill="FFFFFF" w:themeFill="background1"/>
            <w:tcMar>
              <w:top w:w="13" w:type="dxa"/>
              <w:left w:w="13" w:type="dxa"/>
              <w:bottom w:w="0" w:type="dxa"/>
              <w:right w:w="13" w:type="dxa"/>
            </w:tcMar>
            <w:vAlign w:val="center"/>
            <w:hideMark/>
          </w:tcPr>
          <w:p w14:paraId="220EFABB" w14:textId="77777777" w:rsidR="00F35D51" w:rsidRPr="002C1F70" w:rsidRDefault="00F35D51" w:rsidP="00B05959">
            <w:pPr>
              <w:spacing w:line="360" w:lineRule="auto"/>
              <w:jc w:val="center"/>
              <w:rPr>
                <w:sz w:val="20"/>
                <w:szCs w:val="20"/>
                <w:lang w:val="en-US"/>
              </w:rPr>
            </w:pPr>
            <w:r w:rsidRPr="002C1F70">
              <w:rPr>
                <w:sz w:val="20"/>
                <w:szCs w:val="20"/>
              </w:rPr>
              <w:t>50</w:t>
            </w:r>
          </w:p>
        </w:tc>
        <w:tc>
          <w:tcPr>
            <w:tcW w:w="990" w:type="dxa"/>
            <w:tcBorders>
              <w:top w:val="nil"/>
              <w:left w:val="nil"/>
              <w:bottom w:val="nil"/>
              <w:right w:val="nil"/>
            </w:tcBorders>
            <w:shd w:val="clear" w:color="auto" w:fill="FFFFFF" w:themeFill="background1"/>
            <w:tcMar>
              <w:top w:w="13" w:type="dxa"/>
              <w:left w:w="13" w:type="dxa"/>
              <w:bottom w:w="0" w:type="dxa"/>
              <w:right w:w="13" w:type="dxa"/>
            </w:tcMar>
            <w:vAlign w:val="center"/>
            <w:hideMark/>
          </w:tcPr>
          <w:p w14:paraId="33B5AC27" w14:textId="77777777" w:rsidR="00F35D51" w:rsidRPr="002C1F70" w:rsidRDefault="00F35D51" w:rsidP="00B05959">
            <w:pPr>
              <w:spacing w:line="360" w:lineRule="auto"/>
              <w:jc w:val="center"/>
              <w:rPr>
                <w:sz w:val="20"/>
                <w:szCs w:val="20"/>
                <w:lang w:val="en-US"/>
              </w:rPr>
            </w:pPr>
            <w:r w:rsidRPr="002C1F70">
              <w:rPr>
                <w:sz w:val="20"/>
                <w:szCs w:val="20"/>
              </w:rPr>
              <w:t>7.60</w:t>
            </w:r>
          </w:p>
        </w:tc>
        <w:tc>
          <w:tcPr>
            <w:tcW w:w="990" w:type="dxa"/>
            <w:tcBorders>
              <w:top w:val="nil"/>
              <w:left w:val="nil"/>
              <w:bottom w:val="nil"/>
            </w:tcBorders>
            <w:shd w:val="clear" w:color="auto" w:fill="FFFFFF" w:themeFill="background1"/>
            <w:tcMar>
              <w:top w:w="13" w:type="dxa"/>
              <w:left w:w="13" w:type="dxa"/>
              <w:bottom w:w="0" w:type="dxa"/>
              <w:right w:w="13" w:type="dxa"/>
            </w:tcMar>
            <w:vAlign w:val="center"/>
            <w:hideMark/>
          </w:tcPr>
          <w:p w14:paraId="5B9A344D" w14:textId="77777777" w:rsidR="00F35D51" w:rsidRPr="002C1F70" w:rsidRDefault="00F35D51" w:rsidP="00B05959">
            <w:pPr>
              <w:spacing w:line="360" w:lineRule="auto"/>
              <w:jc w:val="center"/>
              <w:rPr>
                <w:sz w:val="20"/>
                <w:szCs w:val="20"/>
                <w:lang w:val="en-US"/>
              </w:rPr>
            </w:pPr>
            <w:r w:rsidRPr="002C1F70">
              <w:rPr>
                <w:sz w:val="20"/>
                <w:szCs w:val="20"/>
              </w:rPr>
              <w:t>37±15</w:t>
            </w:r>
          </w:p>
        </w:tc>
      </w:tr>
      <w:tr w:rsidR="00F35D51" w:rsidRPr="002C1F70" w14:paraId="5C03AA92" w14:textId="77777777" w:rsidTr="00B05959">
        <w:trPr>
          <w:trHeight w:val="140"/>
          <w:jc w:val="center"/>
        </w:trPr>
        <w:tc>
          <w:tcPr>
            <w:tcW w:w="1880" w:type="dxa"/>
            <w:tcBorders>
              <w:top w:val="nil"/>
              <w:bottom w:val="single" w:sz="8" w:space="0" w:color="000000"/>
              <w:right w:val="nil"/>
            </w:tcBorders>
            <w:shd w:val="clear" w:color="auto" w:fill="FFFFFF" w:themeFill="background1"/>
            <w:tcMar>
              <w:top w:w="13" w:type="dxa"/>
              <w:left w:w="13" w:type="dxa"/>
              <w:bottom w:w="0" w:type="dxa"/>
              <w:right w:w="13" w:type="dxa"/>
            </w:tcMar>
            <w:vAlign w:val="center"/>
            <w:hideMark/>
          </w:tcPr>
          <w:p w14:paraId="2272E543" w14:textId="77777777" w:rsidR="00F35D51" w:rsidRPr="002C1F70" w:rsidRDefault="00F35D51" w:rsidP="00B05959">
            <w:pPr>
              <w:spacing w:line="360" w:lineRule="auto"/>
              <w:rPr>
                <w:sz w:val="20"/>
                <w:szCs w:val="20"/>
                <w:lang w:val="en-US"/>
              </w:rPr>
            </w:pPr>
            <w:r w:rsidRPr="002C1F70">
              <w:rPr>
                <w:b/>
                <w:bCs/>
                <w:sz w:val="20"/>
                <w:szCs w:val="20"/>
              </w:rPr>
              <w:t>(NiCo)</w:t>
            </w:r>
            <w:r w:rsidRPr="002C1F70">
              <w:rPr>
                <w:b/>
                <w:bCs/>
                <w:sz w:val="20"/>
                <w:szCs w:val="20"/>
                <w:vertAlign w:val="subscript"/>
              </w:rPr>
              <w:t>3</w:t>
            </w:r>
            <w:r w:rsidRPr="002C1F70">
              <w:rPr>
                <w:b/>
                <w:bCs/>
                <w:sz w:val="20"/>
                <w:szCs w:val="20"/>
              </w:rPr>
              <w:t>Se</w:t>
            </w:r>
            <w:r w:rsidRPr="002C1F70">
              <w:rPr>
                <w:b/>
                <w:bCs/>
                <w:sz w:val="20"/>
                <w:szCs w:val="20"/>
                <w:vertAlign w:val="subscript"/>
              </w:rPr>
              <w:t>4</w:t>
            </w:r>
            <w:r w:rsidRPr="002C1F70">
              <w:rPr>
                <w:b/>
                <w:bCs/>
                <w:sz w:val="20"/>
                <w:szCs w:val="20"/>
              </w:rPr>
              <w:t xml:space="preserve"> </w:t>
            </w:r>
            <w:r>
              <w:rPr>
                <w:b/>
                <w:bCs/>
                <w:sz w:val="20"/>
                <w:szCs w:val="20"/>
              </w:rPr>
              <w:t>SABM</w:t>
            </w:r>
          </w:p>
        </w:tc>
        <w:tc>
          <w:tcPr>
            <w:tcW w:w="720" w:type="dxa"/>
            <w:tcBorders>
              <w:top w:val="nil"/>
              <w:left w:val="nil"/>
              <w:bottom w:val="single" w:sz="8" w:space="0" w:color="000000"/>
              <w:right w:val="nil"/>
            </w:tcBorders>
            <w:shd w:val="clear" w:color="auto" w:fill="FFFFFF" w:themeFill="background1"/>
            <w:tcMar>
              <w:top w:w="13" w:type="dxa"/>
              <w:left w:w="13" w:type="dxa"/>
              <w:bottom w:w="0" w:type="dxa"/>
              <w:right w:w="13" w:type="dxa"/>
            </w:tcMar>
            <w:vAlign w:val="center"/>
            <w:hideMark/>
          </w:tcPr>
          <w:p w14:paraId="2CD202AC" w14:textId="77777777" w:rsidR="00F35D51" w:rsidRPr="002C1F70" w:rsidRDefault="00F35D51" w:rsidP="00B05959">
            <w:pPr>
              <w:spacing w:line="360" w:lineRule="auto"/>
              <w:jc w:val="center"/>
              <w:rPr>
                <w:sz w:val="20"/>
                <w:szCs w:val="20"/>
                <w:lang w:val="en-US"/>
              </w:rPr>
            </w:pPr>
            <w:r w:rsidRPr="002C1F70">
              <w:rPr>
                <w:sz w:val="20"/>
                <w:szCs w:val="20"/>
              </w:rPr>
              <w:t>226</w:t>
            </w:r>
            <w:r w:rsidRPr="009B72A7">
              <w:rPr>
                <w:sz w:val="20"/>
                <w:szCs w:val="20"/>
              </w:rPr>
              <w:t>±</w:t>
            </w:r>
            <w:r>
              <w:rPr>
                <w:sz w:val="20"/>
                <w:szCs w:val="20"/>
              </w:rPr>
              <w:t>2</w:t>
            </w:r>
          </w:p>
        </w:tc>
        <w:tc>
          <w:tcPr>
            <w:tcW w:w="810" w:type="dxa"/>
            <w:tcBorders>
              <w:top w:val="nil"/>
              <w:left w:val="nil"/>
              <w:bottom w:val="single" w:sz="8" w:space="0" w:color="000000"/>
              <w:right w:val="nil"/>
            </w:tcBorders>
            <w:shd w:val="clear" w:color="auto" w:fill="FFFFFF" w:themeFill="background1"/>
            <w:tcMar>
              <w:top w:w="13" w:type="dxa"/>
              <w:left w:w="13" w:type="dxa"/>
              <w:bottom w:w="0" w:type="dxa"/>
              <w:right w:w="13" w:type="dxa"/>
            </w:tcMar>
            <w:vAlign w:val="center"/>
            <w:hideMark/>
          </w:tcPr>
          <w:p w14:paraId="0FBD5754" w14:textId="77777777" w:rsidR="00F35D51" w:rsidRPr="002C1F70" w:rsidRDefault="00F35D51" w:rsidP="00B05959">
            <w:pPr>
              <w:spacing w:line="360" w:lineRule="auto"/>
              <w:jc w:val="center"/>
              <w:rPr>
                <w:sz w:val="20"/>
                <w:szCs w:val="20"/>
                <w:lang w:val="en-US"/>
              </w:rPr>
            </w:pPr>
            <w:r w:rsidRPr="002C1F70">
              <w:rPr>
                <w:sz w:val="20"/>
                <w:szCs w:val="20"/>
              </w:rPr>
              <w:t>268</w:t>
            </w:r>
            <w:r w:rsidRPr="009B72A7">
              <w:rPr>
                <w:sz w:val="20"/>
                <w:szCs w:val="20"/>
              </w:rPr>
              <w:t>±</w:t>
            </w:r>
            <w:r>
              <w:rPr>
                <w:sz w:val="20"/>
                <w:szCs w:val="20"/>
              </w:rPr>
              <w:t>2</w:t>
            </w:r>
          </w:p>
        </w:tc>
        <w:tc>
          <w:tcPr>
            <w:tcW w:w="900" w:type="dxa"/>
            <w:tcBorders>
              <w:top w:val="nil"/>
              <w:left w:val="nil"/>
              <w:bottom w:val="single" w:sz="8" w:space="0" w:color="000000"/>
              <w:right w:val="nil"/>
            </w:tcBorders>
            <w:shd w:val="clear" w:color="auto" w:fill="FFFFFF" w:themeFill="background1"/>
            <w:tcMar>
              <w:top w:w="13" w:type="dxa"/>
              <w:left w:w="13" w:type="dxa"/>
              <w:bottom w:w="0" w:type="dxa"/>
              <w:right w:w="13" w:type="dxa"/>
            </w:tcMar>
            <w:vAlign w:val="center"/>
            <w:hideMark/>
          </w:tcPr>
          <w:p w14:paraId="6DCBF8FF" w14:textId="77777777" w:rsidR="00F35D51" w:rsidRPr="002C1F70" w:rsidRDefault="00F35D51" w:rsidP="00B05959">
            <w:pPr>
              <w:spacing w:line="360" w:lineRule="auto"/>
              <w:jc w:val="center"/>
              <w:rPr>
                <w:sz w:val="20"/>
                <w:szCs w:val="20"/>
                <w:lang w:val="en-US"/>
              </w:rPr>
            </w:pPr>
            <w:r w:rsidRPr="002C1F70">
              <w:rPr>
                <w:sz w:val="20"/>
                <w:szCs w:val="20"/>
              </w:rPr>
              <w:t>42</w:t>
            </w:r>
          </w:p>
        </w:tc>
        <w:tc>
          <w:tcPr>
            <w:tcW w:w="990" w:type="dxa"/>
            <w:tcBorders>
              <w:top w:val="nil"/>
              <w:left w:val="nil"/>
              <w:bottom w:val="single" w:sz="8" w:space="0" w:color="000000"/>
              <w:right w:val="nil"/>
            </w:tcBorders>
            <w:shd w:val="clear" w:color="auto" w:fill="FFFFFF" w:themeFill="background1"/>
            <w:tcMar>
              <w:top w:w="13" w:type="dxa"/>
              <w:left w:w="13" w:type="dxa"/>
              <w:bottom w:w="0" w:type="dxa"/>
              <w:right w:w="13" w:type="dxa"/>
            </w:tcMar>
            <w:vAlign w:val="center"/>
            <w:hideMark/>
          </w:tcPr>
          <w:p w14:paraId="451C336A" w14:textId="77777777" w:rsidR="00F35D51" w:rsidRPr="002C1F70" w:rsidRDefault="00F35D51" w:rsidP="00B05959">
            <w:pPr>
              <w:spacing w:line="360" w:lineRule="auto"/>
              <w:jc w:val="center"/>
              <w:rPr>
                <w:sz w:val="20"/>
                <w:szCs w:val="20"/>
                <w:lang w:val="en-US"/>
              </w:rPr>
            </w:pPr>
            <w:r w:rsidRPr="002C1F70">
              <w:rPr>
                <w:sz w:val="20"/>
                <w:szCs w:val="20"/>
              </w:rPr>
              <w:t>8.13</w:t>
            </w:r>
          </w:p>
        </w:tc>
        <w:tc>
          <w:tcPr>
            <w:tcW w:w="990" w:type="dxa"/>
            <w:tcBorders>
              <w:top w:val="nil"/>
              <w:left w:val="nil"/>
              <w:bottom w:val="single" w:sz="8" w:space="0" w:color="000000"/>
            </w:tcBorders>
            <w:shd w:val="clear" w:color="auto" w:fill="FFFFFF" w:themeFill="background1"/>
            <w:tcMar>
              <w:top w:w="13" w:type="dxa"/>
              <w:left w:w="13" w:type="dxa"/>
              <w:bottom w:w="0" w:type="dxa"/>
              <w:right w:w="13" w:type="dxa"/>
            </w:tcMar>
            <w:vAlign w:val="center"/>
            <w:hideMark/>
          </w:tcPr>
          <w:p w14:paraId="65ED4F2F" w14:textId="77777777" w:rsidR="00F35D51" w:rsidRPr="002C1F70" w:rsidRDefault="00F35D51" w:rsidP="00B05959">
            <w:pPr>
              <w:spacing w:line="360" w:lineRule="auto"/>
              <w:jc w:val="center"/>
              <w:rPr>
                <w:sz w:val="20"/>
                <w:szCs w:val="20"/>
                <w:lang w:val="en-US"/>
              </w:rPr>
            </w:pPr>
            <w:r w:rsidRPr="002C1F70">
              <w:rPr>
                <w:sz w:val="20"/>
                <w:szCs w:val="20"/>
              </w:rPr>
              <w:t>67±27</w:t>
            </w:r>
          </w:p>
        </w:tc>
      </w:tr>
    </w:tbl>
    <w:p w14:paraId="38BC5B36" w14:textId="76C6B25A" w:rsidR="00E8431D" w:rsidRDefault="00F35D51" w:rsidP="00E16C3E">
      <w:pPr>
        <w:rPr>
          <w:rFonts w:ascii="Times New Roman" w:eastAsia="Arial Unicode MS" w:hAnsi="Times New Roman" w:cs="Times New Roman"/>
          <w:iCs/>
        </w:rPr>
      </w:pPr>
      <w:r>
        <w:rPr>
          <w:rFonts w:ascii="Times New Roman" w:eastAsia="Arial Unicode MS" w:hAnsi="Times New Roman" w:cs="Times New Roman"/>
          <w:iCs/>
        </w:rPr>
        <w:br w:type="page"/>
      </w:r>
    </w:p>
    <w:p w14:paraId="74491B73" w14:textId="77777777" w:rsidR="00F35D51" w:rsidRDefault="00F35D51" w:rsidP="00F35D51">
      <w:pPr>
        <w:spacing w:line="480" w:lineRule="auto"/>
        <w:rPr>
          <w:rFonts w:ascii="Times New Roman" w:eastAsia="Arial Unicode MS" w:hAnsi="Times New Roman" w:cs="Times New Roman"/>
          <w:iCs/>
        </w:rPr>
      </w:pPr>
    </w:p>
    <w:p w14:paraId="3FB52733" w14:textId="77777777" w:rsidR="00E16C3E" w:rsidRPr="00720895" w:rsidRDefault="00E16C3E" w:rsidP="00E16C3E">
      <w:pPr>
        <w:spacing w:line="360" w:lineRule="auto"/>
        <w:jc w:val="center"/>
        <w:rPr>
          <w:rFonts w:ascii="Times New Roman" w:hAnsi="Times New Roman" w:cs="Times New Roman"/>
          <w:b/>
          <w:bCs/>
        </w:rPr>
      </w:pPr>
      <w:r>
        <w:rPr>
          <w:rFonts w:ascii="Times New Roman" w:hAnsi="Times New Roman" w:cs="Times New Roman"/>
          <w:b/>
          <w:bCs/>
          <w:noProof/>
        </w:rPr>
        <w:drawing>
          <wp:inline distT="0" distB="0" distL="0" distR="0" wp14:anchorId="79207160" wp14:editId="6CAA5A32">
            <wp:extent cx="5943600" cy="3553460"/>
            <wp:effectExtent l="0" t="0" r="0" b="8890"/>
            <wp:docPr id="10" name="Picture 10" descr="A bunch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bunch of different colors&#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553460"/>
                    </a:xfrm>
                    <a:prstGeom prst="rect">
                      <a:avLst/>
                    </a:prstGeom>
                  </pic:spPr>
                </pic:pic>
              </a:graphicData>
            </a:graphic>
          </wp:inline>
        </w:drawing>
      </w:r>
    </w:p>
    <w:p w14:paraId="23AD96C9" w14:textId="310E6A90" w:rsidR="00E16C3E" w:rsidRPr="00CB21C8" w:rsidRDefault="00E16C3E" w:rsidP="00E16C3E">
      <w:pPr>
        <w:spacing w:line="360" w:lineRule="auto"/>
        <w:jc w:val="both"/>
        <w:rPr>
          <w:rFonts w:ascii="Times New Roman" w:hAnsi="Times New Roman" w:cs="Times New Roman"/>
          <w:sz w:val="20"/>
          <w:szCs w:val="20"/>
        </w:rPr>
      </w:pPr>
      <w:r w:rsidRPr="00CB21C8">
        <w:rPr>
          <w:rFonts w:ascii="Times New Roman" w:hAnsi="Times New Roman" w:cs="Times New Roman"/>
          <w:b/>
          <w:bCs/>
          <w:sz w:val="20"/>
          <w:szCs w:val="20"/>
        </w:rPr>
        <w:t>Figure S</w:t>
      </w:r>
      <w:r w:rsidR="00E11A21">
        <w:rPr>
          <w:rFonts w:ascii="Times New Roman" w:hAnsi="Times New Roman" w:cs="Times New Roman"/>
          <w:b/>
          <w:bCs/>
          <w:sz w:val="20"/>
          <w:szCs w:val="20"/>
        </w:rPr>
        <w:t>1</w:t>
      </w:r>
      <w:r w:rsidR="002C0286">
        <w:rPr>
          <w:rFonts w:ascii="Times New Roman" w:hAnsi="Times New Roman" w:cs="Times New Roman"/>
          <w:b/>
          <w:bCs/>
          <w:sz w:val="20"/>
          <w:szCs w:val="20"/>
        </w:rPr>
        <w:t>2</w:t>
      </w:r>
      <w:r w:rsidRPr="00CB21C8">
        <w:rPr>
          <w:rFonts w:ascii="Times New Roman" w:hAnsi="Times New Roman" w:cs="Times New Roman"/>
          <w:b/>
          <w:bCs/>
          <w:sz w:val="20"/>
          <w:szCs w:val="20"/>
        </w:rPr>
        <w:t xml:space="preserve">.  </w:t>
      </w:r>
      <w:r w:rsidRPr="00CB21C8">
        <w:rPr>
          <w:rFonts w:ascii="Times New Roman" w:hAnsi="Times New Roman" w:cs="Times New Roman"/>
          <w:color w:val="000000"/>
          <w:sz w:val="20"/>
          <w:szCs w:val="20"/>
        </w:rPr>
        <w:t>Ni-Se, Ni-</w:t>
      </w:r>
      <w:r w:rsidRPr="00CB21C8">
        <w:rPr>
          <w:rFonts w:ascii="Times New Roman" w:hAnsi="Times New Roman"/>
          <w:sz w:val="20"/>
          <w:szCs w:val="20"/>
        </w:rPr>
        <w:t>Se</w:t>
      </w:r>
      <w:r w:rsidRPr="00CB21C8">
        <w:rPr>
          <w:rFonts w:ascii="Times New Roman" w:hAnsi="Times New Roman"/>
          <w:sz w:val="20"/>
          <w:szCs w:val="20"/>
          <w:vertAlign w:val="subscript"/>
        </w:rPr>
        <w:t>vac</w:t>
      </w:r>
      <w:r w:rsidRPr="00CB21C8">
        <w:rPr>
          <w:rFonts w:ascii="Times New Roman" w:hAnsi="Times New Roman" w:cs="Times New Roman"/>
          <w:color w:val="000000"/>
          <w:sz w:val="20"/>
          <w:szCs w:val="20"/>
        </w:rPr>
        <w:t>, Ni-Co-Se, and Ni-Co-</w:t>
      </w:r>
      <w:r w:rsidRPr="00CB21C8">
        <w:rPr>
          <w:rFonts w:ascii="Times New Roman" w:hAnsi="Times New Roman"/>
          <w:sz w:val="20"/>
          <w:szCs w:val="20"/>
        </w:rPr>
        <w:t>Se</w:t>
      </w:r>
      <w:r w:rsidRPr="00CB21C8">
        <w:rPr>
          <w:rFonts w:ascii="Times New Roman" w:hAnsi="Times New Roman"/>
          <w:sz w:val="20"/>
          <w:szCs w:val="20"/>
          <w:vertAlign w:val="subscript"/>
        </w:rPr>
        <w:t>vac</w:t>
      </w:r>
      <w:r w:rsidRPr="00CB21C8">
        <w:rPr>
          <w:rFonts w:ascii="Times New Roman" w:hAnsi="Times New Roman" w:cs="Times New Roman"/>
          <w:sz w:val="20"/>
          <w:szCs w:val="20"/>
        </w:rPr>
        <w:t xml:space="preserve"> with species reacting at Ni site and Co site on (a, b, c, d, and e) NiSe (001) and (f, g, h, </w:t>
      </w:r>
      <w:proofErr w:type="spellStart"/>
      <w:r w:rsidRPr="00CB21C8">
        <w:rPr>
          <w:rFonts w:ascii="Times New Roman" w:hAnsi="Times New Roman" w:cs="Times New Roman"/>
          <w:sz w:val="20"/>
          <w:szCs w:val="20"/>
        </w:rPr>
        <w:t>i</w:t>
      </w:r>
      <w:proofErr w:type="spellEnd"/>
      <w:r w:rsidRPr="00CB21C8">
        <w:rPr>
          <w:rFonts w:ascii="Times New Roman" w:hAnsi="Times New Roman" w:cs="Times New Roman"/>
          <w:sz w:val="20"/>
          <w:szCs w:val="20"/>
        </w:rPr>
        <w:t xml:space="preserve">, and j) NiSe (101) surfaces. Nickel, selenium, and cobalt atoms are given in blue, yellow, and green, respectively. A red circle in b, d, e, g, </w:t>
      </w:r>
      <w:proofErr w:type="spellStart"/>
      <w:r w:rsidRPr="00CB21C8">
        <w:rPr>
          <w:rFonts w:ascii="Times New Roman" w:hAnsi="Times New Roman" w:cs="Times New Roman"/>
          <w:sz w:val="20"/>
          <w:szCs w:val="20"/>
        </w:rPr>
        <w:t>i</w:t>
      </w:r>
      <w:proofErr w:type="spellEnd"/>
      <w:r w:rsidRPr="00CB21C8">
        <w:rPr>
          <w:rFonts w:ascii="Times New Roman" w:hAnsi="Times New Roman" w:cs="Times New Roman"/>
          <w:sz w:val="20"/>
          <w:szCs w:val="20"/>
        </w:rPr>
        <w:t xml:space="preserve">, and j show, which </w:t>
      </w:r>
      <w:proofErr w:type="spellStart"/>
      <w:r w:rsidRPr="00CB21C8">
        <w:rPr>
          <w:rFonts w:ascii="Times New Roman" w:hAnsi="Times New Roman" w:cs="Times New Roman"/>
          <w:sz w:val="20"/>
          <w:szCs w:val="20"/>
        </w:rPr>
        <w:t>Se</w:t>
      </w:r>
      <w:proofErr w:type="spellEnd"/>
      <w:r w:rsidRPr="00CB21C8">
        <w:rPr>
          <w:rFonts w:ascii="Times New Roman" w:hAnsi="Times New Roman" w:cs="Times New Roman"/>
          <w:sz w:val="20"/>
          <w:szCs w:val="20"/>
        </w:rPr>
        <w:t xml:space="preserve"> was removed to form the vacancy. </w:t>
      </w:r>
    </w:p>
    <w:p w14:paraId="557E6CE4" w14:textId="77777777" w:rsidR="00E16C3E" w:rsidRPr="00720895" w:rsidRDefault="00E16C3E" w:rsidP="00E16C3E">
      <w:pPr>
        <w:spacing w:line="360" w:lineRule="auto"/>
        <w:jc w:val="both"/>
        <w:rPr>
          <w:rFonts w:ascii="Times New Roman" w:hAnsi="Times New Roman" w:cs="Times New Roman"/>
        </w:rPr>
      </w:pPr>
    </w:p>
    <w:p w14:paraId="6E2458CB" w14:textId="77777777" w:rsidR="00E16C3E" w:rsidRPr="00720895" w:rsidRDefault="00E16C3E" w:rsidP="00E16C3E">
      <w:pPr>
        <w:spacing w:line="360" w:lineRule="auto"/>
        <w:rPr>
          <w:rFonts w:ascii="Times New Roman" w:hAnsi="Times New Roman" w:cs="Times New Roman"/>
          <w:b/>
          <w:bCs/>
        </w:rPr>
      </w:pPr>
      <w:r w:rsidRPr="00720895">
        <w:rPr>
          <w:rFonts w:ascii="Times New Roman" w:hAnsi="Times New Roman" w:cs="Times New Roman"/>
          <w:b/>
          <w:bCs/>
        </w:rPr>
        <w:br w:type="page"/>
      </w:r>
    </w:p>
    <w:p w14:paraId="036F4827" w14:textId="77777777" w:rsidR="00E16C3E" w:rsidRPr="00720895" w:rsidRDefault="00E16C3E" w:rsidP="00E16C3E">
      <w:pPr>
        <w:spacing w:line="360" w:lineRule="auto"/>
        <w:jc w:val="center"/>
        <w:rPr>
          <w:rFonts w:ascii="Times New Roman" w:hAnsi="Times New Roman" w:cs="Times New Roman"/>
          <w:b/>
          <w:bCs/>
        </w:rPr>
      </w:pPr>
      <w:r>
        <w:rPr>
          <w:rFonts w:ascii="Times New Roman" w:hAnsi="Times New Roman" w:cs="Times New Roman"/>
          <w:b/>
          <w:bCs/>
          <w:noProof/>
        </w:rPr>
        <w:lastRenderedPageBreak/>
        <w:drawing>
          <wp:inline distT="0" distB="0" distL="0" distR="0" wp14:anchorId="5E5326C6" wp14:editId="37036873">
            <wp:extent cx="5914390" cy="8229600"/>
            <wp:effectExtent l="0" t="0" r="0" b="0"/>
            <wp:docPr id="11" name="Picture 11"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food&#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914390" cy="8229600"/>
                    </a:xfrm>
                    <a:prstGeom prst="rect">
                      <a:avLst/>
                    </a:prstGeom>
                  </pic:spPr>
                </pic:pic>
              </a:graphicData>
            </a:graphic>
          </wp:inline>
        </w:drawing>
      </w:r>
    </w:p>
    <w:p w14:paraId="5F2FC2ED" w14:textId="77777777" w:rsidR="00E16C3E" w:rsidRPr="00720895" w:rsidRDefault="00E16C3E" w:rsidP="00E16C3E">
      <w:pPr>
        <w:spacing w:line="360" w:lineRule="auto"/>
        <w:jc w:val="center"/>
        <w:rPr>
          <w:rFonts w:ascii="Times New Roman" w:hAnsi="Times New Roman" w:cs="Times New Roman"/>
          <w:b/>
          <w:bCs/>
        </w:rPr>
      </w:pPr>
      <w:r>
        <w:rPr>
          <w:rFonts w:ascii="Times New Roman" w:hAnsi="Times New Roman" w:cs="Times New Roman"/>
          <w:b/>
          <w:bCs/>
          <w:noProof/>
        </w:rPr>
        <w:lastRenderedPageBreak/>
        <w:drawing>
          <wp:inline distT="0" distB="0" distL="0" distR="0" wp14:anchorId="18CADA8C" wp14:editId="392EED60">
            <wp:extent cx="5943600" cy="4563745"/>
            <wp:effectExtent l="0" t="0" r="0" b="8255"/>
            <wp:docPr id="9" name="Picture 9"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video game&#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563745"/>
                    </a:xfrm>
                    <a:prstGeom prst="rect">
                      <a:avLst/>
                    </a:prstGeom>
                  </pic:spPr>
                </pic:pic>
              </a:graphicData>
            </a:graphic>
          </wp:inline>
        </w:drawing>
      </w:r>
    </w:p>
    <w:p w14:paraId="4655F83B" w14:textId="1539AE14" w:rsidR="00E16C3E" w:rsidRPr="00CB21C8" w:rsidRDefault="00E16C3E" w:rsidP="00E16C3E">
      <w:pPr>
        <w:spacing w:line="360" w:lineRule="auto"/>
        <w:jc w:val="both"/>
        <w:rPr>
          <w:rFonts w:ascii="Times New Roman" w:hAnsi="Times New Roman" w:cs="Times New Roman"/>
          <w:sz w:val="20"/>
          <w:szCs w:val="20"/>
        </w:rPr>
      </w:pPr>
      <w:r w:rsidRPr="00CB21C8">
        <w:rPr>
          <w:rFonts w:ascii="Times New Roman" w:hAnsi="Times New Roman" w:cs="Times New Roman"/>
          <w:b/>
          <w:bCs/>
          <w:sz w:val="20"/>
          <w:szCs w:val="20"/>
        </w:rPr>
        <w:t>Figure S</w:t>
      </w:r>
      <w:r w:rsidR="00CB21C8">
        <w:rPr>
          <w:rFonts w:ascii="Times New Roman" w:hAnsi="Times New Roman" w:cs="Times New Roman"/>
          <w:b/>
          <w:bCs/>
          <w:sz w:val="20"/>
          <w:szCs w:val="20"/>
        </w:rPr>
        <w:t>1</w:t>
      </w:r>
      <w:r w:rsidR="002C0286">
        <w:rPr>
          <w:rFonts w:ascii="Times New Roman" w:hAnsi="Times New Roman" w:cs="Times New Roman"/>
          <w:b/>
          <w:bCs/>
          <w:sz w:val="20"/>
          <w:szCs w:val="20"/>
        </w:rPr>
        <w:t>3</w:t>
      </w:r>
      <w:r w:rsidRPr="00CB21C8">
        <w:rPr>
          <w:rFonts w:ascii="Times New Roman" w:hAnsi="Times New Roman" w:cs="Times New Roman"/>
          <w:b/>
          <w:bCs/>
          <w:sz w:val="20"/>
          <w:szCs w:val="20"/>
        </w:rPr>
        <w:t>.</w:t>
      </w:r>
      <w:r w:rsidRPr="00CB21C8">
        <w:rPr>
          <w:rFonts w:ascii="Times New Roman" w:hAnsi="Times New Roman" w:cs="Times New Roman"/>
          <w:sz w:val="20"/>
          <w:szCs w:val="20"/>
        </w:rPr>
        <w:t xml:space="preserve"> Intermediates OER mechanism (a) for </w:t>
      </w:r>
      <w:r w:rsidRPr="00CB21C8">
        <w:rPr>
          <w:rFonts w:ascii="Times New Roman" w:hAnsi="Times New Roman" w:cs="Times New Roman"/>
          <w:color w:val="000000"/>
          <w:sz w:val="20"/>
          <w:szCs w:val="20"/>
        </w:rPr>
        <w:t>Ni-</w:t>
      </w:r>
      <w:r w:rsidRPr="00CB21C8">
        <w:rPr>
          <w:rFonts w:ascii="Times New Roman" w:hAnsi="Times New Roman"/>
          <w:sz w:val="20"/>
          <w:szCs w:val="20"/>
        </w:rPr>
        <w:t>Se</w:t>
      </w:r>
      <w:r w:rsidRPr="00CB21C8">
        <w:rPr>
          <w:rFonts w:ascii="Times New Roman" w:hAnsi="Times New Roman"/>
          <w:sz w:val="20"/>
          <w:szCs w:val="20"/>
          <w:vertAlign w:val="subscript"/>
        </w:rPr>
        <w:t>vac</w:t>
      </w:r>
      <w:r w:rsidRPr="00CB21C8">
        <w:rPr>
          <w:rFonts w:ascii="Times New Roman" w:hAnsi="Times New Roman" w:cs="Times New Roman"/>
          <w:sz w:val="20"/>
          <w:szCs w:val="20"/>
        </w:rPr>
        <w:t xml:space="preserve">, </w:t>
      </w:r>
      <w:r w:rsidRPr="00CB21C8">
        <w:rPr>
          <w:rFonts w:ascii="Times New Roman" w:hAnsi="Times New Roman" w:cs="Times New Roman"/>
          <w:color w:val="000000"/>
          <w:sz w:val="20"/>
          <w:szCs w:val="20"/>
        </w:rPr>
        <w:t>Ni-Co-Se</w:t>
      </w:r>
      <w:r w:rsidRPr="00CB21C8" w:rsidDel="002D0ACD">
        <w:rPr>
          <w:rFonts w:ascii="Times New Roman" w:hAnsi="Times New Roman" w:cs="Times New Roman"/>
          <w:sz w:val="20"/>
          <w:szCs w:val="20"/>
        </w:rPr>
        <w:t xml:space="preserve"> </w:t>
      </w:r>
      <w:r w:rsidRPr="00CB21C8">
        <w:rPr>
          <w:rFonts w:ascii="Times New Roman" w:hAnsi="Times New Roman" w:cs="Times New Roman"/>
          <w:sz w:val="20"/>
          <w:szCs w:val="20"/>
        </w:rPr>
        <w:t xml:space="preserve">with species reacting at (b) Ni site and (c) Co site, and </w:t>
      </w:r>
      <w:r w:rsidRPr="00CB21C8">
        <w:rPr>
          <w:rFonts w:ascii="Times New Roman" w:hAnsi="Times New Roman" w:cs="Times New Roman"/>
          <w:color w:val="000000"/>
          <w:sz w:val="20"/>
          <w:szCs w:val="20"/>
        </w:rPr>
        <w:t>Ni-Co-</w:t>
      </w:r>
      <w:r w:rsidRPr="00CB21C8">
        <w:rPr>
          <w:rFonts w:ascii="Times New Roman" w:hAnsi="Times New Roman"/>
          <w:sz w:val="20"/>
          <w:szCs w:val="20"/>
        </w:rPr>
        <w:t>Se</w:t>
      </w:r>
      <w:r w:rsidRPr="00CB21C8">
        <w:rPr>
          <w:rFonts w:ascii="Times New Roman" w:hAnsi="Times New Roman"/>
          <w:sz w:val="20"/>
          <w:szCs w:val="20"/>
          <w:vertAlign w:val="subscript"/>
        </w:rPr>
        <w:t xml:space="preserve">vac </w:t>
      </w:r>
      <w:r w:rsidRPr="00CB21C8">
        <w:rPr>
          <w:rFonts w:ascii="Times New Roman" w:hAnsi="Times New Roman" w:cs="Times New Roman"/>
          <w:sz w:val="20"/>
          <w:szCs w:val="20"/>
        </w:rPr>
        <w:t xml:space="preserve">with (d) Ni site and (e) Co site on NiSe (001) surface. (f) Reaction potential energies for </w:t>
      </w:r>
      <w:r w:rsidRPr="00CB21C8">
        <w:rPr>
          <w:rFonts w:ascii="Times New Roman" w:hAnsi="Times New Roman" w:cs="Times New Roman"/>
          <w:color w:val="000000"/>
          <w:sz w:val="20"/>
          <w:szCs w:val="20"/>
        </w:rPr>
        <w:t>Ni-Se, Ni-</w:t>
      </w:r>
      <w:r w:rsidRPr="00CB21C8">
        <w:rPr>
          <w:rFonts w:ascii="Times New Roman" w:hAnsi="Times New Roman"/>
          <w:sz w:val="20"/>
          <w:szCs w:val="20"/>
        </w:rPr>
        <w:t>Se</w:t>
      </w:r>
      <w:r w:rsidRPr="00CB21C8">
        <w:rPr>
          <w:rFonts w:ascii="Times New Roman" w:hAnsi="Times New Roman"/>
          <w:sz w:val="20"/>
          <w:szCs w:val="20"/>
          <w:vertAlign w:val="subscript"/>
        </w:rPr>
        <w:t>vac</w:t>
      </w:r>
      <w:r w:rsidRPr="00CB21C8">
        <w:rPr>
          <w:rFonts w:ascii="Times New Roman" w:hAnsi="Times New Roman" w:cs="Times New Roman"/>
          <w:color w:val="000000"/>
          <w:sz w:val="20"/>
          <w:szCs w:val="20"/>
        </w:rPr>
        <w:t>, Ni-Co-Se, and Ni-Co-</w:t>
      </w:r>
      <w:r w:rsidRPr="00CB21C8">
        <w:rPr>
          <w:rFonts w:ascii="Times New Roman" w:hAnsi="Times New Roman"/>
          <w:sz w:val="20"/>
          <w:szCs w:val="20"/>
        </w:rPr>
        <w:t>Se</w:t>
      </w:r>
      <w:r w:rsidRPr="00CB21C8">
        <w:rPr>
          <w:rFonts w:ascii="Times New Roman" w:hAnsi="Times New Roman"/>
          <w:sz w:val="20"/>
          <w:szCs w:val="20"/>
          <w:vertAlign w:val="subscript"/>
        </w:rPr>
        <w:t>vac</w:t>
      </w:r>
      <w:r w:rsidRPr="00CB21C8">
        <w:rPr>
          <w:rFonts w:ascii="Times New Roman" w:hAnsi="Times New Roman" w:cs="Times New Roman"/>
          <w:sz w:val="20"/>
          <w:szCs w:val="20"/>
        </w:rPr>
        <w:t xml:space="preserve">. Nickel, selenium, cobalt, oxygen, and hydrogen atoms are given in blue, yellow, green, red, and white, respectively. </w:t>
      </w:r>
    </w:p>
    <w:p w14:paraId="6B20CC1E" w14:textId="77777777" w:rsidR="00E16C3E" w:rsidRPr="00720895" w:rsidRDefault="00E16C3E" w:rsidP="00E16C3E">
      <w:pPr>
        <w:rPr>
          <w:rFonts w:ascii="Times New Roman" w:hAnsi="Times New Roman" w:cs="Times New Roman"/>
          <w:b/>
          <w:bCs/>
          <w:noProof/>
          <w:lang w:eastAsia="en-CA"/>
        </w:rPr>
      </w:pPr>
      <w:r w:rsidRPr="00720895">
        <w:rPr>
          <w:rFonts w:ascii="Times New Roman" w:hAnsi="Times New Roman" w:cs="Times New Roman"/>
          <w:b/>
          <w:bCs/>
          <w:noProof/>
          <w:lang w:eastAsia="en-CA"/>
        </w:rPr>
        <w:br w:type="page"/>
      </w:r>
    </w:p>
    <w:p w14:paraId="64438F2F" w14:textId="77777777" w:rsidR="00E16C3E" w:rsidRPr="00720895" w:rsidRDefault="00E16C3E" w:rsidP="00E16C3E">
      <w:pPr>
        <w:spacing w:line="360" w:lineRule="auto"/>
        <w:jc w:val="center"/>
        <w:rPr>
          <w:rFonts w:ascii="Times New Roman" w:hAnsi="Times New Roman" w:cs="Times New Roman"/>
          <w:b/>
          <w:bCs/>
        </w:rPr>
      </w:pPr>
      <w:r>
        <w:rPr>
          <w:rFonts w:ascii="Times New Roman" w:hAnsi="Times New Roman" w:cs="Times New Roman"/>
          <w:b/>
          <w:bCs/>
          <w:noProof/>
        </w:rPr>
        <w:lastRenderedPageBreak/>
        <w:drawing>
          <wp:inline distT="0" distB="0" distL="0" distR="0" wp14:anchorId="58553E69" wp14:editId="5948275F">
            <wp:extent cx="5943600" cy="62953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0">
                      <a:extLst>
                        <a:ext uri="{28A0092B-C50C-407E-A947-70E740481C1C}">
                          <a14:useLocalDpi xmlns:a14="http://schemas.microsoft.com/office/drawing/2010/main" val="0"/>
                        </a:ext>
                      </a:extLst>
                    </a:blip>
                    <a:stretch>
                      <a:fillRect/>
                    </a:stretch>
                  </pic:blipFill>
                  <pic:spPr>
                    <a:xfrm>
                      <a:off x="0" y="0"/>
                      <a:ext cx="5943600" cy="6295390"/>
                    </a:xfrm>
                    <a:prstGeom prst="rect">
                      <a:avLst/>
                    </a:prstGeom>
                  </pic:spPr>
                </pic:pic>
              </a:graphicData>
            </a:graphic>
          </wp:inline>
        </w:drawing>
      </w:r>
    </w:p>
    <w:p w14:paraId="0ED8FAAF" w14:textId="58C8D302" w:rsidR="00E16C3E" w:rsidRPr="00CB21C8" w:rsidRDefault="00E16C3E" w:rsidP="00E16C3E">
      <w:pPr>
        <w:spacing w:line="360" w:lineRule="auto"/>
        <w:jc w:val="both"/>
        <w:rPr>
          <w:rFonts w:ascii="Times New Roman" w:hAnsi="Times New Roman" w:cs="Times New Roman"/>
          <w:sz w:val="20"/>
          <w:szCs w:val="20"/>
        </w:rPr>
      </w:pPr>
      <w:r>
        <w:rPr>
          <w:rFonts w:ascii="Times New Roman" w:hAnsi="Times New Roman" w:cs="Times New Roman"/>
          <w:b/>
          <w:bCs/>
          <w:noProof/>
        </w:rPr>
        <w:lastRenderedPageBreak/>
        <w:drawing>
          <wp:inline distT="0" distB="0" distL="0" distR="0" wp14:anchorId="401B5090" wp14:editId="72EE711C">
            <wp:extent cx="5943600" cy="4563745"/>
            <wp:effectExtent l="0" t="0" r="0" b="8255"/>
            <wp:docPr id="12" name="Picture 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ell phon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4563745"/>
                    </a:xfrm>
                    <a:prstGeom prst="rect">
                      <a:avLst/>
                    </a:prstGeom>
                  </pic:spPr>
                </pic:pic>
              </a:graphicData>
            </a:graphic>
          </wp:inline>
        </w:drawing>
      </w:r>
      <w:r w:rsidRPr="00CB21C8">
        <w:rPr>
          <w:rFonts w:ascii="Times New Roman" w:hAnsi="Times New Roman" w:cs="Times New Roman"/>
          <w:b/>
          <w:bCs/>
          <w:sz w:val="20"/>
          <w:szCs w:val="20"/>
        </w:rPr>
        <w:t>Fig</w:t>
      </w:r>
      <w:r w:rsidR="00484F14">
        <w:rPr>
          <w:rFonts w:ascii="Times New Roman" w:hAnsi="Times New Roman" w:cs="Times New Roman"/>
          <w:b/>
          <w:bCs/>
          <w:sz w:val="20"/>
          <w:szCs w:val="20"/>
        </w:rPr>
        <w:t>ure</w:t>
      </w:r>
      <w:r w:rsidRPr="00CB21C8">
        <w:rPr>
          <w:rFonts w:ascii="Times New Roman" w:hAnsi="Times New Roman" w:cs="Times New Roman"/>
          <w:b/>
          <w:bCs/>
          <w:sz w:val="20"/>
          <w:szCs w:val="20"/>
        </w:rPr>
        <w:t xml:space="preserve"> S</w:t>
      </w:r>
      <w:r w:rsidR="00CB21C8">
        <w:rPr>
          <w:rFonts w:ascii="Times New Roman" w:hAnsi="Times New Roman" w:cs="Times New Roman"/>
          <w:b/>
          <w:bCs/>
          <w:sz w:val="20"/>
          <w:szCs w:val="20"/>
        </w:rPr>
        <w:t>1</w:t>
      </w:r>
      <w:r w:rsidR="002C0286">
        <w:rPr>
          <w:rFonts w:ascii="Times New Roman" w:hAnsi="Times New Roman" w:cs="Times New Roman"/>
          <w:b/>
          <w:bCs/>
          <w:sz w:val="20"/>
          <w:szCs w:val="20"/>
        </w:rPr>
        <w:t>4</w:t>
      </w:r>
      <w:r w:rsidRPr="00CB21C8">
        <w:rPr>
          <w:rFonts w:ascii="Times New Roman" w:hAnsi="Times New Roman" w:cs="Times New Roman"/>
          <w:b/>
          <w:bCs/>
          <w:sz w:val="20"/>
          <w:szCs w:val="20"/>
        </w:rPr>
        <w:t>.</w:t>
      </w:r>
      <w:r w:rsidRPr="00CB21C8">
        <w:rPr>
          <w:rFonts w:ascii="Times New Roman" w:hAnsi="Times New Roman" w:cs="Times New Roman"/>
          <w:sz w:val="20"/>
          <w:szCs w:val="20"/>
        </w:rPr>
        <w:t xml:space="preserve"> Intermediates OER mechanism (a) for </w:t>
      </w:r>
      <w:r w:rsidRPr="00CB21C8">
        <w:rPr>
          <w:rFonts w:ascii="Times New Roman" w:hAnsi="Times New Roman" w:cs="Times New Roman"/>
          <w:color w:val="000000"/>
          <w:sz w:val="20"/>
          <w:szCs w:val="20"/>
        </w:rPr>
        <w:t>Ni-</w:t>
      </w:r>
      <w:r w:rsidRPr="00CB21C8">
        <w:rPr>
          <w:rFonts w:ascii="Times New Roman" w:hAnsi="Times New Roman"/>
          <w:sz w:val="20"/>
          <w:szCs w:val="20"/>
        </w:rPr>
        <w:t>Se</w:t>
      </w:r>
      <w:r w:rsidRPr="00CB21C8">
        <w:rPr>
          <w:rFonts w:ascii="Times New Roman" w:hAnsi="Times New Roman"/>
          <w:sz w:val="20"/>
          <w:szCs w:val="20"/>
          <w:vertAlign w:val="subscript"/>
        </w:rPr>
        <w:t>vac</w:t>
      </w:r>
      <w:r w:rsidRPr="00CB21C8">
        <w:rPr>
          <w:rFonts w:ascii="Times New Roman" w:hAnsi="Times New Roman" w:cs="Times New Roman"/>
          <w:sz w:val="20"/>
          <w:szCs w:val="20"/>
        </w:rPr>
        <w:t xml:space="preserve">, </w:t>
      </w:r>
      <w:r w:rsidRPr="00CB21C8">
        <w:rPr>
          <w:rFonts w:ascii="Times New Roman" w:hAnsi="Times New Roman" w:cs="Times New Roman"/>
          <w:color w:val="000000"/>
          <w:sz w:val="20"/>
          <w:szCs w:val="20"/>
        </w:rPr>
        <w:t>Ni-Co-Se</w:t>
      </w:r>
      <w:r w:rsidRPr="00CB21C8" w:rsidDel="002D0ACD">
        <w:rPr>
          <w:rFonts w:ascii="Times New Roman" w:hAnsi="Times New Roman" w:cs="Times New Roman"/>
          <w:sz w:val="20"/>
          <w:szCs w:val="20"/>
        </w:rPr>
        <w:t xml:space="preserve"> </w:t>
      </w:r>
      <w:r w:rsidRPr="00CB21C8">
        <w:rPr>
          <w:rFonts w:ascii="Times New Roman" w:hAnsi="Times New Roman" w:cs="Times New Roman"/>
          <w:sz w:val="20"/>
          <w:szCs w:val="20"/>
        </w:rPr>
        <w:t xml:space="preserve">with species reacting at (b) Ni site and (c) Co site, and (d) </w:t>
      </w:r>
      <w:r w:rsidRPr="00CB21C8">
        <w:rPr>
          <w:rFonts w:ascii="Times New Roman" w:hAnsi="Times New Roman" w:cs="Times New Roman"/>
          <w:color w:val="000000"/>
          <w:sz w:val="20"/>
          <w:szCs w:val="20"/>
        </w:rPr>
        <w:t>Ni-Co-</w:t>
      </w:r>
      <w:r w:rsidRPr="00CB21C8">
        <w:rPr>
          <w:rFonts w:ascii="Times New Roman" w:hAnsi="Times New Roman"/>
          <w:sz w:val="20"/>
          <w:szCs w:val="20"/>
        </w:rPr>
        <w:t>Se</w:t>
      </w:r>
      <w:r w:rsidRPr="00CB21C8">
        <w:rPr>
          <w:rFonts w:ascii="Times New Roman" w:hAnsi="Times New Roman"/>
          <w:sz w:val="20"/>
          <w:szCs w:val="20"/>
          <w:vertAlign w:val="subscript"/>
        </w:rPr>
        <w:t>vac</w:t>
      </w:r>
      <w:r w:rsidRPr="00CB21C8" w:rsidDel="002D0ACD">
        <w:rPr>
          <w:rFonts w:ascii="Times New Roman" w:hAnsi="Times New Roman" w:cs="Times New Roman"/>
          <w:sz w:val="20"/>
          <w:szCs w:val="20"/>
        </w:rPr>
        <w:t xml:space="preserve"> </w:t>
      </w:r>
      <w:r w:rsidRPr="00CB21C8">
        <w:rPr>
          <w:rFonts w:ascii="Times New Roman" w:hAnsi="Times New Roman" w:cs="Times New Roman"/>
          <w:sz w:val="20"/>
          <w:szCs w:val="20"/>
        </w:rPr>
        <w:t xml:space="preserve">on NiSe (101) surface. (f) Potential energy of reaction for </w:t>
      </w:r>
      <w:r w:rsidRPr="00CB21C8">
        <w:rPr>
          <w:rFonts w:ascii="Times New Roman" w:hAnsi="Times New Roman" w:cs="Times New Roman"/>
          <w:color w:val="000000"/>
          <w:sz w:val="20"/>
          <w:szCs w:val="20"/>
        </w:rPr>
        <w:t>Ni-Se, Ni-</w:t>
      </w:r>
      <w:r w:rsidRPr="00CB21C8">
        <w:rPr>
          <w:rFonts w:ascii="Times New Roman" w:hAnsi="Times New Roman"/>
          <w:sz w:val="20"/>
          <w:szCs w:val="20"/>
        </w:rPr>
        <w:t>Se</w:t>
      </w:r>
      <w:r w:rsidRPr="00CB21C8">
        <w:rPr>
          <w:rFonts w:ascii="Times New Roman" w:hAnsi="Times New Roman"/>
          <w:sz w:val="20"/>
          <w:szCs w:val="20"/>
          <w:vertAlign w:val="subscript"/>
        </w:rPr>
        <w:t>vac</w:t>
      </w:r>
      <w:r w:rsidRPr="00CB21C8">
        <w:rPr>
          <w:rFonts w:ascii="Times New Roman" w:hAnsi="Times New Roman" w:cs="Times New Roman"/>
          <w:color w:val="000000"/>
          <w:sz w:val="20"/>
          <w:szCs w:val="20"/>
        </w:rPr>
        <w:t>, Ni-Co-Se, and Ni-Co-</w:t>
      </w:r>
      <w:r w:rsidRPr="00CB21C8">
        <w:rPr>
          <w:rFonts w:ascii="Times New Roman" w:hAnsi="Times New Roman"/>
          <w:sz w:val="20"/>
          <w:szCs w:val="20"/>
        </w:rPr>
        <w:t>Se</w:t>
      </w:r>
      <w:r w:rsidRPr="00CB21C8">
        <w:rPr>
          <w:rFonts w:ascii="Times New Roman" w:hAnsi="Times New Roman"/>
          <w:sz w:val="20"/>
          <w:szCs w:val="20"/>
          <w:vertAlign w:val="subscript"/>
        </w:rPr>
        <w:t>vac</w:t>
      </w:r>
      <w:r w:rsidRPr="00CB21C8">
        <w:rPr>
          <w:rFonts w:ascii="Times New Roman" w:hAnsi="Times New Roman" w:cs="Times New Roman"/>
          <w:sz w:val="20"/>
          <w:szCs w:val="20"/>
        </w:rPr>
        <w:t xml:space="preserve">. Nickel, selenium, cobalt, oxygen, and hydrogen atoms are given in blue, yellow, green, red, and white, respectively. </w:t>
      </w:r>
    </w:p>
    <w:p w14:paraId="3515C1AC" w14:textId="77777777" w:rsidR="00E16C3E" w:rsidRPr="00CB21C8" w:rsidRDefault="00E16C3E" w:rsidP="00E16C3E">
      <w:pPr>
        <w:rPr>
          <w:rFonts w:ascii="Times New Roman" w:hAnsi="Times New Roman" w:cs="Times New Roman"/>
          <w:sz w:val="20"/>
          <w:szCs w:val="20"/>
        </w:rPr>
      </w:pPr>
      <w:r w:rsidRPr="00CB21C8">
        <w:rPr>
          <w:rFonts w:ascii="Times New Roman" w:hAnsi="Times New Roman" w:cs="Times New Roman"/>
          <w:sz w:val="20"/>
          <w:szCs w:val="20"/>
        </w:rPr>
        <w:br w:type="page"/>
      </w:r>
    </w:p>
    <w:p w14:paraId="1EB3C2DF" w14:textId="66884583" w:rsidR="00E16C3E" w:rsidRPr="002C0286" w:rsidRDefault="00E16C3E" w:rsidP="002C0286">
      <w:pPr>
        <w:spacing w:line="360" w:lineRule="auto"/>
        <w:jc w:val="center"/>
        <w:rPr>
          <w:rFonts w:ascii="Times New Roman" w:hAnsi="Times New Roman" w:cs="Times New Roman"/>
          <w:sz w:val="20"/>
          <w:szCs w:val="20"/>
        </w:rPr>
      </w:pPr>
      <w:r w:rsidRPr="002C0286">
        <w:rPr>
          <w:rFonts w:ascii="Times New Roman" w:hAnsi="Times New Roman" w:cs="Times New Roman"/>
          <w:b/>
          <w:bCs/>
          <w:sz w:val="20"/>
          <w:szCs w:val="20"/>
        </w:rPr>
        <w:lastRenderedPageBreak/>
        <w:t>Table S</w:t>
      </w:r>
      <w:r w:rsidR="00CB21C8" w:rsidRPr="002C0286">
        <w:rPr>
          <w:rFonts w:ascii="Times New Roman" w:hAnsi="Times New Roman" w:cs="Times New Roman"/>
          <w:b/>
          <w:bCs/>
          <w:sz w:val="20"/>
          <w:szCs w:val="20"/>
        </w:rPr>
        <w:t>5</w:t>
      </w:r>
      <w:r w:rsidRPr="002C0286">
        <w:rPr>
          <w:rFonts w:ascii="Times New Roman" w:hAnsi="Times New Roman" w:cs="Times New Roman"/>
          <w:b/>
          <w:bCs/>
          <w:sz w:val="20"/>
          <w:szCs w:val="20"/>
        </w:rPr>
        <w:t xml:space="preserve">. </w:t>
      </w:r>
      <w:r w:rsidRPr="002C0286">
        <w:rPr>
          <w:rFonts w:ascii="Times New Roman" w:hAnsi="Times New Roman" w:cs="Times New Roman"/>
          <w:sz w:val="20"/>
          <w:szCs w:val="20"/>
        </w:rPr>
        <w:t xml:space="preserve">Interatomic distance of Ni-O (Å) for OER mechanism intermediates for </w:t>
      </w:r>
      <w:r w:rsidRPr="002C0286">
        <w:rPr>
          <w:rFonts w:ascii="Times New Roman" w:hAnsi="Times New Roman" w:cs="Times New Roman"/>
          <w:color w:val="000000"/>
          <w:sz w:val="20"/>
          <w:szCs w:val="20"/>
        </w:rPr>
        <w:t>Ni-Se, Ni-</w:t>
      </w:r>
      <w:r w:rsidRPr="002C0286">
        <w:rPr>
          <w:rFonts w:ascii="Times New Roman" w:hAnsi="Times New Roman"/>
          <w:sz w:val="20"/>
          <w:szCs w:val="20"/>
        </w:rPr>
        <w:t>Se</w:t>
      </w:r>
      <w:r w:rsidRPr="002C0286">
        <w:rPr>
          <w:rFonts w:ascii="Times New Roman" w:hAnsi="Times New Roman"/>
          <w:sz w:val="20"/>
          <w:szCs w:val="20"/>
          <w:vertAlign w:val="subscript"/>
        </w:rPr>
        <w:t>vac</w:t>
      </w:r>
      <w:r w:rsidRPr="002C0286">
        <w:rPr>
          <w:rFonts w:ascii="Times New Roman" w:hAnsi="Times New Roman" w:cs="Times New Roman"/>
          <w:color w:val="000000"/>
          <w:sz w:val="20"/>
          <w:szCs w:val="20"/>
        </w:rPr>
        <w:t>, Ni-Co-Se, and Ni-Co-</w:t>
      </w:r>
      <w:r w:rsidRPr="002C0286">
        <w:rPr>
          <w:rFonts w:ascii="Times New Roman" w:hAnsi="Times New Roman"/>
          <w:sz w:val="20"/>
          <w:szCs w:val="20"/>
        </w:rPr>
        <w:t>Se</w:t>
      </w:r>
      <w:r w:rsidRPr="002C0286">
        <w:rPr>
          <w:rFonts w:ascii="Times New Roman" w:hAnsi="Times New Roman"/>
          <w:sz w:val="20"/>
          <w:szCs w:val="20"/>
          <w:vertAlign w:val="subscript"/>
        </w:rPr>
        <w:t xml:space="preserve">vac </w:t>
      </w:r>
      <w:r w:rsidRPr="002C0286">
        <w:rPr>
          <w:rFonts w:ascii="Times New Roman" w:hAnsi="Times New Roman" w:cs="Times New Roman"/>
          <w:sz w:val="20"/>
          <w:szCs w:val="20"/>
        </w:rPr>
        <w:t>surfaces with species reacting at Ni and Co sites.</w:t>
      </w:r>
    </w:p>
    <w:tbl>
      <w:tblPr>
        <w:tblStyle w:val="TableGrid"/>
        <w:tblW w:w="9639"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63"/>
        <w:gridCol w:w="1092"/>
        <w:gridCol w:w="754"/>
        <w:gridCol w:w="1171"/>
        <w:gridCol w:w="1134"/>
        <w:gridCol w:w="1275"/>
        <w:gridCol w:w="1433"/>
        <w:gridCol w:w="1417"/>
      </w:tblGrid>
      <w:tr w:rsidR="00E16C3E" w:rsidRPr="00720895" w14:paraId="4C9ED0FC" w14:textId="77777777" w:rsidTr="00F86403">
        <w:trPr>
          <w:jc w:val="center"/>
        </w:trPr>
        <w:tc>
          <w:tcPr>
            <w:tcW w:w="1363" w:type="dxa"/>
            <w:tcBorders>
              <w:bottom w:val="single" w:sz="4" w:space="0" w:color="auto"/>
            </w:tcBorders>
            <w:vAlign w:val="center"/>
          </w:tcPr>
          <w:p w14:paraId="7147A140" w14:textId="77777777" w:rsidR="00E16C3E" w:rsidRPr="00720895" w:rsidRDefault="00E16C3E" w:rsidP="00F86403">
            <w:pPr>
              <w:spacing w:line="360" w:lineRule="auto"/>
              <w:jc w:val="center"/>
              <w:rPr>
                <w:rFonts w:ascii="Times New Roman" w:hAnsi="Times New Roman" w:cs="Times New Roman"/>
                <w:sz w:val="20"/>
                <w:szCs w:val="20"/>
              </w:rPr>
            </w:pPr>
          </w:p>
        </w:tc>
        <w:tc>
          <w:tcPr>
            <w:tcW w:w="1092" w:type="dxa"/>
            <w:tcBorders>
              <w:bottom w:val="single" w:sz="4" w:space="0" w:color="auto"/>
            </w:tcBorders>
            <w:vAlign w:val="center"/>
          </w:tcPr>
          <w:p w14:paraId="640215F3" w14:textId="77777777" w:rsidR="00E16C3E" w:rsidRPr="00720895" w:rsidRDefault="00E16C3E" w:rsidP="00F86403">
            <w:pPr>
              <w:spacing w:line="360" w:lineRule="auto"/>
              <w:jc w:val="center"/>
              <w:rPr>
                <w:rFonts w:ascii="Times New Roman" w:hAnsi="Times New Roman" w:cs="Times New Roman"/>
                <w:sz w:val="20"/>
                <w:szCs w:val="20"/>
              </w:rPr>
            </w:pPr>
          </w:p>
        </w:tc>
        <w:tc>
          <w:tcPr>
            <w:tcW w:w="4334" w:type="dxa"/>
            <w:gridSpan w:val="4"/>
            <w:tcBorders>
              <w:bottom w:val="single" w:sz="4" w:space="0" w:color="auto"/>
            </w:tcBorders>
            <w:vAlign w:val="center"/>
          </w:tcPr>
          <w:p w14:paraId="3F10F54D"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Interatomic distance (Å)</w:t>
            </w:r>
          </w:p>
        </w:tc>
        <w:tc>
          <w:tcPr>
            <w:tcW w:w="1433" w:type="dxa"/>
            <w:tcBorders>
              <w:bottom w:val="single" w:sz="4" w:space="0" w:color="auto"/>
            </w:tcBorders>
            <w:vAlign w:val="center"/>
          </w:tcPr>
          <w:p w14:paraId="089F65A4" w14:textId="77777777" w:rsidR="00E16C3E" w:rsidRPr="00720895" w:rsidRDefault="00E16C3E" w:rsidP="00F86403">
            <w:pPr>
              <w:spacing w:line="360" w:lineRule="auto"/>
              <w:jc w:val="center"/>
              <w:rPr>
                <w:rFonts w:ascii="Times New Roman" w:hAnsi="Times New Roman" w:cs="Times New Roman"/>
                <w:sz w:val="20"/>
                <w:szCs w:val="20"/>
              </w:rPr>
            </w:pPr>
          </w:p>
        </w:tc>
        <w:tc>
          <w:tcPr>
            <w:tcW w:w="1417" w:type="dxa"/>
            <w:tcBorders>
              <w:bottom w:val="single" w:sz="4" w:space="0" w:color="auto"/>
            </w:tcBorders>
            <w:vAlign w:val="center"/>
          </w:tcPr>
          <w:p w14:paraId="660AEFCF" w14:textId="77777777" w:rsidR="00E16C3E" w:rsidRPr="00720895" w:rsidRDefault="00E16C3E" w:rsidP="00F86403">
            <w:pPr>
              <w:spacing w:line="360" w:lineRule="auto"/>
              <w:jc w:val="center"/>
              <w:rPr>
                <w:rFonts w:ascii="Times New Roman" w:hAnsi="Times New Roman" w:cs="Times New Roman"/>
                <w:sz w:val="20"/>
                <w:szCs w:val="20"/>
              </w:rPr>
            </w:pPr>
          </w:p>
        </w:tc>
      </w:tr>
      <w:tr w:rsidR="00E16C3E" w:rsidRPr="00720895" w14:paraId="02E1F5B9" w14:textId="77777777" w:rsidTr="00F86403">
        <w:trPr>
          <w:jc w:val="center"/>
        </w:trPr>
        <w:tc>
          <w:tcPr>
            <w:tcW w:w="1363" w:type="dxa"/>
            <w:tcBorders>
              <w:top w:val="single" w:sz="4" w:space="0" w:color="auto"/>
              <w:bottom w:val="single" w:sz="4" w:space="0" w:color="auto"/>
            </w:tcBorders>
            <w:vAlign w:val="center"/>
          </w:tcPr>
          <w:p w14:paraId="03C425E6"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Structure</w:t>
            </w:r>
          </w:p>
        </w:tc>
        <w:tc>
          <w:tcPr>
            <w:tcW w:w="1092" w:type="dxa"/>
            <w:tcBorders>
              <w:top w:val="single" w:sz="4" w:space="0" w:color="auto"/>
              <w:bottom w:val="single" w:sz="4" w:space="0" w:color="auto"/>
            </w:tcBorders>
            <w:vAlign w:val="center"/>
          </w:tcPr>
          <w:p w14:paraId="16EE8D92" w14:textId="77777777" w:rsidR="00E16C3E" w:rsidRPr="00720895" w:rsidRDefault="00E16C3E" w:rsidP="00F86403">
            <w:pPr>
              <w:spacing w:line="360" w:lineRule="auto"/>
              <w:jc w:val="center"/>
              <w:rPr>
                <w:rFonts w:ascii="Times New Roman" w:hAnsi="Times New Roman" w:cs="Times New Roman"/>
                <w:sz w:val="20"/>
                <w:szCs w:val="20"/>
              </w:rPr>
            </w:pPr>
          </w:p>
        </w:tc>
        <w:tc>
          <w:tcPr>
            <w:tcW w:w="754" w:type="dxa"/>
            <w:tcBorders>
              <w:top w:val="single" w:sz="4" w:space="0" w:color="auto"/>
              <w:bottom w:val="single" w:sz="4" w:space="0" w:color="auto"/>
            </w:tcBorders>
            <w:vAlign w:val="center"/>
          </w:tcPr>
          <w:p w14:paraId="58B9E989"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sz w:val="20"/>
                <w:szCs w:val="20"/>
              </w:rPr>
              <w:t>Ni-O</w:t>
            </w:r>
          </w:p>
          <w:p w14:paraId="6F412241"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sz w:val="20"/>
                <w:szCs w:val="20"/>
              </w:rPr>
              <w:t>Ni-Se</w:t>
            </w:r>
          </w:p>
        </w:tc>
        <w:tc>
          <w:tcPr>
            <w:tcW w:w="1171" w:type="dxa"/>
            <w:tcBorders>
              <w:top w:val="single" w:sz="4" w:space="0" w:color="auto"/>
              <w:bottom w:val="single" w:sz="4" w:space="0" w:color="auto"/>
            </w:tcBorders>
            <w:vAlign w:val="center"/>
          </w:tcPr>
          <w:p w14:paraId="30CC10A0"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sz w:val="20"/>
                <w:szCs w:val="20"/>
              </w:rPr>
              <w:t>Ni-O</w:t>
            </w:r>
          </w:p>
          <w:p w14:paraId="1FA68B17"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color w:val="000000"/>
                <w:sz w:val="20"/>
                <w:szCs w:val="20"/>
              </w:rPr>
              <w:t>Ni-</w:t>
            </w:r>
            <w:r w:rsidRPr="00D34D03">
              <w:rPr>
                <w:rFonts w:ascii="Times New Roman" w:hAnsi="Times New Roman"/>
                <w:sz w:val="20"/>
                <w:szCs w:val="20"/>
              </w:rPr>
              <w:t>Se</w:t>
            </w:r>
            <w:r w:rsidRPr="00D34D03">
              <w:rPr>
                <w:rFonts w:ascii="Times New Roman" w:hAnsi="Times New Roman"/>
                <w:sz w:val="20"/>
                <w:szCs w:val="20"/>
                <w:vertAlign w:val="subscript"/>
              </w:rPr>
              <w:t>vac</w:t>
            </w:r>
          </w:p>
        </w:tc>
        <w:tc>
          <w:tcPr>
            <w:tcW w:w="1134" w:type="dxa"/>
            <w:tcBorders>
              <w:top w:val="single" w:sz="4" w:space="0" w:color="auto"/>
              <w:bottom w:val="single" w:sz="4" w:space="0" w:color="auto"/>
            </w:tcBorders>
            <w:vAlign w:val="center"/>
          </w:tcPr>
          <w:p w14:paraId="5332B756"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sz w:val="20"/>
                <w:szCs w:val="20"/>
              </w:rPr>
              <w:t>Ni-O</w:t>
            </w:r>
          </w:p>
          <w:p w14:paraId="5BB0511B"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color w:val="000000"/>
                <w:sz w:val="20"/>
                <w:szCs w:val="20"/>
              </w:rPr>
              <w:t>Ni-Co-Se</w:t>
            </w:r>
            <w:r w:rsidRPr="00D34D03" w:rsidDel="002D0ACD">
              <w:rPr>
                <w:rFonts w:ascii="Times New Roman" w:hAnsi="Times New Roman" w:cs="Times New Roman"/>
                <w:sz w:val="20"/>
                <w:szCs w:val="20"/>
              </w:rPr>
              <w:t xml:space="preserve"> </w:t>
            </w:r>
            <w:r w:rsidRPr="00D34D03">
              <w:rPr>
                <w:rFonts w:ascii="Times New Roman" w:hAnsi="Times New Roman" w:cs="Times New Roman"/>
                <w:sz w:val="20"/>
                <w:szCs w:val="20"/>
              </w:rPr>
              <w:t>(Ni Site)</w:t>
            </w:r>
          </w:p>
        </w:tc>
        <w:tc>
          <w:tcPr>
            <w:tcW w:w="1275" w:type="dxa"/>
            <w:tcBorders>
              <w:top w:val="single" w:sz="4" w:space="0" w:color="auto"/>
              <w:bottom w:val="single" w:sz="4" w:space="0" w:color="auto"/>
            </w:tcBorders>
            <w:vAlign w:val="center"/>
          </w:tcPr>
          <w:p w14:paraId="1624641C"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sz w:val="20"/>
                <w:szCs w:val="20"/>
              </w:rPr>
              <w:t>Ni-O</w:t>
            </w:r>
          </w:p>
          <w:p w14:paraId="0D213DD9"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color w:val="000000"/>
                <w:sz w:val="20"/>
                <w:szCs w:val="20"/>
              </w:rPr>
              <w:t>Ni-Co-Se</w:t>
            </w:r>
            <w:r w:rsidRPr="00D34D03" w:rsidDel="002D0ACD">
              <w:rPr>
                <w:rFonts w:ascii="Times New Roman" w:hAnsi="Times New Roman" w:cs="Times New Roman"/>
                <w:sz w:val="20"/>
                <w:szCs w:val="20"/>
              </w:rPr>
              <w:t xml:space="preserve"> </w:t>
            </w:r>
            <w:r w:rsidRPr="00D34D03">
              <w:rPr>
                <w:rFonts w:ascii="Times New Roman" w:hAnsi="Times New Roman" w:cs="Times New Roman"/>
                <w:sz w:val="20"/>
                <w:szCs w:val="20"/>
              </w:rPr>
              <w:t>(Co Site)</w:t>
            </w:r>
          </w:p>
        </w:tc>
        <w:tc>
          <w:tcPr>
            <w:tcW w:w="1433" w:type="dxa"/>
            <w:tcBorders>
              <w:top w:val="single" w:sz="4" w:space="0" w:color="auto"/>
              <w:bottom w:val="single" w:sz="4" w:space="0" w:color="auto"/>
            </w:tcBorders>
            <w:vAlign w:val="center"/>
          </w:tcPr>
          <w:p w14:paraId="4F4E5FBC"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sz w:val="20"/>
                <w:szCs w:val="20"/>
              </w:rPr>
              <w:t>Ni-O</w:t>
            </w:r>
          </w:p>
          <w:p w14:paraId="0CBB8817" w14:textId="77777777" w:rsidR="00E16C3E" w:rsidRPr="00D34D03" w:rsidRDefault="00E16C3E" w:rsidP="00F86403">
            <w:pPr>
              <w:spacing w:line="360" w:lineRule="auto"/>
              <w:jc w:val="both"/>
              <w:rPr>
                <w:rFonts w:ascii="Times New Roman" w:hAnsi="Times New Roman" w:cs="Times New Roman"/>
                <w:sz w:val="20"/>
                <w:szCs w:val="20"/>
              </w:rPr>
            </w:pPr>
            <w:r w:rsidRPr="00D34D03">
              <w:rPr>
                <w:rFonts w:ascii="Times New Roman" w:hAnsi="Times New Roman" w:cs="Times New Roman"/>
                <w:color w:val="000000"/>
                <w:sz w:val="20"/>
                <w:szCs w:val="20"/>
              </w:rPr>
              <w:t>Ni-Co-</w:t>
            </w:r>
            <w:r w:rsidRPr="00D34D03">
              <w:rPr>
                <w:rFonts w:ascii="Times New Roman" w:hAnsi="Times New Roman"/>
                <w:sz w:val="20"/>
                <w:szCs w:val="20"/>
              </w:rPr>
              <w:t>Se</w:t>
            </w:r>
            <w:r w:rsidRPr="00D34D03">
              <w:rPr>
                <w:rFonts w:ascii="Times New Roman" w:hAnsi="Times New Roman"/>
                <w:sz w:val="20"/>
                <w:szCs w:val="20"/>
                <w:vertAlign w:val="subscript"/>
              </w:rPr>
              <w:t>vac</w:t>
            </w:r>
          </w:p>
          <w:p w14:paraId="11609733"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sz w:val="20"/>
                <w:szCs w:val="20"/>
              </w:rPr>
              <w:t>(Ni Site)</w:t>
            </w:r>
          </w:p>
        </w:tc>
        <w:tc>
          <w:tcPr>
            <w:tcW w:w="1417" w:type="dxa"/>
            <w:tcBorders>
              <w:top w:val="single" w:sz="4" w:space="0" w:color="auto"/>
              <w:bottom w:val="single" w:sz="4" w:space="0" w:color="auto"/>
            </w:tcBorders>
            <w:vAlign w:val="center"/>
          </w:tcPr>
          <w:p w14:paraId="419545E3"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sz w:val="20"/>
                <w:szCs w:val="20"/>
              </w:rPr>
              <w:t>Ni-O</w:t>
            </w:r>
          </w:p>
          <w:p w14:paraId="16A6DE73" w14:textId="77777777" w:rsidR="00E16C3E" w:rsidRPr="00D34D03" w:rsidRDefault="00E16C3E" w:rsidP="00F86403">
            <w:pPr>
              <w:spacing w:line="360" w:lineRule="auto"/>
              <w:jc w:val="both"/>
              <w:rPr>
                <w:rFonts w:ascii="Times New Roman" w:hAnsi="Times New Roman" w:cs="Times New Roman"/>
                <w:sz w:val="20"/>
                <w:szCs w:val="20"/>
              </w:rPr>
            </w:pPr>
            <w:r w:rsidRPr="00D34D03">
              <w:rPr>
                <w:rFonts w:ascii="Times New Roman" w:hAnsi="Times New Roman" w:cs="Times New Roman"/>
                <w:color w:val="000000"/>
                <w:sz w:val="20"/>
                <w:szCs w:val="20"/>
              </w:rPr>
              <w:t>Ni-Co-</w:t>
            </w:r>
            <w:r w:rsidRPr="00D34D03">
              <w:rPr>
                <w:rFonts w:ascii="Times New Roman" w:hAnsi="Times New Roman"/>
                <w:sz w:val="20"/>
                <w:szCs w:val="20"/>
              </w:rPr>
              <w:t>Se</w:t>
            </w:r>
            <w:r w:rsidRPr="00D34D03">
              <w:rPr>
                <w:rFonts w:ascii="Times New Roman" w:hAnsi="Times New Roman"/>
                <w:sz w:val="20"/>
                <w:szCs w:val="20"/>
                <w:vertAlign w:val="subscript"/>
              </w:rPr>
              <w:t>vac</w:t>
            </w:r>
          </w:p>
          <w:p w14:paraId="1AB0921C"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sz w:val="20"/>
                <w:szCs w:val="20"/>
              </w:rPr>
              <w:t>(Co Site)</w:t>
            </w:r>
          </w:p>
        </w:tc>
      </w:tr>
      <w:tr w:rsidR="00E16C3E" w:rsidRPr="00720895" w14:paraId="2DCB0ABC" w14:textId="77777777" w:rsidTr="00F86403">
        <w:trPr>
          <w:jc w:val="center"/>
        </w:trPr>
        <w:tc>
          <w:tcPr>
            <w:tcW w:w="1363" w:type="dxa"/>
            <w:vMerge w:val="restart"/>
            <w:tcBorders>
              <w:top w:val="single" w:sz="4" w:space="0" w:color="auto"/>
            </w:tcBorders>
            <w:vAlign w:val="center"/>
          </w:tcPr>
          <w:p w14:paraId="319C5A81"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NiSe (001)</w:t>
            </w:r>
          </w:p>
        </w:tc>
        <w:tc>
          <w:tcPr>
            <w:tcW w:w="1092" w:type="dxa"/>
            <w:tcBorders>
              <w:top w:val="single" w:sz="4" w:space="0" w:color="auto"/>
            </w:tcBorders>
            <w:vAlign w:val="center"/>
          </w:tcPr>
          <w:p w14:paraId="5648C55B"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H</w:t>
            </w:r>
            <w:r w:rsidRPr="00720895">
              <w:rPr>
                <w:rFonts w:ascii="Times New Roman" w:hAnsi="Times New Roman" w:cs="Times New Roman"/>
                <w:sz w:val="20"/>
                <w:szCs w:val="20"/>
                <w:vertAlign w:val="subscript"/>
              </w:rPr>
              <w:t>2</w:t>
            </w:r>
            <w:r w:rsidRPr="00720895">
              <w:rPr>
                <w:rFonts w:ascii="Times New Roman" w:hAnsi="Times New Roman" w:cs="Times New Roman"/>
                <w:sz w:val="20"/>
                <w:szCs w:val="20"/>
              </w:rPr>
              <w:t>O</w:t>
            </w:r>
          </w:p>
        </w:tc>
        <w:tc>
          <w:tcPr>
            <w:tcW w:w="754" w:type="dxa"/>
            <w:tcBorders>
              <w:top w:val="single" w:sz="4" w:space="0" w:color="auto"/>
            </w:tcBorders>
            <w:vAlign w:val="center"/>
          </w:tcPr>
          <w:p w14:paraId="40C81145"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4.323</w:t>
            </w:r>
          </w:p>
        </w:tc>
        <w:tc>
          <w:tcPr>
            <w:tcW w:w="1171" w:type="dxa"/>
            <w:tcBorders>
              <w:top w:val="single" w:sz="4" w:space="0" w:color="auto"/>
            </w:tcBorders>
            <w:vAlign w:val="center"/>
          </w:tcPr>
          <w:p w14:paraId="564B5C68"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2.169</w:t>
            </w:r>
          </w:p>
        </w:tc>
        <w:tc>
          <w:tcPr>
            <w:tcW w:w="1134" w:type="dxa"/>
            <w:tcBorders>
              <w:top w:val="single" w:sz="4" w:space="0" w:color="auto"/>
            </w:tcBorders>
            <w:vAlign w:val="center"/>
          </w:tcPr>
          <w:p w14:paraId="2424E18B"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4.039</w:t>
            </w:r>
          </w:p>
        </w:tc>
        <w:tc>
          <w:tcPr>
            <w:tcW w:w="1275" w:type="dxa"/>
            <w:tcBorders>
              <w:top w:val="single" w:sz="4" w:space="0" w:color="auto"/>
            </w:tcBorders>
          </w:tcPr>
          <w:p w14:paraId="35ED4A38"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5.247</w:t>
            </w:r>
          </w:p>
        </w:tc>
        <w:tc>
          <w:tcPr>
            <w:tcW w:w="1433" w:type="dxa"/>
            <w:tcBorders>
              <w:top w:val="single" w:sz="4" w:space="0" w:color="auto"/>
            </w:tcBorders>
          </w:tcPr>
          <w:p w14:paraId="6B450D13"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2.265</w:t>
            </w:r>
          </w:p>
        </w:tc>
        <w:tc>
          <w:tcPr>
            <w:tcW w:w="1417" w:type="dxa"/>
            <w:tcBorders>
              <w:top w:val="single" w:sz="4" w:space="0" w:color="auto"/>
            </w:tcBorders>
            <w:vAlign w:val="center"/>
          </w:tcPr>
          <w:p w14:paraId="53137DB9"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4.120</w:t>
            </w:r>
          </w:p>
        </w:tc>
      </w:tr>
      <w:tr w:rsidR="00E16C3E" w:rsidRPr="00720895" w14:paraId="0DAF13B8" w14:textId="77777777" w:rsidTr="00F86403">
        <w:trPr>
          <w:jc w:val="center"/>
        </w:trPr>
        <w:tc>
          <w:tcPr>
            <w:tcW w:w="1363" w:type="dxa"/>
            <w:vMerge/>
            <w:vAlign w:val="center"/>
          </w:tcPr>
          <w:p w14:paraId="616790AE" w14:textId="77777777" w:rsidR="00E16C3E" w:rsidRPr="00720895" w:rsidRDefault="00E16C3E" w:rsidP="00F86403">
            <w:pPr>
              <w:spacing w:line="360" w:lineRule="auto"/>
              <w:jc w:val="center"/>
              <w:rPr>
                <w:rFonts w:ascii="Times New Roman" w:hAnsi="Times New Roman" w:cs="Times New Roman"/>
                <w:sz w:val="20"/>
                <w:szCs w:val="20"/>
              </w:rPr>
            </w:pPr>
          </w:p>
        </w:tc>
        <w:tc>
          <w:tcPr>
            <w:tcW w:w="1092" w:type="dxa"/>
            <w:vAlign w:val="center"/>
          </w:tcPr>
          <w:p w14:paraId="5D2660DD"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OH</w:t>
            </w:r>
          </w:p>
        </w:tc>
        <w:tc>
          <w:tcPr>
            <w:tcW w:w="754" w:type="dxa"/>
            <w:vAlign w:val="center"/>
          </w:tcPr>
          <w:p w14:paraId="245EEF94"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3.486</w:t>
            </w:r>
          </w:p>
        </w:tc>
        <w:tc>
          <w:tcPr>
            <w:tcW w:w="1171" w:type="dxa"/>
            <w:vAlign w:val="center"/>
          </w:tcPr>
          <w:p w14:paraId="6919CCD1"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2.179</w:t>
            </w:r>
          </w:p>
        </w:tc>
        <w:tc>
          <w:tcPr>
            <w:tcW w:w="1134" w:type="dxa"/>
            <w:vAlign w:val="center"/>
          </w:tcPr>
          <w:p w14:paraId="1DD355C7"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3.653</w:t>
            </w:r>
          </w:p>
        </w:tc>
        <w:tc>
          <w:tcPr>
            <w:tcW w:w="1275" w:type="dxa"/>
          </w:tcPr>
          <w:p w14:paraId="4F8E83B1"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4.994</w:t>
            </w:r>
          </w:p>
        </w:tc>
        <w:tc>
          <w:tcPr>
            <w:tcW w:w="1433" w:type="dxa"/>
          </w:tcPr>
          <w:p w14:paraId="295EF352"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2.265</w:t>
            </w:r>
          </w:p>
        </w:tc>
        <w:tc>
          <w:tcPr>
            <w:tcW w:w="1417" w:type="dxa"/>
            <w:vAlign w:val="center"/>
          </w:tcPr>
          <w:p w14:paraId="3AA95859"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3.810</w:t>
            </w:r>
          </w:p>
        </w:tc>
      </w:tr>
      <w:tr w:rsidR="00E16C3E" w:rsidRPr="00720895" w14:paraId="3790CCDB" w14:textId="77777777" w:rsidTr="00F86403">
        <w:trPr>
          <w:jc w:val="center"/>
        </w:trPr>
        <w:tc>
          <w:tcPr>
            <w:tcW w:w="1363" w:type="dxa"/>
            <w:vMerge/>
            <w:vAlign w:val="center"/>
          </w:tcPr>
          <w:p w14:paraId="109434F7" w14:textId="77777777" w:rsidR="00E16C3E" w:rsidRPr="00720895" w:rsidRDefault="00E16C3E" w:rsidP="00F86403">
            <w:pPr>
              <w:spacing w:line="360" w:lineRule="auto"/>
              <w:jc w:val="center"/>
              <w:rPr>
                <w:rFonts w:ascii="Times New Roman" w:hAnsi="Times New Roman" w:cs="Times New Roman"/>
                <w:sz w:val="20"/>
                <w:szCs w:val="20"/>
              </w:rPr>
            </w:pPr>
          </w:p>
        </w:tc>
        <w:tc>
          <w:tcPr>
            <w:tcW w:w="1092" w:type="dxa"/>
            <w:vAlign w:val="center"/>
          </w:tcPr>
          <w:p w14:paraId="20C0A746"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O</w:t>
            </w:r>
          </w:p>
        </w:tc>
        <w:tc>
          <w:tcPr>
            <w:tcW w:w="754" w:type="dxa"/>
            <w:vAlign w:val="center"/>
          </w:tcPr>
          <w:p w14:paraId="19DDDD1B"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3.528</w:t>
            </w:r>
          </w:p>
        </w:tc>
        <w:tc>
          <w:tcPr>
            <w:tcW w:w="1171" w:type="dxa"/>
            <w:vAlign w:val="center"/>
          </w:tcPr>
          <w:p w14:paraId="6F7822E2"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1.942</w:t>
            </w:r>
          </w:p>
        </w:tc>
        <w:tc>
          <w:tcPr>
            <w:tcW w:w="1134" w:type="dxa"/>
            <w:vAlign w:val="center"/>
          </w:tcPr>
          <w:p w14:paraId="6EDF1C47"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3.549</w:t>
            </w:r>
          </w:p>
        </w:tc>
        <w:tc>
          <w:tcPr>
            <w:tcW w:w="1275" w:type="dxa"/>
          </w:tcPr>
          <w:p w14:paraId="004CCA74"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5.025</w:t>
            </w:r>
          </w:p>
        </w:tc>
        <w:tc>
          <w:tcPr>
            <w:tcW w:w="1433" w:type="dxa"/>
          </w:tcPr>
          <w:p w14:paraId="1CFF84F5"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2.042</w:t>
            </w:r>
          </w:p>
        </w:tc>
        <w:tc>
          <w:tcPr>
            <w:tcW w:w="1417" w:type="dxa"/>
            <w:vAlign w:val="center"/>
          </w:tcPr>
          <w:p w14:paraId="119C630E"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3.843</w:t>
            </w:r>
          </w:p>
        </w:tc>
      </w:tr>
      <w:tr w:rsidR="00E16C3E" w:rsidRPr="00720895" w14:paraId="45925CF0" w14:textId="77777777" w:rsidTr="00F86403">
        <w:trPr>
          <w:jc w:val="center"/>
        </w:trPr>
        <w:tc>
          <w:tcPr>
            <w:tcW w:w="1363" w:type="dxa"/>
            <w:vMerge/>
            <w:vAlign w:val="center"/>
          </w:tcPr>
          <w:p w14:paraId="490FACF3" w14:textId="77777777" w:rsidR="00E16C3E" w:rsidRPr="00720895" w:rsidRDefault="00E16C3E" w:rsidP="00F86403">
            <w:pPr>
              <w:spacing w:line="360" w:lineRule="auto"/>
              <w:jc w:val="center"/>
              <w:rPr>
                <w:rFonts w:ascii="Times New Roman" w:hAnsi="Times New Roman" w:cs="Times New Roman"/>
                <w:sz w:val="20"/>
                <w:szCs w:val="20"/>
              </w:rPr>
            </w:pPr>
          </w:p>
        </w:tc>
        <w:tc>
          <w:tcPr>
            <w:tcW w:w="1092" w:type="dxa"/>
            <w:vAlign w:val="center"/>
          </w:tcPr>
          <w:p w14:paraId="796AB360"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OOH</w:t>
            </w:r>
          </w:p>
        </w:tc>
        <w:tc>
          <w:tcPr>
            <w:tcW w:w="754" w:type="dxa"/>
            <w:vAlign w:val="center"/>
          </w:tcPr>
          <w:p w14:paraId="0D70668F"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3.466</w:t>
            </w:r>
          </w:p>
        </w:tc>
        <w:tc>
          <w:tcPr>
            <w:tcW w:w="1171" w:type="dxa"/>
            <w:vAlign w:val="center"/>
          </w:tcPr>
          <w:p w14:paraId="2C1B3904"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2.135</w:t>
            </w:r>
          </w:p>
        </w:tc>
        <w:tc>
          <w:tcPr>
            <w:tcW w:w="1134" w:type="dxa"/>
            <w:vAlign w:val="center"/>
          </w:tcPr>
          <w:p w14:paraId="2B6729B8"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3.641</w:t>
            </w:r>
          </w:p>
        </w:tc>
        <w:tc>
          <w:tcPr>
            <w:tcW w:w="1275" w:type="dxa"/>
          </w:tcPr>
          <w:p w14:paraId="2FB83476"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4.918</w:t>
            </w:r>
          </w:p>
        </w:tc>
        <w:tc>
          <w:tcPr>
            <w:tcW w:w="1433" w:type="dxa"/>
          </w:tcPr>
          <w:p w14:paraId="48C16AAF"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2.278</w:t>
            </w:r>
          </w:p>
        </w:tc>
        <w:tc>
          <w:tcPr>
            <w:tcW w:w="1417" w:type="dxa"/>
            <w:vAlign w:val="center"/>
          </w:tcPr>
          <w:p w14:paraId="3F2690EB"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3.915</w:t>
            </w:r>
          </w:p>
        </w:tc>
      </w:tr>
      <w:tr w:rsidR="00E16C3E" w:rsidRPr="00720895" w14:paraId="19FFD777" w14:textId="77777777" w:rsidTr="00F86403">
        <w:trPr>
          <w:jc w:val="center"/>
        </w:trPr>
        <w:tc>
          <w:tcPr>
            <w:tcW w:w="1363" w:type="dxa"/>
            <w:vMerge/>
            <w:tcBorders>
              <w:bottom w:val="single" w:sz="4" w:space="0" w:color="auto"/>
            </w:tcBorders>
            <w:vAlign w:val="center"/>
          </w:tcPr>
          <w:p w14:paraId="1B044DAA" w14:textId="77777777" w:rsidR="00E16C3E" w:rsidRPr="00720895" w:rsidRDefault="00E16C3E" w:rsidP="00F86403">
            <w:pPr>
              <w:spacing w:line="360" w:lineRule="auto"/>
              <w:jc w:val="center"/>
              <w:rPr>
                <w:rFonts w:ascii="Times New Roman" w:hAnsi="Times New Roman" w:cs="Times New Roman"/>
                <w:sz w:val="20"/>
                <w:szCs w:val="20"/>
              </w:rPr>
            </w:pPr>
          </w:p>
        </w:tc>
        <w:tc>
          <w:tcPr>
            <w:tcW w:w="1092" w:type="dxa"/>
            <w:tcBorders>
              <w:bottom w:val="single" w:sz="4" w:space="0" w:color="auto"/>
            </w:tcBorders>
            <w:vAlign w:val="center"/>
          </w:tcPr>
          <w:p w14:paraId="0F242A82"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O</w:t>
            </w:r>
            <w:r w:rsidRPr="00720895">
              <w:rPr>
                <w:rFonts w:ascii="Times New Roman" w:hAnsi="Times New Roman" w:cs="Times New Roman"/>
                <w:sz w:val="20"/>
                <w:szCs w:val="20"/>
                <w:vertAlign w:val="subscript"/>
              </w:rPr>
              <w:t>2</w:t>
            </w:r>
          </w:p>
        </w:tc>
        <w:tc>
          <w:tcPr>
            <w:tcW w:w="754" w:type="dxa"/>
            <w:tcBorders>
              <w:bottom w:val="single" w:sz="4" w:space="0" w:color="auto"/>
            </w:tcBorders>
            <w:vAlign w:val="center"/>
          </w:tcPr>
          <w:p w14:paraId="797F7618"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4.953</w:t>
            </w:r>
          </w:p>
        </w:tc>
        <w:tc>
          <w:tcPr>
            <w:tcW w:w="1171" w:type="dxa"/>
            <w:tcBorders>
              <w:bottom w:val="single" w:sz="4" w:space="0" w:color="auto"/>
            </w:tcBorders>
            <w:vAlign w:val="center"/>
          </w:tcPr>
          <w:p w14:paraId="29E271C1"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2.148</w:t>
            </w:r>
          </w:p>
        </w:tc>
        <w:tc>
          <w:tcPr>
            <w:tcW w:w="1134" w:type="dxa"/>
            <w:tcBorders>
              <w:bottom w:val="single" w:sz="4" w:space="0" w:color="auto"/>
            </w:tcBorders>
            <w:vAlign w:val="center"/>
          </w:tcPr>
          <w:p w14:paraId="6F32B67A"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4.933</w:t>
            </w:r>
          </w:p>
        </w:tc>
        <w:tc>
          <w:tcPr>
            <w:tcW w:w="1275" w:type="dxa"/>
            <w:tcBorders>
              <w:bottom w:val="single" w:sz="4" w:space="0" w:color="auto"/>
            </w:tcBorders>
          </w:tcPr>
          <w:p w14:paraId="078F5D76"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5.878</w:t>
            </w:r>
          </w:p>
        </w:tc>
        <w:tc>
          <w:tcPr>
            <w:tcW w:w="1433" w:type="dxa"/>
            <w:tcBorders>
              <w:bottom w:val="single" w:sz="4" w:space="0" w:color="auto"/>
            </w:tcBorders>
          </w:tcPr>
          <w:p w14:paraId="22012427"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2.794</w:t>
            </w:r>
          </w:p>
        </w:tc>
        <w:tc>
          <w:tcPr>
            <w:tcW w:w="1417" w:type="dxa"/>
            <w:tcBorders>
              <w:bottom w:val="single" w:sz="4" w:space="0" w:color="auto"/>
            </w:tcBorders>
            <w:vAlign w:val="center"/>
          </w:tcPr>
          <w:p w14:paraId="20D4AD0F"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3.859</w:t>
            </w:r>
          </w:p>
        </w:tc>
      </w:tr>
      <w:tr w:rsidR="00E16C3E" w:rsidRPr="00720895" w14:paraId="004EBC23" w14:textId="77777777" w:rsidTr="00F86403">
        <w:trPr>
          <w:jc w:val="center"/>
        </w:trPr>
        <w:tc>
          <w:tcPr>
            <w:tcW w:w="1363" w:type="dxa"/>
            <w:vMerge w:val="restart"/>
            <w:tcBorders>
              <w:top w:val="single" w:sz="4" w:space="0" w:color="auto"/>
            </w:tcBorders>
            <w:vAlign w:val="center"/>
          </w:tcPr>
          <w:p w14:paraId="06F9C0DB"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NiSe (</w:t>
            </w:r>
            <w:r>
              <w:rPr>
                <w:rFonts w:ascii="Times New Roman" w:hAnsi="Times New Roman" w:cs="Times New Roman"/>
                <w:sz w:val="20"/>
                <w:szCs w:val="20"/>
              </w:rPr>
              <w:t>101</w:t>
            </w:r>
            <w:r w:rsidRPr="00720895">
              <w:rPr>
                <w:rFonts w:ascii="Times New Roman" w:hAnsi="Times New Roman" w:cs="Times New Roman"/>
                <w:sz w:val="20"/>
                <w:szCs w:val="20"/>
              </w:rPr>
              <w:t>)</w:t>
            </w:r>
          </w:p>
        </w:tc>
        <w:tc>
          <w:tcPr>
            <w:tcW w:w="1092" w:type="dxa"/>
            <w:tcBorders>
              <w:top w:val="single" w:sz="4" w:space="0" w:color="auto"/>
            </w:tcBorders>
            <w:vAlign w:val="center"/>
          </w:tcPr>
          <w:p w14:paraId="3668561E"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H</w:t>
            </w:r>
            <w:r w:rsidRPr="00720895">
              <w:rPr>
                <w:rFonts w:ascii="Times New Roman" w:hAnsi="Times New Roman" w:cs="Times New Roman"/>
                <w:sz w:val="20"/>
                <w:szCs w:val="20"/>
                <w:vertAlign w:val="subscript"/>
              </w:rPr>
              <w:t>2</w:t>
            </w:r>
            <w:r w:rsidRPr="00720895">
              <w:rPr>
                <w:rFonts w:ascii="Times New Roman" w:hAnsi="Times New Roman" w:cs="Times New Roman"/>
                <w:sz w:val="20"/>
                <w:szCs w:val="20"/>
              </w:rPr>
              <w:t>O</w:t>
            </w:r>
          </w:p>
        </w:tc>
        <w:tc>
          <w:tcPr>
            <w:tcW w:w="754" w:type="dxa"/>
            <w:tcBorders>
              <w:top w:val="single" w:sz="4" w:space="0" w:color="auto"/>
            </w:tcBorders>
            <w:vAlign w:val="bottom"/>
          </w:tcPr>
          <w:p w14:paraId="5BBC9E74"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3.727</w:t>
            </w:r>
          </w:p>
        </w:tc>
        <w:tc>
          <w:tcPr>
            <w:tcW w:w="1171" w:type="dxa"/>
            <w:tcBorders>
              <w:top w:val="single" w:sz="4" w:space="0" w:color="auto"/>
            </w:tcBorders>
            <w:vAlign w:val="center"/>
          </w:tcPr>
          <w:p w14:paraId="6E17B502"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3.525</w:t>
            </w:r>
          </w:p>
        </w:tc>
        <w:tc>
          <w:tcPr>
            <w:tcW w:w="1134" w:type="dxa"/>
            <w:tcBorders>
              <w:top w:val="single" w:sz="4" w:space="0" w:color="auto"/>
            </w:tcBorders>
            <w:vAlign w:val="bottom"/>
          </w:tcPr>
          <w:p w14:paraId="1E880B02"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3.5456</w:t>
            </w:r>
          </w:p>
        </w:tc>
        <w:tc>
          <w:tcPr>
            <w:tcW w:w="1275" w:type="dxa"/>
            <w:tcBorders>
              <w:top w:val="single" w:sz="4" w:space="0" w:color="auto"/>
            </w:tcBorders>
            <w:vAlign w:val="bottom"/>
          </w:tcPr>
          <w:p w14:paraId="641B1A2D"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4.797</w:t>
            </w:r>
          </w:p>
        </w:tc>
        <w:tc>
          <w:tcPr>
            <w:tcW w:w="2850" w:type="dxa"/>
            <w:gridSpan w:val="2"/>
            <w:vMerge w:val="restart"/>
            <w:tcBorders>
              <w:top w:val="single" w:sz="4" w:space="0" w:color="auto"/>
            </w:tcBorders>
            <w:vAlign w:val="bottom"/>
          </w:tcPr>
          <w:p w14:paraId="7EC81100"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E74E6F">
              <w:rPr>
                <w:rFonts w:ascii="Times New Roman" w:hAnsi="Times New Roman" w:cs="Times New Roman"/>
                <w:color w:val="000000"/>
                <w:sz w:val="20"/>
                <w:szCs w:val="20"/>
              </w:rPr>
              <w:t>3.266</w:t>
            </w:r>
            <w:r>
              <w:rPr>
                <w:rFonts w:ascii="Times New Roman" w:hAnsi="Times New Roman" w:cs="Times New Roman"/>
                <w:color w:val="000000"/>
                <w:sz w:val="20"/>
                <w:szCs w:val="20"/>
              </w:rPr>
              <w:t>*</w:t>
            </w:r>
          </w:p>
          <w:p w14:paraId="5C413957"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E74E6F">
              <w:rPr>
                <w:rFonts w:ascii="Times New Roman" w:hAnsi="Times New Roman" w:cs="Times New Roman"/>
                <w:color w:val="000000"/>
                <w:sz w:val="20"/>
                <w:szCs w:val="20"/>
              </w:rPr>
              <w:t>1.912</w:t>
            </w:r>
          </w:p>
          <w:p w14:paraId="4D41A0B0"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E74E6F">
              <w:rPr>
                <w:rFonts w:ascii="Times New Roman" w:hAnsi="Times New Roman" w:cs="Times New Roman"/>
                <w:color w:val="000000"/>
                <w:sz w:val="20"/>
                <w:szCs w:val="20"/>
              </w:rPr>
              <w:t>1.797</w:t>
            </w:r>
          </w:p>
          <w:p w14:paraId="69BE50DC"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E74E6F">
              <w:rPr>
                <w:rFonts w:ascii="Times New Roman" w:hAnsi="Times New Roman" w:cs="Times New Roman"/>
                <w:color w:val="000000"/>
                <w:sz w:val="20"/>
                <w:szCs w:val="20"/>
              </w:rPr>
              <w:t>1.910</w:t>
            </w:r>
          </w:p>
          <w:p w14:paraId="4530E85B" w14:textId="77777777" w:rsidR="00E16C3E" w:rsidRPr="00720895" w:rsidRDefault="00E16C3E" w:rsidP="00F86403">
            <w:pPr>
              <w:spacing w:line="36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1.811</w:t>
            </w:r>
          </w:p>
        </w:tc>
      </w:tr>
      <w:tr w:rsidR="00E16C3E" w:rsidRPr="00720895" w14:paraId="1482713F" w14:textId="77777777" w:rsidTr="00F86403">
        <w:trPr>
          <w:jc w:val="center"/>
        </w:trPr>
        <w:tc>
          <w:tcPr>
            <w:tcW w:w="1363" w:type="dxa"/>
            <w:vMerge/>
            <w:vAlign w:val="center"/>
          </w:tcPr>
          <w:p w14:paraId="67942C5B" w14:textId="77777777" w:rsidR="00E16C3E" w:rsidRPr="00720895" w:rsidRDefault="00E16C3E" w:rsidP="00F86403">
            <w:pPr>
              <w:spacing w:line="360" w:lineRule="auto"/>
              <w:jc w:val="center"/>
              <w:rPr>
                <w:rFonts w:ascii="Times New Roman" w:hAnsi="Times New Roman" w:cs="Times New Roman"/>
                <w:sz w:val="20"/>
                <w:szCs w:val="20"/>
              </w:rPr>
            </w:pPr>
          </w:p>
        </w:tc>
        <w:tc>
          <w:tcPr>
            <w:tcW w:w="1092" w:type="dxa"/>
            <w:vAlign w:val="center"/>
          </w:tcPr>
          <w:p w14:paraId="3A768E41"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OH</w:t>
            </w:r>
          </w:p>
        </w:tc>
        <w:tc>
          <w:tcPr>
            <w:tcW w:w="754" w:type="dxa"/>
            <w:vAlign w:val="bottom"/>
          </w:tcPr>
          <w:p w14:paraId="713C2AC1"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3.355</w:t>
            </w:r>
          </w:p>
        </w:tc>
        <w:tc>
          <w:tcPr>
            <w:tcW w:w="1171" w:type="dxa"/>
            <w:vAlign w:val="center"/>
          </w:tcPr>
          <w:p w14:paraId="2C411178"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1.969</w:t>
            </w:r>
          </w:p>
        </w:tc>
        <w:tc>
          <w:tcPr>
            <w:tcW w:w="1134" w:type="dxa"/>
            <w:vAlign w:val="bottom"/>
          </w:tcPr>
          <w:p w14:paraId="5747FD09"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1.947</w:t>
            </w:r>
          </w:p>
        </w:tc>
        <w:tc>
          <w:tcPr>
            <w:tcW w:w="1275" w:type="dxa"/>
            <w:vAlign w:val="bottom"/>
          </w:tcPr>
          <w:p w14:paraId="7FC3374E"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3.422</w:t>
            </w:r>
          </w:p>
        </w:tc>
        <w:tc>
          <w:tcPr>
            <w:tcW w:w="2850" w:type="dxa"/>
            <w:gridSpan w:val="2"/>
            <w:vMerge/>
            <w:vAlign w:val="bottom"/>
          </w:tcPr>
          <w:p w14:paraId="7F2DA0E5" w14:textId="77777777" w:rsidR="00E16C3E" w:rsidRPr="00720895" w:rsidRDefault="00E16C3E" w:rsidP="00F86403">
            <w:pPr>
              <w:spacing w:line="360" w:lineRule="auto"/>
              <w:jc w:val="center"/>
              <w:rPr>
                <w:rFonts w:ascii="Times New Roman" w:hAnsi="Times New Roman" w:cs="Times New Roman"/>
                <w:color w:val="000000"/>
                <w:sz w:val="20"/>
                <w:szCs w:val="20"/>
              </w:rPr>
            </w:pPr>
          </w:p>
        </w:tc>
      </w:tr>
      <w:tr w:rsidR="00E16C3E" w:rsidRPr="00720895" w14:paraId="2BD505A4" w14:textId="77777777" w:rsidTr="00F86403">
        <w:trPr>
          <w:jc w:val="center"/>
        </w:trPr>
        <w:tc>
          <w:tcPr>
            <w:tcW w:w="1363" w:type="dxa"/>
            <w:vMerge/>
            <w:vAlign w:val="center"/>
          </w:tcPr>
          <w:p w14:paraId="6B3F41B2" w14:textId="77777777" w:rsidR="00E16C3E" w:rsidRPr="00720895" w:rsidRDefault="00E16C3E" w:rsidP="00F86403">
            <w:pPr>
              <w:spacing w:line="360" w:lineRule="auto"/>
              <w:jc w:val="center"/>
              <w:rPr>
                <w:rFonts w:ascii="Times New Roman" w:hAnsi="Times New Roman" w:cs="Times New Roman"/>
                <w:sz w:val="20"/>
                <w:szCs w:val="20"/>
              </w:rPr>
            </w:pPr>
          </w:p>
        </w:tc>
        <w:tc>
          <w:tcPr>
            <w:tcW w:w="1092" w:type="dxa"/>
            <w:vAlign w:val="center"/>
          </w:tcPr>
          <w:p w14:paraId="74C83243"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O</w:t>
            </w:r>
          </w:p>
        </w:tc>
        <w:tc>
          <w:tcPr>
            <w:tcW w:w="754" w:type="dxa"/>
            <w:vAlign w:val="bottom"/>
          </w:tcPr>
          <w:p w14:paraId="3F3D240F"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3.299</w:t>
            </w:r>
          </w:p>
        </w:tc>
        <w:tc>
          <w:tcPr>
            <w:tcW w:w="1171" w:type="dxa"/>
            <w:vAlign w:val="center"/>
          </w:tcPr>
          <w:p w14:paraId="279D26B2"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1.970</w:t>
            </w:r>
          </w:p>
        </w:tc>
        <w:tc>
          <w:tcPr>
            <w:tcW w:w="1134" w:type="dxa"/>
            <w:vAlign w:val="bottom"/>
          </w:tcPr>
          <w:p w14:paraId="52E24CEF"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1.909</w:t>
            </w:r>
          </w:p>
        </w:tc>
        <w:tc>
          <w:tcPr>
            <w:tcW w:w="1275" w:type="dxa"/>
            <w:vAlign w:val="bottom"/>
          </w:tcPr>
          <w:p w14:paraId="4EAE5799"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3.394</w:t>
            </w:r>
          </w:p>
        </w:tc>
        <w:tc>
          <w:tcPr>
            <w:tcW w:w="2850" w:type="dxa"/>
            <w:gridSpan w:val="2"/>
            <w:vMerge/>
            <w:vAlign w:val="bottom"/>
          </w:tcPr>
          <w:p w14:paraId="11635C35" w14:textId="77777777" w:rsidR="00E16C3E" w:rsidRPr="00720895" w:rsidRDefault="00E16C3E" w:rsidP="00F86403">
            <w:pPr>
              <w:spacing w:line="360" w:lineRule="auto"/>
              <w:jc w:val="center"/>
              <w:rPr>
                <w:rFonts w:ascii="Times New Roman" w:hAnsi="Times New Roman" w:cs="Times New Roman"/>
                <w:color w:val="000000"/>
                <w:sz w:val="20"/>
                <w:szCs w:val="20"/>
              </w:rPr>
            </w:pPr>
          </w:p>
        </w:tc>
      </w:tr>
      <w:tr w:rsidR="00E16C3E" w:rsidRPr="00720895" w14:paraId="257637F4" w14:textId="77777777" w:rsidTr="00F86403">
        <w:trPr>
          <w:jc w:val="center"/>
        </w:trPr>
        <w:tc>
          <w:tcPr>
            <w:tcW w:w="1363" w:type="dxa"/>
            <w:vMerge/>
            <w:vAlign w:val="center"/>
          </w:tcPr>
          <w:p w14:paraId="26463ABF" w14:textId="77777777" w:rsidR="00E16C3E" w:rsidRPr="00720895" w:rsidRDefault="00E16C3E" w:rsidP="00F86403">
            <w:pPr>
              <w:spacing w:line="360" w:lineRule="auto"/>
              <w:jc w:val="center"/>
              <w:rPr>
                <w:rFonts w:ascii="Times New Roman" w:hAnsi="Times New Roman" w:cs="Times New Roman"/>
                <w:sz w:val="20"/>
                <w:szCs w:val="20"/>
              </w:rPr>
            </w:pPr>
          </w:p>
        </w:tc>
        <w:tc>
          <w:tcPr>
            <w:tcW w:w="1092" w:type="dxa"/>
            <w:vAlign w:val="center"/>
          </w:tcPr>
          <w:p w14:paraId="6F4886E1"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OOH</w:t>
            </w:r>
          </w:p>
        </w:tc>
        <w:tc>
          <w:tcPr>
            <w:tcW w:w="754" w:type="dxa"/>
            <w:vAlign w:val="bottom"/>
          </w:tcPr>
          <w:p w14:paraId="4C6B493E"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3.291</w:t>
            </w:r>
          </w:p>
        </w:tc>
        <w:tc>
          <w:tcPr>
            <w:tcW w:w="1171" w:type="dxa"/>
            <w:vAlign w:val="center"/>
          </w:tcPr>
          <w:p w14:paraId="4AE5B1C1"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1.995</w:t>
            </w:r>
          </w:p>
        </w:tc>
        <w:tc>
          <w:tcPr>
            <w:tcW w:w="1134" w:type="dxa"/>
            <w:vAlign w:val="bottom"/>
          </w:tcPr>
          <w:p w14:paraId="68E117F8"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1.936</w:t>
            </w:r>
          </w:p>
        </w:tc>
        <w:tc>
          <w:tcPr>
            <w:tcW w:w="1275" w:type="dxa"/>
            <w:vAlign w:val="bottom"/>
          </w:tcPr>
          <w:p w14:paraId="1E6183A6"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3.599</w:t>
            </w:r>
          </w:p>
        </w:tc>
        <w:tc>
          <w:tcPr>
            <w:tcW w:w="2850" w:type="dxa"/>
            <w:gridSpan w:val="2"/>
            <w:vMerge/>
            <w:vAlign w:val="bottom"/>
          </w:tcPr>
          <w:p w14:paraId="1E044921" w14:textId="77777777" w:rsidR="00E16C3E" w:rsidRPr="00720895" w:rsidRDefault="00E16C3E" w:rsidP="00F86403">
            <w:pPr>
              <w:spacing w:line="360" w:lineRule="auto"/>
              <w:jc w:val="center"/>
              <w:rPr>
                <w:rFonts w:ascii="Times New Roman" w:hAnsi="Times New Roman" w:cs="Times New Roman"/>
                <w:color w:val="000000"/>
                <w:sz w:val="20"/>
                <w:szCs w:val="20"/>
              </w:rPr>
            </w:pPr>
          </w:p>
        </w:tc>
      </w:tr>
      <w:tr w:rsidR="00E16C3E" w:rsidRPr="00720895" w14:paraId="7EE074DF" w14:textId="77777777" w:rsidTr="00F86403">
        <w:trPr>
          <w:jc w:val="center"/>
        </w:trPr>
        <w:tc>
          <w:tcPr>
            <w:tcW w:w="1363" w:type="dxa"/>
            <w:vMerge/>
            <w:vAlign w:val="center"/>
          </w:tcPr>
          <w:p w14:paraId="434D51A0" w14:textId="77777777" w:rsidR="00E16C3E" w:rsidRPr="00720895" w:rsidRDefault="00E16C3E" w:rsidP="00F86403">
            <w:pPr>
              <w:spacing w:line="360" w:lineRule="auto"/>
              <w:jc w:val="center"/>
              <w:rPr>
                <w:rFonts w:ascii="Times New Roman" w:hAnsi="Times New Roman" w:cs="Times New Roman"/>
                <w:sz w:val="20"/>
                <w:szCs w:val="20"/>
              </w:rPr>
            </w:pPr>
          </w:p>
        </w:tc>
        <w:tc>
          <w:tcPr>
            <w:tcW w:w="1092" w:type="dxa"/>
            <w:vAlign w:val="center"/>
          </w:tcPr>
          <w:p w14:paraId="084133A1"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O</w:t>
            </w:r>
            <w:r w:rsidRPr="00720895">
              <w:rPr>
                <w:rFonts w:ascii="Times New Roman" w:hAnsi="Times New Roman" w:cs="Times New Roman"/>
                <w:sz w:val="20"/>
                <w:szCs w:val="20"/>
                <w:vertAlign w:val="subscript"/>
              </w:rPr>
              <w:t>2</w:t>
            </w:r>
          </w:p>
        </w:tc>
        <w:tc>
          <w:tcPr>
            <w:tcW w:w="754" w:type="dxa"/>
            <w:vAlign w:val="bottom"/>
          </w:tcPr>
          <w:p w14:paraId="48666C6C"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4.297</w:t>
            </w:r>
          </w:p>
        </w:tc>
        <w:tc>
          <w:tcPr>
            <w:tcW w:w="1171" w:type="dxa"/>
            <w:vAlign w:val="center"/>
          </w:tcPr>
          <w:p w14:paraId="1C5A4946"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1.986</w:t>
            </w:r>
          </w:p>
        </w:tc>
        <w:tc>
          <w:tcPr>
            <w:tcW w:w="1134" w:type="dxa"/>
            <w:vAlign w:val="bottom"/>
          </w:tcPr>
          <w:p w14:paraId="4EB9B455"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2.101</w:t>
            </w:r>
          </w:p>
        </w:tc>
        <w:tc>
          <w:tcPr>
            <w:tcW w:w="1275" w:type="dxa"/>
            <w:vAlign w:val="bottom"/>
          </w:tcPr>
          <w:p w14:paraId="4547F9AB"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4.820</w:t>
            </w:r>
          </w:p>
        </w:tc>
        <w:tc>
          <w:tcPr>
            <w:tcW w:w="2850" w:type="dxa"/>
            <w:gridSpan w:val="2"/>
            <w:vMerge/>
          </w:tcPr>
          <w:p w14:paraId="7541F853" w14:textId="77777777" w:rsidR="00E16C3E" w:rsidRPr="00720895" w:rsidRDefault="00E16C3E" w:rsidP="00F86403">
            <w:pPr>
              <w:spacing w:line="360" w:lineRule="auto"/>
              <w:jc w:val="center"/>
              <w:rPr>
                <w:rFonts w:ascii="Times New Roman" w:hAnsi="Times New Roman" w:cs="Times New Roman"/>
                <w:color w:val="000000"/>
                <w:sz w:val="20"/>
                <w:szCs w:val="20"/>
              </w:rPr>
            </w:pPr>
          </w:p>
        </w:tc>
      </w:tr>
    </w:tbl>
    <w:p w14:paraId="03F07E6F" w14:textId="77777777" w:rsidR="00E16C3E" w:rsidRPr="00720895" w:rsidRDefault="00E16C3E" w:rsidP="00E16C3E">
      <w:pPr>
        <w:spacing w:line="360" w:lineRule="auto"/>
        <w:rPr>
          <w:rFonts w:ascii="Times New Roman" w:hAnsi="Times New Roman" w:cs="Times New Roman"/>
        </w:rPr>
      </w:pPr>
      <w:r w:rsidRPr="002664D6">
        <w:rPr>
          <w:rFonts w:ascii="Times New Roman" w:hAnsi="Times New Roman" w:cs="Times New Roman"/>
          <w:sz w:val="20"/>
          <w:szCs w:val="20"/>
        </w:rPr>
        <w:t>* The distinction between a Ni and a Co site is lost on the Ni-Co-Se</w:t>
      </w:r>
      <w:r w:rsidRPr="002664D6">
        <w:rPr>
          <w:rFonts w:ascii="Times New Roman" w:hAnsi="Times New Roman" w:cs="Times New Roman"/>
          <w:sz w:val="20"/>
          <w:szCs w:val="20"/>
          <w:vertAlign w:val="subscript"/>
        </w:rPr>
        <w:t>vac</w:t>
      </w:r>
      <w:r w:rsidRPr="002664D6">
        <w:rPr>
          <w:rFonts w:ascii="Times New Roman" w:hAnsi="Times New Roman" w:cs="Times New Roman"/>
          <w:sz w:val="20"/>
          <w:szCs w:val="20"/>
        </w:rPr>
        <w:t xml:space="preserve"> (101) surface due to the adsorbed oxygen species filling the Se vacancy and bridging a surface Co and Ni atom.</w:t>
      </w:r>
    </w:p>
    <w:p w14:paraId="3C2F1FB2" w14:textId="77777777" w:rsidR="00E16C3E" w:rsidRPr="00720895" w:rsidRDefault="00E16C3E" w:rsidP="00E16C3E">
      <w:pPr>
        <w:spacing w:line="360" w:lineRule="auto"/>
        <w:rPr>
          <w:rFonts w:ascii="Times New Roman" w:hAnsi="Times New Roman" w:cs="Times New Roman"/>
        </w:rPr>
      </w:pPr>
    </w:p>
    <w:p w14:paraId="76DFD26B" w14:textId="77777777" w:rsidR="00E16C3E" w:rsidRPr="00720895" w:rsidRDefault="00E16C3E" w:rsidP="00E16C3E">
      <w:pPr>
        <w:spacing w:line="360" w:lineRule="auto"/>
        <w:rPr>
          <w:rFonts w:ascii="Times New Roman" w:hAnsi="Times New Roman" w:cs="Times New Roman"/>
        </w:rPr>
      </w:pPr>
    </w:p>
    <w:p w14:paraId="03983C26" w14:textId="77777777" w:rsidR="00E16C3E" w:rsidRPr="00720895" w:rsidRDefault="00E16C3E" w:rsidP="00E16C3E">
      <w:pPr>
        <w:spacing w:line="360" w:lineRule="auto"/>
        <w:rPr>
          <w:rFonts w:ascii="Times New Roman" w:hAnsi="Times New Roman" w:cs="Times New Roman"/>
        </w:rPr>
      </w:pPr>
    </w:p>
    <w:p w14:paraId="0248393A" w14:textId="77777777" w:rsidR="00E16C3E" w:rsidRPr="00720895" w:rsidRDefault="00E16C3E" w:rsidP="00E16C3E">
      <w:pPr>
        <w:spacing w:line="360" w:lineRule="auto"/>
        <w:rPr>
          <w:rFonts w:ascii="Times New Roman" w:hAnsi="Times New Roman" w:cs="Times New Roman"/>
        </w:rPr>
      </w:pPr>
    </w:p>
    <w:p w14:paraId="27C81B1F" w14:textId="77777777" w:rsidR="00E16C3E" w:rsidRPr="00720895" w:rsidRDefault="00E16C3E" w:rsidP="00E16C3E">
      <w:pPr>
        <w:spacing w:line="360" w:lineRule="auto"/>
        <w:rPr>
          <w:rFonts w:ascii="Times New Roman" w:hAnsi="Times New Roman" w:cs="Times New Roman"/>
        </w:rPr>
      </w:pPr>
    </w:p>
    <w:p w14:paraId="42C53ED1" w14:textId="77777777" w:rsidR="00E16C3E" w:rsidRPr="00720895" w:rsidRDefault="00E16C3E" w:rsidP="00E16C3E">
      <w:pPr>
        <w:spacing w:line="360" w:lineRule="auto"/>
        <w:rPr>
          <w:rFonts w:ascii="Times New Roman" w:hAnsi="Times New Roman" w:cs="Times New Roman"/>
        </w:rPr>
      </w:pPr>
    </w:p>
    <w:p w14:paraId="2407BE81" w14:textId="77777777" w:rsidR="00E16C3E" w:rsidRPr="00720895" w:rsidRDefault="00E16C3E" w:rsidP="00E16C3E">
      <w:pPr>
        <w:spacing w:line="360" w:lineRule="auto"/>
        <w:rPr>
          <w:rFonts w:ascii="Times New Roman" w:hAnsi="Times New Roman" w:cs="Times New Roman"/>
        </w:rPr>
      </w:pPr>
    </w:p>
    <w:p w14:paraId="582427E3" w14:textId="77777777" w:rsidR="00E16C3E" w:rsidRPr="00720895" w:rsidRDefault="00E16C3E" w:rsidP="00E16C3E">
      <w:pPr>
        <w:rPr>
          <w:rFonts w:ascii="Times New Roman" w:hAnsi="Times New Roman" w:cs="Times New Roman"/>
        </w:rPr>
      </w:pPr>
      <w:r w:rsidRPr="00720895">
        <w:rPr>
          <w:rFonts w:ascii="Times New Roman" w:hAnsi="Times New Roman" w:cs="Times New Roman"/>
        </w:rPr>
        <w:br w:type="page"/>
      </w:r>
    </w:p>
    <w:p w14:paraId="7E1B252C" w14:textId="630C1C3D" w:rsidR="00E16C3E" w:rsidRPr="002C0286" w:rsidRDefault="00E16C3E" w:rsidP="002C0286">
      <w:pPr>
        <w:spacing w:line="360" w:lineRule="auto"/>
        <w:jc w:val="center"/>
        <w:rPr>
          <w:rFonts w:ascii="Times New Roman" w:hAnsi="Times New Roman" w:cs="Times New Roman"/>
          <w:sz w:val="20"/>
          <w:szCs w:val="20"/>
        </w:rPr>
      </w:pPr>
      <w:r w:rsidRPr="002C0286">
        <w:rPr>
          <w:rFonts w:ascii="Times New Roman" w:hAnsi="Times New Roman" w:cs="Times New Roman"/>
          <w:b/>
          <w:bCs/>
          <w:sz w:val="20"/>
          <w:szCs w:val="20"/>
        </w:rPr>
        <w:lastRenderedPageBreak/>
        <w:t>Table S</w:t>
      </w:r>
      <w:r w:rsidR="00CB21C8" w:rsidRPr="002C0286">
        <w:rPr>
          <w:rFonts w:ascii="Times New Roman" w:hAnsi="Times New Roman" w:cs="Times New Roman"/>
          <w:b/>
          <w:bCs/>
          <w:sz w:val="20"/>
          <w:szCs w:val="20"/>
        </w:rPr>
        <w:t>6</w:t>
      </w:r>
      <w:r w:rsidRPr="002C0286">
        <w:rPr>
          <w:rFonts w:ascii="Times New Roman" w:hAnsi="Times New Roman" w:cs="Times New Roman"/>
          <w:b/>
          <w:bCs/>
          <w:sz w:val="20"/>
          <w:szCs w:val="20"/>
        </w:rPr>
        <w:t xml:space="preserve">. </w:t>
      </w:r>
      <w:r w:rsidRPr="002C0286">
        <w:rPr>
          <w:rFonts w:ascii="Times New Roman" w:hAnsi="Times New Roman" w:cs="Times New Roman"/>
          <w:sz w:val="20"/>
          <w:szCs w:val="20"/>
        </w:rPr>
        <w:t xml:space="preserve">Interatomic distance of Se-O (Å) for OER mechanism intermediates for </w:t>
      </w:r>
      <w:r w:rsidRPr="002C0286">
        <w:rPr>
          <w:rFonts w:ascii="Times New Roman" w:hAnsi="Times New Roman" w:cs="Times New Roman"/>
          <w:color w:val="000000"/>
          <w:sz w:val="20"/>
          <w:szCs w:val="20"/>
        </w:rPr>
        <w:t>Ni-Se, Ni-</w:t>
      </w:r>
      <w:r w:rsidRPr="002C0286">
        <w:rPr>
          <w:rFonts w:ascii="Times New Roman" w:hAnsi="Times New Roman"/>
          <w:sz w:val="20"/>
          <w:szCs w:val="20"/>
        </w:rPr>
        <w:t>Se</w:t>
      </w:r>
      <w:r w:rsidRPr="002C0286">
        <w:rPr>
          <w:rFonts w:ascii="Times New Roman" w:hAnsi="Times New Roman"/>
          <w:sz w:val="20"/>
          <w:szCs w:val="20"/>
          <w:vertAlign w:val="subscript"/>
        </w:rPr>
        <w:t>vac</w:t>
      </w:r>
      <w:r w:rsidRPr="002C0286">
        <w:rPr>
          <w:rFonts w:ascii="Times New Roman" w:hAnsi="Times New Roman" w:cs="Times New Roman"/>
          <w:color w:val="000000"/>
          <w:sz w:val="20"/>
          <w:szCs w:val="20"/>
        </w:rPr>
        <w:t>, Ni-Co-Se, and Ni-Co-</w:t>
      </w:r>
      <w:r w:rsidRPr="002C0286">
        <w:rPr>
          <w:rFonts w:ascii="Times New Roman" w:hAnsi="Times New Roman"/>
          <w:sz w:val="20"/>
          <w:szCs w:val="20"/>
        </w:rPr>
        <w:t>Se</w:t>
      </w:r>
      <w:r w:rsidRPr="002C0286">
        <w:rPr>
          <w:rFonts w:ascii="Times New Roman" w:hAnsi="Times New Roman"/>
          <w:sz w:val="20"/>
          <w:szCs w:val="20"/>
          <w:vertAlign w:val="subscript"/>
        </w:rPr>
        <w:t xml:space="preserve">vac </w:t>
      </w:r>
      <w:r w:rsidRPr="002C0286">
        <w:rPr>
          <w:rFonts w:ascii="Times New Roman" w:hAnsi="Times New Roman" w:cs="Times New Roman"/>
          <w:sz w:val="20"/>
          <w:szCs w:val="20"/>
        </w:rPr>
        <w:t>surfaces with species reacting at Ni and Co sites.</w:t>
      </w:r>
    </w:p>
    <w:tbl>
      <w:tblPr>
        <w:tblStyle w:val="TableGrid"/>
        <w:tblW w:w="9498"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64"/>
        <w:gridCol w:w="1094"/>
        <w:gridCol w:w="754"/>
        <w:gridCol w:w="1171"/>
        <w:gridCol w:w="1134"/>
        <w:gridCol w:w="1275"/>
        <w:gridCol w:w="1288"/>
        <w:gridCol w:w="1418"/>
      </w:tblGrid>
      <w:tr w:rsidR="00E16C3E" w:rsidRPr="00720895" w14:paraId="142DF24D" w14:textId="77777777" w:rsidTr="00F86403">
        <w:trPr>
          <w:jc w:val="center"/>
        </w:trPr>
        <w:tc>
          <w:tcPr>
            <w:tcW w:w="1364" w:type="dxa"/>
            <w:tcBorders>
              <w:bottom w:val="single" w:sz="4" w:space="0" w:color="auto"/>
            </w:tcBorders>
            <w:vAlign w:val="center"/>
          </w:tcPr>
          <w:p w14:paraId="726E16E5" w14:textId="77777777" w:rsidR="00E16C3E" w:rsidRPr="00720895" w:rsidRDefault="00E16C3E" w:rsidP="00F86403">
            <w:pPr>
              <w:spacing w:line="360" w:lineRule="auto"/>
              <w:jc w:val="center"/>
              <w:rPr>
                <w:rFonts w:ascii="Times New Roman" w:hAnsi="Times New Roman" w:cs="Times New Roman"/>
                <w:sz w:val="20"/>
                <w:szCs w:val="20"/>
              </w:rPr>
            </w:pPr>
          </w:p>
        </w:tc>
        <w:tc>
          <w:tcPr>
            <w:tcW w:w="1094" w:type="dxa"/>
            <w:tcBorders>
              <w:bottom w:val="single" w:sz="4" w:space="0" w:color="auto"/>
            </w:tcBorders>
            <w:vAlign w:val="center"/>
          </w:tcPr>
          <w:p w14:paraId="04715099" w14:textId="77777777" w:rsidR="00E16C3E" w:rsidRPr="00720895" w:rsidRDefault="00E16C3E" w:rsidP="00F86403">
            <w:pPr>
              <w:spacing w:line="360" w:lineRule="auto"/>
              <w:jc w:val="center"/>
              <w:rPr>
                <w:rFonts w:ascii="Times New Roman" w:hAnsi="Times New Roman" w:cs="Times New Roman"/>
                <w:sz w:val="20"/>
                <w:szCs w:val="20"/>
              </w:rPr>
            </w:pPr>
          </w:p>
        </w:tc>
        <w:tc>
          <w:tcPr>
            <w:tcW w:w="7040" w:type="dxa"/>
            <w:gridSpan w:val="6"/>
            <w:tcBorders>
              <w:bottom w:val="single" w:sz="4" w:space="0" w:color="auto"/>
            </w:tcBorders>
            <w:vAlign w:val="center"/>
          </w:tcPr>
          <w:p w14:paraId="0A2DA55F"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Interatomic distance (Å)</w:t>
            </w:r>
          </w:p>
        </w:tc>
      </w:tr>
      <w:tr w:rsidR="00E16C3E" w:rsidRPr="00720895" w14:paraId="1294816C" w14:textId="77777777" w:rsidTr="00F86403">
        <w:trPr>
          <w:jc w:val="center"/>
        </w:trPr>
        <w:tc>
          <w:tcPr>
            <w:tcW w:w="1364" w:type="dxa"/>
            <w:tcBorders>
              <w:top w:val="single" w:sz="4" w:space="0" w:color="auto"/>
              <w:bottom w:val="single" w:sz="4" w:space="0" w:color="auto"/>
            </w:tcBorders>
            <w:vAlign w:val="center"/>
          </w:tcPr>
          <w:p w14:paraId="41B51DB5"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Structure</w:t>
            </w:r>
          </w:p>
        </w:tc>
        <w:tc>
          <w:tcPr>
            <w:tcW w:w="1094" w:type="dxa"/>
            <w:tcBorders>
              <w:top w:val="single" w:sz="4" w:space="0" w:color="auto"/>
              <w:bottom w:val="single" w:sz="4" w:space="0" w:color="auto"/>
            </w:tcBorders>
            <w:vAlign w:val="center"/>
          </w:tcPr>
          <w:p w14:paraId="5C418943" w14:textId="77777777" w:rsidR="00E16C3E" w:rsidRPr="00720895" w:rsidRDefault="00E16C3E" w:rsidP="00F86403">
            <w:pPr>
              <w:spacing w:line="360" w:lineRule="auto"/>
              <w:jc w:val="center"/>
              <w:rPr>
                <w:rFonts w:ascii="Times New Roman" w:hAnsi="Times New Roman" w:cs="Times New Roman"/>
                <w:sz w:val="20"/>
                <w:szCs w:val="20"/>
              </w:rPr>
            </w:pPr>
          </w:p>
        </w:tc>
        <w:tc>
          <w:tcPr>
            <w:tcW w:w="754" w:type="dxa"/>
            <w:tcBorders>
              <w:top w:val="single" w:sz="4" w:space="0" w:color="auto"/>
              <w:bottom w:val="single" w:sz="4" w:space="0" w:color="auto"/>
            </w:tcBorders>
            <w:vAlign w:val="center"/>
          </w:tcPr>
          <w:p w14:paraId="593BA761"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Se-O</w:t>
            </w:r>
          </w:p>
          <w:p w14:paraId="60911E7C" w14:textId="77777777" w:rsidR="00E16C3E" w:rsidRPr="00720895" w:rsidRDefault="00E16C3E" w:rsidP="00F86403">
            <w:pPr>
              <w:spacing w:line="360" w:lineRule="auto"/>
              <w:jc w:val="center"/>
              <w:rPr>
                <w:rFonts w:ascii="Times New Roman" w:hAnsi="Times New Roman" w:cs="Times New Roman"/>
                <w:sz w:val="20"/>
                <w:szCs w:val="20"/>
              </w:rPr>
            </w:pPr>
            <w:r>
              <w:rPr>
                <w:rFonts w:ascii="Times New Roman" w:hAnsi="Times New Roman" w:cs="Times New Roman"/>
                <w:sz w:val="20"/>
                <w:szCs w:val="20"/>
              </w:rPr>
              <w:t>Ni-Se</w:t>
            </w:r>
          </w:p>
        </w:tc>
        <w:tc>
          <w:tcPr>
            <w:tcW w:w="1171" w:type="dxa"/>
            <w:tcBorders>
              <w:top w:val="single" w:sz="4" w:space="0" w:color="auto"/>
              <w:bottom w:val="single" w:sz="4" w:space="0" w:color="auto"/>
            </w:tcBorders>
            <w:vAlign w:val="center"/>
          </w:tcPr>
          <w:p w14:paraId="3A4B6A9E"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sz w:val="20"/>
                <w:szCs w:val="20"/>
              </w:rPr>
              <w:t>Se-O</w:t>
            </w:r>
          </w:p>
          <w:p w14:paraId="7A45F4A1"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color w:val="000000"/>
                <w:sz w:val="20"/>
                <w:szCs w:val="20"/>
              </w:rPr>
              <w:t>Ni-</w:t>
            </w:r>
            <w:r w:rsidRPr="00D34D03">
              <w:rPr>
                <w:rFonts w:ascii="Times New Roman" w:hAnsi="Times New Roman"/>
                <w:sz w:val="20"/>
                <w:szCs w:val="20"/>
              </w:rPr>
              <w:t>Se</w:t>
            </w:r>
            <w:r w:rsidRPr="00D34D03">
              <w:rPr>
                <w:rFonts w:ascii="Times New Roman" w:hAnsi="Times New Roman"/>
                <w:sz w:val="20"/>
                <w:szCs w:val="20"/>
                <w:vertAlign w:val="subscript"/>
              </w:rPr>
              <w:t>vac</w:t>
            </w:r>
          </w:p>
        </w:tc>
        <w:tc>
          <w:tcPr>
            <w:tcW w:w="1134" w:type="dxa"/>
            <w:tcBorders>
              <w:top w:val="single" w:sz="4" w:space="0" w:color="auto"/>
              <w:bottom w:val="single" w:sz="4" w:space="0" w:color="auto"/>
            </w:tcBorders>
            <w:vAlign w:val="center"/>
          </w:tcPr>
          <w:p w14:paraId="68C6BE65"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sz w:val="20"/>
                <w:szCs w:val="20"/>
              </w:rPr>
              <w:t>Se-O</w:t>
            </w:r>
          </w:p>
          <w:p w14:paraId="2B8316EA"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color w:val="000000"/>
                <w:sz w:val="20"/>
                <w:szCs w:val="20"/>
              </w:rPr>
              <w:t>Ni-Co-Se</w:t>
            </w:r>
            <w:r w:rsidRPr="00D34D03" w:rsidDel="002D0ACD">
              <w:rPr>
                <w:rFonts w:ascii="Times New Roman" w:hAnsi="Times New Roman" w:cs="Times New Roman"/>
                <w:sz w:val="20"/>
                <w:szCs w:val="20"/>
              </w:rPr>
              <w:t xml:space="preserve"> </w:t>
            </w:r>
            <w:r w:rsidRPr="00D34D03">
              <w:rPr>
                <w:rFonts w:ascii="Times New Roman" w:hAnsi="Times New Roman" w:cs="Times New Roman"/>
                <w:sz w:val="20"/>
                <w:szCs w:val="20"/>
              </w:rPr>
              <w:t>(Ni Site)</w:t>
            </w:r>
          </w:p>
        </w:tc>
        <w:tc>
          <w:tcPr>
            <w:tcW w:w="1275" w:type="dxa"/>
            <w:tcBorders>
              <w:top w:val="single" w:sz="4" w:space="0" w:color="auto"/>
              <w:bottom w:val="single" w:sz="4" w:space="0" w:color="auto"/>
            </w:tcBorders>
            <w:vAlign w:val="center"/>
          </w:tcPr>
          <w:p w14:paraId="5F12C9E6"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sz w:val="20"/>
                <w:szCs w:val="20"/>
              </w:rPr>
              <w:t>Se-O</w:t>
            </w:r>
          </w:p>
          <w:p w14:paraId="6ED873EA"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color w:val="000000"/>
                <w:sz w:val="20"/>
                <w:szCs w:val="20"/>
              </w:rPr>
              <w:t>Ni-Co-Se</w:t>
            </w:r>
            <w:r w:rsidRPr="00D34D03" w:rsidDel="002D0ACD">
              <w:rPr>
                <w:rFonts w:ascii="Times New Roman" w:hAnsi="Times New Roman" w:cs="Times New Roman"/>
                <w:sz w:val="20"/>
                <w:szCs w:val="20"/>
              </w:rPr>
              <w:t xml:space="preserve"> </w:t>
            </w:r>
            <w:r w:rsidRPr="00D34D03">
              <w:rPr>
                <w:rFonts w:ascii="Times New Roman" w:hAnsi="Times New Roman" w:cs="Times New Roman"/>
                <w:sz w:val="20"/>
                <w:szCs w:val="20"/>
              </w:rPr>
              <w:t>(Co Site)</w:t>
            </w:r>
          </w:p>
        </w:tc>
        <w:tc>
          <w:tcPr>
            <w:tcW w:w="1288" w:type="dxa"/>
            <w:tcBorders>
              <w:top w:val="single" w:sz="4" w:space="0" w:color="auto"/>
              <w:bottom w:val="single" w:sz="4" w:space="0" w:color="auto"/>
            </w:tcBorders>
            <w:vAlign w:val="center"/>
          </w:tcPr>
          <w:p w14:paraId="00E3BF6A"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sz w:val="20"/>
                <w:szCs w:val="20"/>
              </w:rPr>
              <w:t>Se-O</w:t>
            </w:r>
          </w:p>
          <w:p w14:paraId="3C32EC19" w14:textId="77777777" w:rsidR="00E16C3E" w:rsidRPr="00D34D03" w:rsidRDefault="00E16C3E" w:rsidP="00F86403">
            <w:pPr>
              <w:spacing w:line="360" w:lineRule="auto"/>
              <w:jc w:val="both"/>
              <w:rPr>
                <w:rFonts w:ascii="Times New Roman" w:hAnsi="Times New Roman" w:cs="Times New Roman"/>
                <w:sz w:val="20"/>
                <w:szCs w:val="20"/>
              </w:rPr>
            </w:pPr>
            <w:r w:rsidRPr="00D34D03">
              <w:rPr>
                <w:rFonts w:ascii="Times New Roman" w:hAnsi="Times New Roman" w:cs="Times New Roman"/>
                <w:color w:val="000000"/>
                <w:sz w:val="20"/>
                <w:szCs w:val="20"/>
              </w:rPr>
              <w:t>Ni-Co-</w:t>
            </w:r>
            <w:r w:rsidRPr="00D34D03">
              <w:rPr>
                <w:rFonts w:ascii="Times New Roman" w:hAnsi="Times New Roman"/>
                <w:sz w:val="20"/>
                <w:szCs w:val="20"/>
              </w:rPr>
              <w:t>Se</w:t>
            </w:r>
            <w:r w:rsidRPr="00D34D03">
              <w:rPr>
                <w:rFonts w:ascii="Times New Roman" w:hAnsi="Times New Roman"/>
                <w:sz w:val="20"/>
                <w:szCs w:val="20"/>
                <w:vertAlign w:val="subscript"/>
              </w:rPr>
              <w:t>vac</w:t>
            </w:r>
          </w:p>
          <w:p w14:paraId="08984378"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sz w:val="20"/>
                <w:szCs w:val="20"/>
              </w:rPr>
              <w:t>(Ni Site)</w:t>
            </w:r>
          </w:p>
        </w:tc>
        <w:tc>
          <w:tcPr>
            <w:tcW w:w="1418" w:type="dxa"/>
            <w:tcBorders>
              <w:top w:val="single" w:sz="4" w:space="0" w:color="auto"/>
              <w:bottom w:val="single" w:sz="4" w:space="0" w:color="auto"/>
            </w:tcBorders>
            <w:vAlign w:val="center"/>
          </w:tcPr>
          <w:p w14:paraId="5460FD01"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sz w:val="20"/>
                <w:szCs w:val="20"/>
              </w:rPr>
              <w:t>Se-O</w:t>
            </w:r>
          </w:p>
          <w:p w14:paraId="27D6E1DC" w14:textId="77777777" w:rsidR="00E16C3E" w:rsidRPr="00D34D03" w:rsidRDefault="00E16C3E" w:rsidP="00F86403">
            <w:pPr>
              <w:spacing w:line="360" w:lineRule="auto"/>
              <w:jc w:val="both"/>
              <w:rPr>
                <w:rFonts w:ascii="Times New Roman" w:hAnsi="Times New Roman" w:cs="Times New Roman"/>
                <w:sz w:val="20"/>
                <w:szCs w:val="20"/>
              </w:rPr>
            </w:pPr>
            <w:r w:rsidRPr="00D34D03">
              <w:rPr>
                <w:rFonts w:ascii="Times New Roman" w:hAnsi="Times New Roman" w:cs="Times New Roman"/>
                <w:color w:val="000000"/>
                <w:sz w:val="20"/>
                <w:szCs w:val="20"/>
              </w:rPr>
              <w:t>Ni-Co-</w:t>
            </w:r>
            <w:r w:rsidRPr="00D34D03">
              <w:rPr>
                <w:rFonts w:ascii="Times New Roman" w:hAnsi="Times New Roman"/>
                <w:sz w:val="20"/>
                <w:szCs w:val="20"/>
              </w:rPr>
              <w:t>Se</w:t>
            </w:r>
            <w:r w:rsidRPr="00D34D03">
              <w:rPr>
                <w:rFonts w:ascii="Times New Roman" w:hAnsi="Times New Roman"/>
                <w:sz w:val="20"/>
                <w:szCs w:val="20"/>
                <w:vertAlign w:val="subscript"/>
              </w:rPr>
              <w:t>vac</w:t>
            </w:r>
          </w:p>
          <w:p w14:paraId="79A38E3C"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sz w:val="20"/>
                <w:szCs w:val="20"/>
              </w:rPr>
              <w:t>(Co Site)</w:t>
            </w:r>
          </w:p>
        </w:tc>
      </w:tr>
      <w:tr w:rsidR="00E16C3E" w:rsidRPr="00720895" w14:paraId="2FF96893" w14:textId="77777777" w:rsidTr="00F86403">
        <w:trPr>
          <w:jc w:val="center"/>
        </w:trPr>
        <w:tc>
          <w:tcPr>
            <w:tcW w:w="1364" w:type="dxa"/>
            <w:vMerge w:val="restart"/>
            <w:tcBorders>
              <w:top w:val="single" w:sz="4" w:space="0" w:color="auto"/>
            </w:tcBorders>
            <w:vAlign w:val="center"/>
          </w:tcPr>
          <w:p w14:paraId="6635B5D1"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NiSe (001)</w:t>
            </w:r>
          </w:p>
        </w:tc>
        <w:tc>
          <w:tcPr>
            <w:tcW w:w="1094" w:type="dxa"/>
            <w:tcBorders>
              <w:top w:val="single" w:sz="4" w:space="0" w:color="auto"/>
            </w:tcBorders>
            <w:vAlign w:val="center"/>
          </w:tcPr>
          <w:p w14:paraId="358D0BDC"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H</w:t>
            </w:r>
            <w:r w:rsidRPr="00720895">
              <w:rPr>
                <w:rFonts w:ascii="Times New Roman" w:hAnsi="Times New Roman" w:cs="Times New Roman"/>
                <w:sz w:val="20"/>
                <w:szCs w:val="20"/>
                <w:vertAlign w:val="subscript"/>
              </w:rPr>
              <w:t>2</w:t>
            </w:r>
            <w:r w:rsidRPr="00720895">
              <w:rPr>
                <w:rFonts w:ascii="Times New Roman" w:hAnsi="Times New Roman" w:cs="Times New Roman"/>
                <w:sz w:val="20"/>
                <w:szCs w:val="20"/>
              </w:rPr>
              <w:t>O</w:t>
            </w:r>
          </w:p>
        </w:tc>
        <w:tc>
          <w:tcPr>
            <w:tcW w:w="754" w:type="dxa"/>
            <w:tcBorders>
              <w:top w:val="single" w:sz="4" w:space="0" w:color="auto"/>
            </w:tcBorders>
            <w:vAlign w:val="center"/>
          </w:tcPr>
          <w:p w14:paraId="7F0CD734"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3.463</w:t>
            </w:r>
          </w:p>
        </w:tc>
        <w:tc>
          <w:tcPr>
            <w:tcW w:w="1171" w:type="dxa"/>
            <w:tcBorders>
              <w:top w:val="single" w:sz="4" w:space="0" w:color="auto"/>
            </w:tcBorders>
            <w:vAlign w:val="center"/>
          </w:tcPr>
          <w:p w14:paraId="2AA8CF64"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3.203</w:t>
            </w:r>
          </w:p>
        </w:tc>
        <w:tc>
          <w:tcPr>
            <w:tcW w:w="1134" w:type="dxa"/>
            <w:tcBorders>
              <w:top w:val="single" w:sz="4" w:space="0" w:color="auto"/>
            </w:tcBorders>
            <w:vAlign w:val="center"/>
          </w:tcPr>
          <w:p w14:paraId="2928FF94"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3.554</w:t>
            </w:r>
          </w:p>
        </w:tc>
        <w:tc>
          <w:tcPr>
            <w:tcW w:w="1275" w:type="dxa"/>
            <w:tcBorders>
              <w:top w:val="single" w:sz="4" w:space="0" w:color="auto"/>
            </w:tcBorders>
            <w:vAlign w:val="center"/>
          </w:tcPr>
          <w:p w14:paraId="24E198D9"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3.443</w:t>
            </w:r>
          </w:p>
        </w:tc>
        <w:tc>
          <w:tcPr>
            <w:tcW w:w="1288" w:type="dxa"/>
            <w:tcBorders>
              <w:top w:val="single" w:sz="4" w:space="0" w:color="auto"/>
            </w:tcBorders>
            <w:vAlign w:val="center"/>
          </w:tcPr>
          <w:p w14:paraId="7DB18CA1"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3.338</w:t>
            </w:r>
          </w:p>
        </w:tc>
        <w:tc>
          <w:tcPr>
            <w:tcW w:w="1418" w:type="dxa"/>
            <w:tcBorders>
              <w:top w:val="single" w:sz="4" w:space="0" w:color="auto"/>
            </w:tcBorders>
            <w:vAlign w:val="center"/>
          </w:tcPr>
          <w:p w14:paraId="1F6CE77D"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3.175</w:t>
            </w:r>
          </w:p>
        </w:tc>
      </w:tr>
      <w:tr w:rsidR="00E16C3E" w:rsidRPr="00720895" w14:paraId="6E878DB2" w14:textId="77777777" w:rsidTr="00F86403">
        <w:trPr>
          <w:jc w:val="center"/>
        </w:trPr>
        <w:tc>
          <w:tcPr>
            <w:tcW w:w="1364" w:type="dxa"/>
            <w:vMerge/>
            <w:vAlign w:val="center"/>
          </w:tcPr>
          <w:p w14:paraId="0E2D91CB" w14:textId="77777777" w:rsidR="00E16C3E" w:rsidRPr="00720895" w:rsidRDefault="00E16C3E" w:rsidP="00F86403">
            <w:pPr>
              <w:spacing w:line="360" w:lineRule="auto"/>
              <w:jc w:val="center"/>
              <w:rPr>
                <w:rFonts w:ascii="Times New Roman" w:hAnsi="Times New Roman" w:cs="Times New Roman"/>
                <w:sz w:val="20"/>
                <w:szCs w:val="20"/>
              </w:rPr>
            </w:pPr>
          </w:p>
        </w:tc>
        <w:tc>
          <w:tcPr>
            <w:tcW w:w="1094" w:type="dxa"/>
            <w:vAlign w:val="center"/>
          </w:tcPr>
          <w:p w14:paraId="053EC9AE"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OH</w:t>
            </w:r>
          </w:p>
        </w:tc>
        <w:tc>
          <w:tcPr>
            <w:tcW w:w="754" w:type="dxa"/>
            <w:vAlign w:val="center"/>
          </w:tcPr>
          <w:p w14:paraId="54CBBCC6"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1.871</w:t>
            </w:r>
          </w:p>
        </w:tc>
        <w:tc>
          <w:tcPr>
            <w:tcW w:w="1171" w:type="dxa"/>
            <w:vAlign w:val="center"/>
          </w:tcPr>
          <w:p w14:paraId="2715EA59"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2.926</w:t>
            </w:r>
          </w:p>
        </w:tc>
        <w:tc>
          <w:tcPr>
            <w:tcW w:w="1134" w:type="dxa"/>
            <w:vAlign w:val="center"/>
          </w:tcPr>
          <w:p w14:paraId="0ECC19D3"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1.878</w:t>
            </w:r>
          </w:p>
        </w:tc>
        <w:tc>
          <w:tcPr>
            <w:tcW w:w="1275" w:type="dxa"/>
            <w:vAlign w:val="center"/>
          </w:tcPr>
          <w:p w14:paraId="47075DB0"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1.874</w:t>
            </w:r>
          </w:p>
        </w:tc>
        <w:tc>
          <w:tcPr>
            <w:tcW w:w="1288" w:type="dxa"/>
            <w:vAlign w:val="center"/>
          </w:tcPr>
          <w:p w14:paraId="00A1FEF6"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2.879</w:t>
            </w:r>
          </w:p>
        </w:tc>
        <w:tc>
          <w:tcPr>
            <w:tcW w:w="1418" w:type="dxa"/>
            <w:vAlign w:val="center"/>
          </w:tcPr>
          <w:p w14:paraId="61BEC48F"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2.752</w:t>
            </w:r>
          </w:p>
        </w:tc>
      </w:tr>
      <w:tr w:rsidR="00E16C3E" w:rsidRPr="00720895" w14:paraId="5ACC4CD8" w14:textId="77777777" w:rsidTr="00F86403">
        <w:trPr>
          <w:jc w:val="center"/>
        </w:trPr>
        <w:tc>
          <w:tcPr>
            <w:tcW w:w="1364" w:type="dxa"/>
            <w:vMerge/>
            <w:vAlign w:val="center"/>
          </w:tcPr>
          <w:p w14:paraId="6153D29C" w14:textId="77777777" w:rsidR="00E16C3E" w:rsidRPr="00720895" w:rsidRDefault="00E16C3E" w:rsidP="00F86403">
            <w:pPr>
              <w:spacing w:line="360" w:lineRule="auto"/>
              <w:jc w:val="center"/>
              <w:rPr>
                <w:rFonts w:ascii="Times New Roman" w:hAnsi="Times New Roman" w:cs="Times New Roman"/>
                <w:sz w:val="20"/>
                <w:szCs w:val="20"/>
              </w:rPr>
            </w:pPr>
          </w:p>
        </w:tc>
        <w:tc>
          <w:tcPr>
            <w:tcW w:w="1094" w:type="dxa"/>
            <w:vAlign w:val="center"/>
          </w:tcPr>
          <w:p w14:paraId="67C388B4"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O</w:t>
            </w:r>
          </w:p>
        </w:tc>
        <w:tc>
          <w:tcPr>
            <w:tcW w:w="754" w:type="dxa"/>
            <w:vAlign w:val="center"/>
          </w:tcPr>
          <w:p w14:paraId="53606005"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1.684</w:t>
            </w:r>
          </w:p>
        </w:tc>
        <w:tc>
          <w:tcPr>
            <w:tcW w:w="1171" w:type="dxa"/>
            <w:vAlign w:val="center"/>
          </w:tcPr>
          <w:p w14:paraId="3350789C"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2.788</w:t>
            </w:r>
          </w:p>
        </w:tc>
        <w:tc>
          <w:tcPr>
            <w:tcW w:w="1134" w:type="dxa"/>
            <w:vAlign w:val="center"/>
          </w:tcPr>
          <w:p w14:paraId="312FB584"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1.684</w:t>
            </w:r>
          </w:p>
        </w:tc>
        <w:tc>
          <w:tcPr>
            <w:tcW w:w="1275" w:type="dxa"/>
            <w:vAlign w:val="center"/>
          </w:tcPr>
          <w:p w14:paraId="0E534F50"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1.687</w:t>
            </w:r>
          </w:p>
        </w:tc>
        <w:tc>
          <w:tcPr>
            <w:tcW w:w="1288" w:type="dxa"/>
            <w:vAlign w:val="center"/>
          </w:tcPr>
          <w:p w14:paraId="2D16790B"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2.804</w:t>
            </w:r>
          </w:p>
        </w:tc>
        <w:tc>
          <w:tcPr>
            <w:tcW w:w="1418" w:type="dxa"/>
            <w:vAlign w:val="center"/>
          </w:tcPr>
          <w:p w14:paraId="522E71B0"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2.884</w:t>
            </w:r>
          </w:p>
        </w:tc>
      </w:tr>
      <w:tr w:rsidR="00E16C3E" w:rsidRPr="00720895" w14:paraId="06CE7873" w14:textId="77777777" w:rsidTr="00F86403">
        <w:trPr>
          <w:jc w:val="center"/>
        </w:trPr>
        <w:tc>
          <w:tcPr>
            <w:tcW w:w="1364" w:type="dxa"/>
            <w:vMerge/>
            <w:vAlign w:val="center"/>
          </w:tcPr>
          <w:p w14:paraId="6AACE77D" w14:textId="77777777" w:rsidR="00E16C3E" w:rsidRPr="00720895" w:rsidRDefault="00E16C3E" w:rsidP="00F86403">
            <w:pPr>
              <w:spacing w:line="360" w:lineRule="auto"/>
              <w:jc w:val="center"/>
              <w:rPr>
                <w:rFonts w:ascii="Times New Roman" w:hAnsi="Times New Roman" w:cs="Times New Roman"/>
                <w:sz w:val="20"/>
                <w:szCs w:val="20"/>
              </w:rPr>
            </w:pPr>
          </w:p>
        </w:tc>
        <w:tc>
          <w:tcPr>
            <w:tcW w:w="1094" w:type="dxa"/>
            <w:vAlign w:val="center"/>
          </w:tcPr>
          <w:p w14:paraId="06398B44"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OOH</w:t>
            </w:r>
          </w:p>
        </w:tc>
        <w:tc>
          <w:tcPr>
            <w:tcW w:w="754" w:type="dxa"/>
            <w:vAlign w:val="center"/>
          </w:tcPr>
          <w:p w14:paraId="68A075E9"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1.943</w:t>
            </w:r>
          </w:p>
        </w:tc>
        <w:tc>
          <w:tcPr>
            <w:tcW w:w="1171" w:type="dxa"/>
            <w:vAlign w:val="center"/>
          </w:tcPr>
          <w:p w14:paraId="6ED84D0C"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2.892</w:t>
            </w:r>
          </w:p>
        </w:tc>
        <w:tc>
          <w:tcPr>
            <w:tcW w:w="1134" w:type="dxa"/>
            <w:vAlign w:val="center"/>
          </w:tcPr>
          <w:p w14:paraId="7B10CAA7"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1.948</w:t>
            </w:r>
          </w:p>
        </w:tc>
        <w:tc>
          <w:tcPr>
            <w:tcW w:w="1275" w:type="dxa"/>
            <w:vAlign w:val="center"/>
          </w:tcPr>
          <w:p w14:paraId="4E3B6E44"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1.943</w:t>
            </w:r>
          </w:p>
        </w:tc>
        <w:tc>
          <w:tcPr>
            <w:tcW w:w="1288" w:type="dxa"/>
            <w:vAlign w:val="center"/>
          </w:tcPr>
          <w:p w14:paraId="5901FB72"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2.890</w:t>
            </w:r>
          </w:p>
        </w:tc>
        <w:tc>
          <w:tcPr>
            <w:tcW w:w="1418" w:type="dxa"/>
            <w:vAlign w:val="center"/>
          </w:tcPr>
          <w:p w14:paraId="3C182EF6"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2.785</w:t>
            </w:r>
          </w:p>
        </w:tc>
      </w:tr>
      <w:tr w:rsidR="00E16C3E" w:rsidRPr="00720895" w14:paraId="7A91EEDD" w14:textId="77777777" w:rsidTr="00F86403">
        <w:trPr>
          <w:jc w:val="center"/>
        </w:trPr>
        <w:tc>
          <w:tcPr>
            <w:tcW w:w="1364" w:type="dxa"/>
            <w:vMerge/>
            <w:tcBorders>
              <w:bottom w:val="single" w:sz="4" w:space="0" w:color="auto"/>
            </w:tcBorders>
            <w:vAlign w:val="center"/>
          </w:tcPr>
          <w:p w14:paraId="39EF8887" w14:textId="77777777" w:rsidR="00E16C3E" w:rsidRPr="00720895" w:rsidRDefault="00E16C3E" w:rsidP="00F86403">
            <w:pPr>
              <w:spacing w:line="360" w:lineRule="auto"/>
              <w:jc w:val="center"/>
              <w:rPr>
                <w:rFonts w:ascii="Times New Roman" w:hAnsi="Times New Roman" w:cs="Times New Roman"/>
                <w:sz w:val="20"/>
                <w:szCs w:val="20"/>
              </w:rPr>
            </w:pPr>
          </w:p>
        </w:tc>
        <w:tc>
          <w:tcPr>
            <w:tcW w:w="1094" w:type="dxa"/>
            <w:tcBorders>
              <w:bottom w:val="single" w:sz="4" w:space="0" w:color="auto"/>
            </w:tcBorders>
            <w:vAlign w:val="center"/>
          </w:tcPr>
          <w:p w14:paraId="35557816"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O</w:t>
            </w:r>
            <w:r w:rsidRPr="00720895">
              <w:rPr>
                <w:rFonts w:ascii="Times New Roman" w:hAnsi="Times New Roman" w:cs="Times New Roman"/>
                <w:sz w:val="20"/>
                <w:szCs w:val="20"/>
                <w:vertAlign w:val="subscript"/>
              </w:rPr>
              <w:t>2</w:t>
            </w:r>
          </w:p>
        </w:tc>
        <w:tc>
          <w:tcPr>
            <w:tcW w:w="754" w:type="dxa"/>
            <w:tcBorders>
              <w:bottom w:val="single" w:sz="4" w:space="0" w:color="auto"/>
            </w:tcBorders>
            <w:vAlign w:val="center"/>
          </w:tcPr>
          <w:p w14:paraId="2AECC40D"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3.354</w:t>
            </w:r>
          </w:p>
        </w:tc>
        <w:tc>
          <w:tcPr>
            <w:tcW w:w="1171" w:type="dxa"/>
            <w:tcBorders>
              <w:bottom w:val="single" w:sz="4" w:space="0" w:color="auto"/>
            </w:tcBorders>
            <w:vAlign w:val="center"/>
          </w:tcPr>
          <w:p w14:paraId="5829FB51"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2.904</w:t>
            </w:r>
          </w:p>
        </w:tc>
        <w:tc>
          <w:tcPr>
            <w:tcW w:w="1134" w:type="dxa"/>
            <w:tcBorders>
              <w:bottom w:val="single" w:sz="4" w:space="0" w:color="auto"/>
            </w:tcBorders>
            <w:vAlign w:val="center"/>
          </w:tcPr>
          <w:p w14:paraId="5D9B2F09"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3.397</w:t>
            </w:r>
          </w:p>
        </w:tc>
        <w:tc>
          <w:tcPr>
            <w:tcW w:w="1275" w:type="dxa"/>
            <w:tcBorders>
              <w:bottom w:val="single" w:sz="4" w:space="0" w:color="auto"/>
            </w:tcBorders>
            <w:vAlign w:val="center"/>
          </w:tcPr>
          <w:p w14:paraId="25685998"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3.319</w:t>
            </w:r>
          </w:p>
        </w:tc>
        <w:tc>
          <w:tcPr>
            <w:tcW w:w="1288" w:type="dxa"/>
            <w:tcBorders>
              <w:bottom w:val="single" w:sz="4" w:space="0" w:color="auto"/>
            </w:tcBorders>
            <w:vAlign w:val="center"/>
          </w:tcPr>
          <w:p w14:paraId="2F41D038"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2.994</w:t>
            </w:r>
          </w:p>
        </w:tc>
        <w:tc>
          <w:tcPr>
            <w:tcW w:w="1418" w:type="dxa"/>
            <w:tcBorders>
              <w:bottom w:val="single" w:sz="4" w:space="0" w:color="auto"/>
            </w:tcBorders>
            <w:vAlign w:val="center"/>
          </w:tcPr>
          <w:p w14:paraId="0ADDD06F"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2.752</w:t>
            </w:r>
          </w:p>
        </w:tc>
      </w:tr>
      <w:tr w:rsidR="00E16C3E" w:rsidRPr="00720895" w14:paraId="75C6DEA9" w14:textId="77777777" w:rsidTr="00F86403">
        <w:trPr>
          <w:jc w:val="center"/>
        </w:trPr>
        <w:tc>
          <w:tcPr>
            <w:tcW w:w="1364" w:type="dxa"/>
            <w:vMerge w:val="restart"/>
            <w:tcBorders>
              <w:top w:val="single" w:sz="4" w:space="0" w:color="auto"/>
            </w:tcBorders>
            <w:vAlign w:val="center"/>
          </w:tcPr>
          <w:p w14:paraId="4B858B7F"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NiSe (</w:t>
            </w:r>
            <w:r>
              <w:rPr>
                <w:rFonts w:ascii="Times New Roman" w:hAnsi="Times New Roman" w:cs="Times New Roman"/>
                <w:sz w:val="20"/>
                <w:szCs w:val="20"/>
              </w:rPr>
              <w:t>1</w:t>
            </w:r>
            <w:r w:rsidRPr="00720895">
              <w:rPr>
                <w:rFonts w:ascii="Times New Roman" w:hAnsi="Times New Roman" w:cs="Times New Roman"/>
                <w:sz w:val="20"/>
                <w:szCs w:val="20"/>
              </w:rPr>
              <w:t>01)</w:t>
            </w:r>
          </w:p>
        </w:tc>
        <w:tc>
          <w:tcPr>
            <w:tcW w:w="1094" w:type="dxa"/>
            <w:tcBorders>
              <w:top w:val="single" w:sz="4" w:space="0" w:color="auto"/>
            </w:tcBorders>
            <w:vAlign w:val="center"/>
          </w:tcPr>
          <w:p w14:paraId="5D4560AD"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H</w:t>
            </w:r>
            <w:r w:rsidRPr="00720895">
              <w:rPr>
                <w:rFonts w:ascii="Times New Roman" w:hAnsi="Times New Roman" w:cs="Times New Roman"/>
                <w:sz w:val="20"/>
                <w:szCs w:val="20"/>
                <w:vertAlign w:val="subscript"/>
              </w:rPr>
              <w:t>2</w:t>
            </w:r>
            <w:r w:rsidRPr="00720895">
              <w:rPr>
                <w:rFonts w:ascii="Times New Roman" w:hAnsi="Times New Roman" w:cs="Times New Roman"/>
                <w:sz w:val="20"/>
                <w:szCs w:val="20"/>
              </w:rPr>
              <w:t>O</w:t>
            </w:r>
          </w:p>
        </w:tc>
        <w:tc>
          <w:tcPr>
            <w:tcW w:w="754" w:type="dxa"/>
            <w:tcBorders>
              <w:top w:val="single" w:sz="4" w:space="0" w:color="auto"/>
            </w:tcBorders>
            <w:vAlign w:val="bottom"/>
          </w:tcPr>
          <w:p w14:paraId="499AA902"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3.552</w:t>
            </w:r>
          </w:p>
        </w:tc>
        <w:tc>
          <w:tcPr>
            <w:tcW w:w="1171" w:type="dxa"/>
            <w:tcBorders>
              <w:top w:val="single" w:sz="4" w:space="0" w:color="auto"/>
            </w:tcBorders>
            <w:vAlign w:val="center"/>
          </w:tcPr>
          <w:p w14:paraId="4D529B9A"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3.119</w:t>
            </w:r>
          </w:p>
        </w:tc>
        <w:tc>
          <w:tcPr>
            <w:tcW w:w="1134" w:type="dxa"/>
            <w:tcBorders>
              <w:top w:val="single" w:sz="4" w:space="0" w:color="auto"/>
            </w:tcBorders>
            <w:vAlign w:val="bottom"/>
          </w:tcPr>
          <w:p w14:paraId="75282FAB"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3.430</w:t>
            </w:r>
          </w:p>
        </w:tc>
        <w:tc>
          <w:tcPr>
            <w:tcW w:w="1275" w:type="dxa"/>
            <w:tcBorders>
              <w:top w:val="single" w:sz="4" w:space="0" w:color="auto"/>
            </w:tcBorders>
            <w:vAlign w:val="bottom"/>
          </w:tcPr>
          <w:p w14:paraId="21B9B353"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3.572</w:t>
            </w:r>
          </w:p>
        </w:tc>
        <w:tc>
          <w:tcPr>
            <w:tcW w:w="2706" w:type="dxa"/>
            <w:gridSpan w:val="2"/>
            <w:vMerge w:val="restart"/>
            <w:tcBorders>
              <w:top w:val="single" w:sz="4" w:space="0" w:color="auto"/>
            </w:tcBorders>
            <w:vAlign w:val="bottom"/>
          </w:tcPr>
          <w:p w14:paraId="6C2148E6"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CB1161">
              <w:rPr>
                <w:rFonts w:asciiTheme="majorBidi" w:hAnsiTheme="majorBidi" w:cstheme="majorBidi"/>
                <w:color w:val="000000"/>
                <w:sz w:val="20"/>
                <w:szCs w:val="20"/>
              </w:rPr>
              <w:t>3.45</w:t>
            </w:r>
            <w:r>
              <w:rPr>
                <w:rFonts w:asciiTheme="majorBidi" w:hAnsiTheme="majorBidi" w:cstheme="majorBidi"/>
                <w:color w:val="000000"/>
                <w:sz w:val="20"/>
                <w:szCs w:val="20"/>
              </w:rPr>
              <w:t>3*</w:t>
            </w:r>
          </w:p>
          <w:p w14:paraId="53F67FE9"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CB1161">
              <w:rPr>
                <w:rFonts w:asciiTheme="majorBidi" w:hAnsiTheme="majorBidi" w:cstheme="majorBidi"/>
                <w:color w:val="000000"/>
                <w:sz w:val="20"/>
                <w:szCs w:val="20"/>
              </w:rPr>
              <w:t>3.03</w:t>
            </w:r>
            <w:r>
              <w:rPr>
                <w:rFonts w:asciiTheme="majorBidi" w:hAnsiTheme="majorBidi" w:cstheme="majorBidi"/>
                <w:color w:val="000000"/>
                <w:sz w:val="20"/>
                <w:szCs w:val="20"/>
              </w:rPr>
              <w:t>1</w:t>
            </w:r>
          </w:p>
          <w:p w14:paraId="3295FE43"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CB1161">
              <w:rPr>
                <w:rFonts w:asciiTheme="majorBidi" w:hAnsiTheme="majorBidi" w:cstheme="majorBidi"/>
                <w:color w:val="000000"/>
                <w:sz w:val="20"/>
                <w:szCs w:val="20"/>
              </w:rPr>
              <w:t>3.048</w:t>
            </w:r>
          </w:p>
          <w:p w14:paraId="3F482A67"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CB1161">
              <w:rPr>
                <w:rFonts w:asciiTheme="majorBidi" w:hAnsiTheme="majorBidi" w:cstheme="majorBidi"/>
                <w:color w:val="000000"/>
                <w:sz w:val="20"/>
                <w:szCs w:val="20"/>
              </w:rPr>
              <w:t>2.869</w:t>
            </w:r>
          </w:p>
          <w:p w14:paraId="4E8F97FF" w14:textId="77777777" w:rsidR="00E16C3E" w:rsidRPr="00720895" w:rsidRDefault="00E16C3E" w:rsidP="00F86403">
            <w:pPr>
              <w:spacing w:line="36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2.767</w:t>
            </w:r>
          </w:p>
        </w:tc>
      </w:tr>
      <w:tr w:rsidR="00E16C3E" w:rsidRPr="00720895" w14:paraId="2F450CE1" w14:textId="77777777" w:rsidTr="00F86403">
        <w:trPr>
          <w:jc w:val="center"/>
        </w:trPr>
        <w:tc>
          <w:tcPr>
            <w:tcW w:w="1364" w:type="dxa"/>
            <w:vMerge/>
            <w:vAlign w:val="center"/>
          </w:tcPr>
          <w:p w14:paraId="6958EF1B" w14:textId="77777777" w:rsidR="00E16C3E" w:rsidRPr="00720895" w:rsidRDefault="00E16C3E" w:rsidP="00F86403">
            <w:pPr>
              <w:spacing w:line="360" w:lineRule="auto"/>
              <w:jc w:val="center"/>
              <w:rPr>
                <w:rFonts w:ascii="Times New Roman" w:hAnsi="Times New Roman" w:cs="Times New Roman"/>
                <w:sz w:val="20"/>
                <w:szCs w:val="20"/>
              </w:rPr>
            </w:pPr>
          </w:p>
        </w:tc>
        <w:tc>
          <w:tcPr>
            <w:tcW w:w="1094" w:type="dxa"/>
            <w:vAlign w:val="center"/>
          </w:tcPr>
          <w:p w14:paraId="13D9C670"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OH</w:t>
            </w:r>
          </w:p>
        </w:tc>
        <w:tc>
          <w:tcPr>
            <w:tcW w:w="754" w:type="dxa"/>
            <w:vAlign w:val="bottom"/>
          </w:tcPr>
          <w:p w14:paraId="249E722F"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1.926</w:t>
            </w:r>
          </w:p>
        </w:tc>
        <w:tc>
          <w:tcPr>
            <w:tcW w:w="1171" w:type="dxa"/>
            <w:vAlign w:val="center"/>
          </w:tcPr>
          <w:p w14:paraId="6D8F3117"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2.338</w:t>
            </w:r>
          </w:p>
        </w:tc>
        <w:tc>
          <w:tcPr>
            <w:tcW w:w="1134" w:type="dxa"/>
            <w:vAlign w:val="bottom"/>
          </w:tcPr>
          <w:p w14:paraId="295B2C27"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2.753</w:t>
            </w:r>
          </w:p>
        </w:tc>
        <w:tc>
          <w:tcPr>
            <w:tcW w:w="1275" w:type="dxa"/>
            <w:vAlign w:val="bottom"/>
          </w:tcPr>
          <w:p w14:paraId="29B9A41E"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1.937</w:t>
            </w:r>
          </w:p>
        </w:tc>
        <w:tc>
          <w:tcPr>
            <w:tcW w:w="2706" w:type="dxa"/>
            <w:gridSpan w:val="2"/>
            <w:vMerge/>
            <w:vAlign w:val="bottom"/>
          </w:tcPr>
          <w:p w14:paraId="51D9E578" w14:textId="77777777" w:rsidR="00E16C3E" w:rsidRPr="00720895" w:rsidRDefault="00E16C3E" w:rsidP="00F86403">
            <w:pPr>
              <w:spacing w:line="360" w:lineRule="auto"/>
              <w:jc w:val="center"/>
              <w:rPr>
                <w:rFonts w:ascii="Times New Roman" w:hAnsi="Times New Roman" w:cs="Times New Roman"/>
                <w:color w:val="000000"/>
                <w:sz w:val="20"/>
                <w:szCs w:val="20"/>
              </w:rPr>
            </w:pPr>
          </w:p>
        </w:tc>
      </w:tr>
      <w:tr w:rsidR="00E16C3E" w:rsidRPr="00720895" w14:paraId="4FEF5995" w14:textId="77777777" w:rsidTr="00F86403">
        <w:trPr>
          <w:jc w:val="center"/>
        </w:trPr>
        <w:tc>
          <w:tcPr>
            <w:tcW w:w="1364" w:type="dxa"/>
            <w:vMerge/>
            <w:vAlign w:val="center"/>
          </w:tcPr>
          <w:p w14:paraId="070BD6E1" w14:textId="77777777" w:rsidR="00E16C3E" w:rsidRPr="00720895" w:rsidRDefault="00E16C3E" w:rsidP="00F86403">
            <w:pPr>
              <w:spacing w:line="360" w:lineRule="auto"/>
              <w:jc w:val="center"/>
              <w:rPr>
                <w:rFonts w:ascii="Times New Roman" w:hAnsi="Times New Roman" w:cs="Times New Roman"/>
                <w:sz w:val="20"/>
                <w:szCs w:val="20"/>
              </w:rPr>
            </w:pPr>
          </w:p>
        </w:tc>
        <w:tc>
          <w:tcPr>
            <w:tcW w:w="1094" w:type="dxa"/>
            <w:vAlign w:val="center"/>
          </w:tcPr>
          <w:p w14:paraId="6C3F1F9F"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O</w:t>
            </w:r>
          </w:p>
        </w:tc>
        <w:tc>
          <w:tcPr>
            <w:tcW w:w="754" w:type="dxa"/>
            <w:vAlign w:val="bottom"/>
          </w:tcPr>
          <w:p w14:paraId="4CAD0535"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1.702</w:t>
            </w:r>
          </w:p>
        </w:tc>
        <w:tc>
          <w:tcPr>
            <w:tcW w:w="1171" w:type="dxa"/>
            <w:vAlign w:val="center"/>
          </w:tcPr>
          <w:p w14:paraId="24AD9234"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1.799</w:t>
            </w:r>
          </w:p>
        </w:tc>
        <w:tc>
          <w:tcPr>
            <w:tcW w:w="1134" w:type="dxa"/>
            <w:vAlign w:val="bottom"/>
          </w:tcPr>
          <w:p w14:paraId="31CEA776"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1.804</w:t>
            </w:r>
          </w:p>
        </w:tc>
        <w:tc>
          <w:tcPr>
            <w:tcW w:w="1275" w:type="dxa"/>
            <w:vAlign w:val="bottom"/>
          </w:tcPr>
          <w:p w14:paraId="5FFB3A26"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1.694</w:t>
            </w:r>
          </w:p>
        </w:tc>
        <w:tc>
          <w:tcPr>
            <w:tcW w:w="2706" w:type="dxa"/>
            <w:gridSpan w:val="2"/>
            <w:vMerge/>
            <w:vAlign w:val="bottom"/>
          </w:tcPr>
          <w:p w14:paraId="43F2AD4E" w14:textId="77777777" w:rsidR="00E16C3E" w:rsidRPr="00720895" w:rsidRDefault="00E16C3E" w:rsidP="00F86403">
            <w:pPr>
              <w:spacing w:line="360" w:lineRule="auto"/>
              <w:jc w:val="center"/>
              <w:rPr>
                <w:rFonts w:ascii="Times New Roman" w:hAnsi="Times New Roman" w:cs="Times New Roman"/>
                <w:color w:val="000000"/>
                <w:sz w:val="20"/>
                <w:szCs w:val="20"/>
              </w:rPr>
            </w:pPr>
          </w:p>
        </w:tc>
      </w:tr>
      <w:tr w:rsidR="00E16C3E" w:rsidRPr="00720895" w14:paraId="6E78359A" w14:textId="77777777" w:rsidTr="00F86403">
        <w:trPr>
          <w:jc w:val="center"/>
        </w:trPr>
        <w:tc>
          <w:tcPr>
            <w:tcW w:w="1364" w:type="dxa"/>
            <w:vMerge/>
            <w:vAlign w:val="center"/>
          </w:tcPr>
          <w:p w14:paraId="2C4C9793" w14:textId="77777777" w:rsidR="00E16C3E" w:rsidRPr="00720895" w:rsidRDefault="00E16C3E" w:rsidP="00F86403">
            <w:pPr>
              <w:spacing w:line="360" w:lineRule="auto"/>
              <w:jc w:val="center"/>
              <w:rPr>
                <w:rFonts w:ascii="Times New Roman" w:hAnsi="Times New Roman" w:cs="Times New Roman"/>
                <w:sz w:val="20"/>
                <w:szCs w:val="20"/>
              </w:rPr>
            </w:pPr>
          </w:p>
        </w:tc>
        <w:tc>
          <w:tcPr>
            <w:tcW w:w="1094" w:type="dxa"/>
            <w:vAlign w:val="center"/>
          </w:tcPr>
          <w:p w14:paraId="115FB234"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OOH</w:t>
            </w:r>
          </w:p>
        </w:tc>
        <w:tc>
          <w:tcPr>
            <w:tcW w:w="754" w:type="dxa"/>
            <w:vAlign w:val="bottom"/>
          </w:tcPr>
          <w:p w14:paraId="1F443987"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2.057</w:t>
            </w:r>
          </w:p>
        </w:tc>
        <w:tc>
          <w:tcPr>
            <w:tcW w:w="1171" w:type="dxa"/>
            <w:vAlign w:val="center"/>
          </w:tcPr>
          <w:p w14:paraId="175FB235"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1.876</w:t>
            </w:r>
          </w:p>
        </w:tc>
        <w:tc>
          <w:tcPr>
            <w:tcW w:w="1134" w:type="dxa"/>
            <w:vAlign w:val="bottom"/>
          </w:tcPr>
          <w:p w14:paraId="4D445DA4"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2.664</w:t>
            </w:r>
          </w:p>
        </w:tc>
        <w:tc>
          <w:tcPr>
            <w:tcW w:w="1275" w:type="dxa"/>
            <w:vAlign w:val="bottom"/>
          </w:tcPr>
          <w:p w14:paraId="52C933DE"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2.056</w:t>
            </w:r>
          </w:p>
        </w:tc>
        <w:tc>
          <w:tcPr>
            <w:tcW w:w="2706" w:type="dxa"/>
            <w:gridSpan w:val="2"/>
            <w:vMerge/>
            <w:vAlign w:val="bottom"/>
          </w:tcPr>
          <w:p w14:paraId="0BD7BCF2" w14:textId="77777777" w:rsidR="00E16C3E" w:rsidRPr="00720895" w:rsidRDefault="00E16C3E" w:rsidP="00F86403">
            <w:pPr>
              <w:spacing w:line="360" w:lineRule="auto"/>
              <w:jc w:val="center"/>
              <w:rPr>
                <w:rFonts w:ascii="Times New Roman" w:hAnsi="Times New Roman" w:cs="Times New Roman"/>
                <w:color w:val="000000"/>
                <w:sz w:val="20"/>
                <w:szCs w:val="20"/>
              </w:rPr>
            </w:pPr>
          </w:p>
        </w:tc>
      </w:tr>
      <w:tr w:rsidR="00E16C3E" w:rsidRPr="00720895" w14:paraId="5DB1DBF9" w14:textId="77777777" w:rsidTr="00F86403">
        <w:trPr>
          <w:jc w:val="center"/>
        </w:trPr>
        <w:tc>
          <w:tcPr>
            <w:tcW w:w="1364" w:type="dxa"/>
            <w:vMerge/>
            <w:vAlign w:val="center"/>
          </w:tcPr>
          <w:p w14:paraId="14AD3CCD" w14:textId="77777777" w:rsidR="00E16C3E" w:rsidRPr="00720895" w:rsidRDefault="00E16C3E" w:rsidP="00F86403">
            <w:pPr>
              <w:spacing w:line="360" w:lineRule="auto"/>
              <w:jc w:val="center"/>
              <w:rPr>
                <w:rFonts w:ascii="Times New Roman" w:hAnsi="Times New Roman" w:cs="Times New Roman"/>
                <w:sz w:val="20"/>
                <w:szCs w:val="20"/>
              </w:rPr>
            </w:pPr>
          </w:p>
        </w:tc>
        <w:tc>
          <w:tcPr>
            <w:tcW w:w="1094" w:type="dxa"/>
            <w:vAlign w:val="center"/>
          </w:tcPr>
          <w:p w14:paraId="55022EA8"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O</w:t>
            </w:r>
            <w:r w:rsidRPr="00720895">
              <w:rPr>
                <w:rFonts w:ascii="Times New Roman" w:hAnsi="Times New Roman" w:cs="Times New Roman"/>
                <w:sz w:val="20"/>
                <w:szCs w:val="20"/>
                <w:vertAlign w:val="subscript"/>
              </w:rPr>
              <w:t>2</w:t>
            </w:r>
          </w:p>
        </w:tc>
        <w:tc>
          <w:tcPr>
            <w:tcW w:w="754" w:type="dxa"/>
            <w:vAlign w:val="bottom"/>
          </w:tcPr>
          <w:p w14:paraId="4FC4C6FC"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3.231</w:t>
            </w:r>
          </w:p>
        </w:tc>
        <w:tc>
          <w:tcPr>
            <w:tcW w:w="1171" w:type="dxa"/>
            <w:vAlign w:val="center"/>
          </w:tcPr>
          <w:p w14:paraId="4B129739"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1.695</w:t>
            </w:r>
          </w:p>
        </w:tc>
        <w:tc>
          <w:tcPr>
            <w:tcW w:w="1134" w:type="dxa"/>
            <w:vAlign w:val="bottom"/>
          </w:tcPr>
          <w:p w14:paraId="23405235"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2.856</w:t>
            </w:r>
          </w:p>
        </w:tc>
        <w:tc>
          <w:tcPr>
            <w:tcW w:w="1275" w:type="dxa"/>
            <w:vAlign w:val="bottom"/>
          </w:tcPr>
          <w:p w14:paraId="759E6F53"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1F7522">
              <w:rPr>
                <w:rFonts w:ascii="Times New Roman" w:hAnsi="Times New Roman" w:cs="Times New Roman"/>
                <w:color w:val="000000"/>
                <w:sz w:val="20"/>
                <w:szCs w:val="20"/>
              </w:rPr>
              <w:t>3.120</w:t>
            </w:r>
          </w:p>
        </w:tc>
        <w:tc>
          <w:tcPr>
            <w:tcW w:w="2706" w:type="dxa"/>
            <w:gridSpan w:val="2"/>
            <w:vMerge/>
            <w:vAlign w:val="center"/>
          </w:tcPr>
          <w:p w14:paraId="5A21CC92" w14:textId="77777777" w:rsidR="00E16C3E" w:rsidRPr="00720895" w:rsidRDefault="00E16C3E" w:rsidP="00F86403">
            <w:pPr>
              <w:spacing w:line="360" w:lineRule="auto"/>
              <w:jc w:val="center"/>
              <w:rPr>
                <w:rFonts w:ascii="Times New Roman" w:hAnsi="Times New Roman" w:cs="Times New Roman"/>
                <w:color w:val="000000"/>
                <w:sz w:val="20"/>
                <w:szCs w:val="20"/>
              </w:rPr>
            </w:pPr>
          </w:p>
        </w:tc>
      </w:tr>
    </w:tbl>
    <w:p w14:paraId="0B50BE9F" w14:textId="77777777" w:rsidR="00E16C3E" w:rsidRPr="00720895" w:rsidRDefault="00E16C3E" w:rsidP="00E16C3E">
      <w:pPr>
        <w:spacing w:line="360" w:lineRule="auto"/>
        <w:jc w:val="both"/>
        <w:rPr>
          <w:rFonts w:ascii="Times New Roman" w:hAnsi="Times New Roman" w:cs="Times New Roman"/>
          <w:b/>
          <w:bCs/>
        </w:rPr>
      </w:pPr>
      <w:r w:rsidRPr="002664D6">
        <w:rPr>
          <w:rFonts w:ascii="Times New Roman" w:hAnsi="Times New Roman" w:cs="Times New Roman"/>
          <w:b/>
          <w:bCs/>
          <w:sz w:val="20"/>
          <w:szCs w:val="20"/>
        </w:rPr>
        <w:t>*</w:t>
      </w:r>
      <w:r w:rsidRPr="002664D6">
        <w:rPr>
          <w:rFonts w:ascii="Times New Roman" w:hAnsi="Times New Roman" w:cs="Times New Roman"/>
          <w:sz w:val="20"/>
          <w:szCs w:val="20"/>
        </w:rPr>
        <w:t>The distinction between a Ni and a Co site is lost on the Ni-Co-Se</w:t>
      </w:r>
      <w:r w:rsidRPr="002664D6">
        <w:rPr>
          <w:rFonts w:ascii="Times New Roman" w:hAnsi="Times New Roman" w:cs="Times New Roman"/>
          <w:sz w:val="20"/>
          <w:szCs w:val="20"/>
          <w:vertAlign w:val="subscript"/>
        </w:rPr>
        <w:t>vac</w:t>
      </w:r>
      <w:r w:rsidRPr="002664D6">
        <w:rPr>
          <w:rFonts w:ascii="Times New Roman" w:hAnsi="Times New Roman" w:cs="Times New Roman"/>
          <w:sz w:val="20"/>
          <w:szCs w:val="20"/>
        </w:rPr>
        <w:t xml:space="preserve"> (101) surface due to the adsorbed oxygen species filling the Se vacancy and bridging a surface Co and Ni atom.</w:t>
      </w:r>
    </w:p>
    <w:p w14:paraId="33AD811A" w14:textId="77777777" w:rsidR="00E16C3E" w:rsidRPr="00720895" w:rsidRDefault="00E16C3E" w:rsidP="00E16C3E">
      <w:pPr>
        <w:rPr>
          <w:rFonts w:ascii="Times New Roman" w:hAnsi="Times New Roman" w:cs="Times New Roman"/>
          <w:b/>
          <w:bCs/>
        </w:rPr>
      </w:pPr>
      <w:r w:rsidRPr="00720895">
        <w:rPr>
          <w:rFonts w:ascii="Times New Roman" w:hAnsi="Times New Roman" w:cs="Times New Roman"/>
          <w:b/>
          <w:bCs/>
        </w:rPr>
        <w:br w:type="page"/>
      </w:r>
    </w:p>
    <w:p w14:paraId="223E83C9" w14:textId="508CE0EB" w:rsidR="00E16C3E" w:rsidRPr="002957BF" w:rsidRDefault="00E16C3E" w:rsidP="002957BF">
      <w:pPr>
        <w:spacing w:line="360" w:lineRule="auto"/>
        <w:jc w:val="center"/>
        <w:rPr>
          <w:rFonts w:ascii="Times New Roman" w:hAnsi="Times New Roman" w:cs="Times New Roman"/>
          <w:sz w:val="20"/>
          <w:szCs w:val="20"/>
        </w:rPr>
      </w:pPr>
      <w:r w:rsidRPr="002957BF">
        <w:rPr>
          <w:rFonts w:ascii="Times New Roman" w:hAnsi="Times New Roman" w:cs="Times New Roman"/>
          <w:b/>
          <w:bCs/>
          <w:sz w:val="20"/>
          <w:szCs w:val="20"/>
        </w:rPr>
        <w:lastRenderedPageBreak/>
        <w:t>Table S</w:t>
      </w:r>
      <w:r w:rsidR="00CB21C8" w:rsidRPr="002957BF">
        <w:rPr>
          <w:rFonts w:ascii="Times New Roman" w:hAnsi="Times New Roman" w:cs="Times New Roman"/>
          <w:b/>
          <w:bCs/>
          <w:sz w:val="20"/>
          <w:szCs w:val="20"/>
        </w:rPr>
        <w:t>7</w:t>
      </w:r>
      <w:r w:rsidRPr="002957BF">
        <w:rPr>
          <w:rFonts w:ascii="Times New Roman" w:hAnsi="Times New Roman" w:cs="Times New Roman"/>
          <w:b/>
          <w:bCs/>
          <w:sz w:val="20"/>
          <w:szCs w:val="20"/>
        </w:rPr>
        <w:t xml:space="preserve">. </w:t>
      </w:r>
      <w:r w:rsidRPr="002957BF">
        <w:rPr>
          <w:rFonts w:ascii="Times New Roman" w:hAnsi="Times New Roman" w:cs="Times New Roman"/>
          <w:sz w:val="20"/>
          <w:szCs w:val="20"/>
        </w:rPr>
        <w:t>Interatomic distance of Co-O (Å) for OER mechanism intermediates for</w:t>
      </w:r>
      <w:r w:rsidRPr="002957BF">
        <w:rPr>
          <w:rFonts w:ascii="Times New Roman" w:hAnsi="Times New Roman" w:cs="Times New Roman"/>
          <w:color w:val="000000"/>
          <w:sz w:val="20"/>
          <w:szCs w:val="20"/>
        </w:rPr>
        <w:t xml:space="preserve"> Ni-Co-Se and Ni-Co-</w:t>
      </w:r>
      <w:r w:rsidRPr="002957BF">
        <w:rPr>
          <w:rFonts w:ascii="Times New Roman" w:hAnsi="Times New Roman"/>
          <w:sz w:val="20"/>
          <w:szCs w:val="20"/>
        </w:rPr>
        <w:t>Se</w:t>
      </w:r>
      <w:r w:rsidRPr="002957BF">
        <w:rPr>
          <w:rFonts w:ascii="Times New Roman" w:hAnsi="Times New Roman"/>
          <w:sz w:val="20"/>
          <w:szCs w:val="20"/>
          <w:vertAlign w:val="subscript"/>
        </w:rPr>
        <w:t xml:space="preserve">vac </w:t>
      </w:r>
      <w:r w:rsidRPr="002957BF">
        <w:rPr>
          <w:rFonts w:ascii="Times New Roman" w:hAnsi="Times New Roman" w:cs="Times New Roman"/>
          <w:sz w:val="20"/>
          <w:szCs w:val="20"/>
        </w:rPr>
        <w:t>surfaces with species reacting at Ni and Co sites.</w:t>
      </w:r>
    </w:p>
    <w:tbl>
      <w:tblPr>
        <w:tblStyle w:val="TableGrid"/>
        <w:tblW w:w="7366"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63"/>
        <w:gridCol w:w="1091"/>
        <w:gridCol w:w="1227"/>
        <w:gridCol w:w="1134"/>
        <w:gridCol w:w="1276"/>
        <w:gridCol w:w="1275"/>
      </w:tblGrid>
      <w:tr w:rsidR="00E16C3E" w:rsidRPr="00720895" w14:paraId="54802BA2" w14:textId="77777777" w:rsidTr="00F86403">
        <w:trPr>
          <w:jc w:val="center"/>
        </w:trPr>
        <w:tc>
          <w:tcPr>
            <w:tcW w:w="1363" w:type="dxa"/>
            <w:tcBorders>
              <w:bottom w:val="single" w:sz="4" w:space="0" w:color="auto"/>
            </w:tcBorders>
            <w:vAlign w:val="center"/>
          </w:tcPr>
          <w:p w14:paraId="5352787B" w14:textId="77777777" w:rsidR="00E16C3E" w:rsidRPr="00720895" w:rsidRDefault="00E16C3E" w:rsidP="00F86403">
            <w:pPr>
              <w:spacing w:line="360" w:lineRule="auto"/>
              <w:jc w:val="center"/>
              <w:rPr>
                <w:rFonts w:ascii="Times New Roman" w:hAnsi="Times New Roman" w:cs="Times New Roman"/>
                <w:sz w:val="20"/>
                <w:szCs w:val="20"/>
              </w:rPr>
            </w:pPr>
          </w:p>
        </w:tc>
        <w:tc>
          <w:tcPr>
            <w:tcW w:w="1091" w:type="dxa"/>
            <w:tcBorders>
              <w:bottom w:val="single" w:sz="4" w:space="0" w:color="auto"/>
            </w:tcBorders>
            <w:vAlign w:val="center"/>
          </w:tcPr>
          <w:p w14:paraId="1DE4E4F2" w14:textId="77777777" w:rsidR="00E16C3E" w:rsidRPr="00720895" w:rsidRDefault="00E16C3E" w:rsidP="00F86403">
            <w:pPr>
              <w:spacing w:line="360" w:lineRule="auto"/>
              <w:jc w:val="center"/>
              <w:rPr>
                <w:rFonts w:ascii="Times New Roman" w:hAnsi="Times New Roman" w:cs="Times New Roman"/>
                <w:sz w:val="20"/>
                <w:szCs w:val="20"/>
              </w:rPr>
            </w:pPr>
          </w:p>
        </w:tc>
        <w:tc>
          <w:tcPr>
            <w:tcW w:w="4912" w:type="dxa"/>
            <w:gridSpan w:val="4"/>
            <w:tcBorders>
              <w:bottom w:val="single" w:sz="4" w:space="0" w:color="auto"/>
            </w:tcBorders>
            <w:vAlign w:val="center"/>
          </w:tcPr>
          <w:p w14:paraId="712FDEB8"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Interatomic distance (Å)</w:t>
            </w:r>
          </w:p>
        </w:tc>
      </w:tr>
      <w:tr w:rsidR="00E16C3E" w:rsidRPr="00720895" w14:paraId="272AADB1" w14:textId="77777777" w:rsidTr="00F86403">
        <w:trPr>
          <w:jc w:val="center"/>
        </w:trPr>
        <w:tc>
          <w:tcPr>
            <w:tcW w:w="1363" w:type="dxa"/>
            <w:tcBorders>
              <w:top w:val="single" w:sz="4" w:space="0" w:color="auto"/>
              <w:bottom w:val="single" w:sz="4" w:space="0" w:color="auto"/>
            </w:tcBorders>
            <w:vAlign w:val="center"/>
          </w:tcPr>
          <w:p w14:paraId="5416CA2E"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Structure</w:t>
            </w:r>
          </w:p>
        </w:tc>
        <w:tc>
          <w:tcPr>
            <w:tcW w:w="1091" w:type="dxa"/>
            <w:tcBorders>
              <w:top w:val="single" w:sz="4" w:space="0" w:color="auto"/>
              <w:bottom w:val="single" w:sz="4" w:space="0" w:color="auto"/>
            </w:tcBorders>
            <w:vAlign w:val="center"/>
          </w:tcPr>
          <w:p w14:paraId="095728DF" w14:textId="77777777" w:rsidR="00E16C3E" w:rsidRPr="00720895" w:rsidRDefault="00E16C3E" w:rsidP="00F86403">
            <w:pPr>
              <w:spacing w:line="360" w:lineRule="auto"/>
              <w:jc w:val="center"/>
              <w:rPr>
                <w:rFonts w:ascii="Times New Roman" w:hAnsi="Times New Roman" w:cs="Times New Roman"/>
                <w:sz w:val="20"/>
                <w:szCs w:val="20"/>
              </w:rPr>
            </w:pPr>
          </w:p>
        </w:tc>
        <w:tc>
          <w:tcPr>
            <w:tcW w:w="1227" w:type="dxa"/>
            <w:tcBorders>
              <w:top w:val="single" w:sz="4" w:space="0" w:color="auto"/>
              <w:bottom w:val="single" w:sz="4" w:space="0" w:color="auto"/>
            </w:tcBorders>
            <w:vAlign w:val="center"/>
          </w:tcPr>
          <w:p w14:paraId="6FC7A489"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sz w:val="20"/>
                <w:szCs w:val="20"/>
              </w:rPr>
              <w:t>Co-O</w:t>
            </w:r>
          </w:p>
          <w:p w14:paraId="59001E71"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color w:val="000000"/>
                <w:sz w:val="20"/>
                <w:szCs w:val="20"/>
              </w:rPr>
              <w:t>Ni-Co-Se</w:t>
            </w:r>
            <w:r w:rsidRPr="00D34D03" w:rsidDel="002D0ACD">
              <w:rPr>
                <w:rFonts w:ascii="Times New Roman" w:hAnsi="Times New Roman" w:cs="Times New Roman"/>
                <w:sz w:val="20"/>
                <w:szCs w:val="20"/>
              </w:rPr>
              <w:t xml:space="preserve"> </w:t>
            </w:r>
            <w:r w:rsidRPr="00D34D03">
              <w:rPr>
                <w:rFonts w:ascii="Times New Roman" w:hAnsi="Times New Roman" w:cs="Times New Roman"/>
                <w:sz w:val="20"/>
                <w:szCs w:val="20"/>
              </w:rPr>
              <w:t>(Ni Site)</w:t>
            </w:r>
          </w:p>
        </w:tc>
        <w:tc>
          <w:tcPr>
            <w:tcW w:w="1134" w:type="dxa"/>
            <w:tcBorders>
              <w:top w:val="single" w:sz="4" w:space="0" w:color="auto"/>
              <w:bottom w:val="single" w:sz="4" w:space="0" w:color="auto"/>
            </w:tcBorders>
            <w:vAlign w:val="center"/>
          </w:tcPr>
          <w:p w14:paraId="749CCCDC"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sz w:val="20"/>
                <w:szCs w:val="20"/>
              </w:rPr>
              <w:t>Co-O</w:t>
            </w:r>
          </w:p>
          <w:p w14:paraId="3E6BFEC5"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color w:val="000000"/>
                <w:sz w:val="20"/>
                <w:szCs w:val="20"/>
              </w:rPr>
              <w:t>Ni-Co-Se</w:t>
            </w:r>
            <w:r w:rsidRPr="00D34D03" w:rsidDel="002D0ACD">
              <w:rPr>
                <w:rFonts w:ascii="Times New Roman" w:hAnsi="Times New Roman" w:cs="Times New Roman"/>
                <w:sz w:val="20"/>
                <w:szCs w:val="20"/>
              </w:rPr>
              <w:t xml:space="preserve"> </w:t>
            </w:r>
            <w:r w:rsidRPr="00D34D03">
              <w:rPr>
                <w:rFonts w:ascii="Times New Roman" w:hAnsi="Times New Roman" w:cs="Times New Roman"/>
                <w:sz w:val="20"/>
                <w:szCs w:val="20"/>
              </w:rPr>
              <w:t>(Co Site)</w:t>
            </w:r>
          </w:p>
        </w:tc>
        <w:tc>
          <w:tcPr>
            <w:tcW w:w="1276" w:type="dxa"/>
            <w:tcBorders>
              <w:top w:val="single" w:sz="4" w:space="0" w:color="auto"/>
              <w:bottom w:val="single" w:sz="4" w:space="0" w:color="auto"/>
            </w:tcBorders>
            <w:vAlign w:val="center"/>
          </w:tcPr>
          <w:p w14:paraId="5019A64E"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sz w:val="20"/>
                <w:szCs w:val="20"/>
              </w:rPr>
              <w:t xml:space="preserve">Co-O </w:t>
            </w:r>
          </w:p>
          <w:p w14:paraId="030DD6E8" w14:textId="77777777" w:rsidR="00E16C3E" w:rsidRPr="00D34D03" w:rsidRDefault="00E16C3E" w:rsidP="00F86403">
            <w:pPr>
              <w:spacing w:line="360" w:lineRule="auto"/>
              <w:jc w:val="both"/>
              <w:rPr>
                <w:rFonts w:ascii="Times New Roman" w:hAnsi="Times New Roman" w:cs="Times New Roman"/>
                <w:sz w:val="20"/>
                <w:szCs w:val="20"/>
              </w:rPr>
            </w:pPr>
            <w:r w:rsidRPr="00D34D03">
              <w:rPr>
                <w:rFonts w:ascii="Times New Roman" w:hAnsi="Times New Roman" w:cs="Times New Roman"/>
                <w:color w:val="000000"/>
                <w:sz w:val="20"/>
                <w:szCs w:val="20"/>
              </w:rPr>
              <w:t>Ni-Co-</w:t>
            </w:r>
            <w:r w:rsidRPr="00D34D03">
              <w:rPr>
                <w:rFonts w:ascii="Times New Roman" w:hAnsi="Times New Roman"/>
                <w:sz w:val="20"/>
                <w:szCs w:val="20"/>
              </w:rPr>
              <w:t>Se</w:t>
            </w:r>
            <w:r w:rsidRPr="00D34D03">
              <w:rPr>
                <w:rFonts w:ascii="Times New Roman" w:hAnsi="Times New Roman"/>
                <w:sz w:val="20"/>
                <w:szCs w:val="20"/>
                <w:vertAlign w:val="subscript"/>
              </w:rPr>
              <w:t>vac</w:t>
            </w:r>
          </w:p>
          <w:p w14:paraId="44FA2A38"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sz w:val="20"/>
                <w:szCs w:val="20"/>
              </w:rPr>
              <w:t>(Ni Site)</w:t>
            </w:r>
          </w:p>
        </w:tc>
        <w:tc>
          <w:tcPr>
            <w:tcW w:w="1275" w:type="dxa"/>
            <w:tcBorders>
              <w:top w:val="single" w:sz="4" w:space="0" w:color="auto"/>
              <w:bottom w:val="single" w:sz="4" w:space="0" w:color="auto"/>
            </w:tcBorders>
            <w:vAlign w:val="center"/>
          </w:tcPr>
          <w:p w14:paraId="4C327911"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sz w:val="20"/>
                <w:szCs w:val="20"/>
              </w:rPr>
              <w:t xml:space="preserve">Co-O </w:t>
            </w:r>
          </w:p>
          <w:p w14:paraId="475B6009" w14:textId="77777777" w:rsidR="00E16C3E" w:rsidRPr="00D34D03" w:rsidRDefault="00E16C3E" w:rsidP="00F86403">
            <w:pPr>
              <w:spacing w:line="360" w:lineRule="auto"/>
              <w:jc w:val="both"/>
              <w:rPr>
                <w:rFonts w:ascii="Times New Roman" w:hAnsi="Times New Roman" w:cs="Times New Roman"/>
                <w:sz w:val="20"/>
                <w:szCs w:val="20"/>
              </w:rPr>
            </w:pPr>
            <w:r w:rsidRPr="00D34D03">
              <w:rPr>
                <w:rFonts w:ascii="Times New Roman" w:hAnsi="Times New Roman" w:cs="Times New Roman"/>
                <w:color w:val="000000"/>
                <w:sz w:val="20"/>
                <w:szCs w:val="20"/>
              </w:rPr>
              <w:t>Ni-Co-</w:t>
            </w:r>
            <w:r w:rsidRPr="00D34D03">
              <w:rPr>
                <w:rFonts w:ascii="Times New Roman" w:hAnsi="Times New Roman"/>
                <w:sz w:val="20"/>
                <w:szCs w:val="20"/>
              </w:rPr>
              <w:t>Se</w:t>
            </w:r>
            <w:r w:rsidRPr="00D34D03">
              <w:rPr>
                <w:rFonts w:ascii="Times New Roman" w:hAnsi="Times New Roman"/>
                <w:sz w:val="20"/>
                <w:szCs w:val="20"/>
                <w:vertAlign w:val="subscript"/>
              </w:rPr>
              <w:t>vac</w:t>
            </w:r>
          </w:p>
          <w:p w14:paraId="17801177" w14:textId="77777777" w:rsidR="00E16C3E" w:rsidRPr="00D34D03" w:rsidRDefault="00E16C3E" w:rsidP="00F86403">
            <w:pPr>
              <w:spacing w:line="360" w:lineRule="auto"/>
              <w:jc w:val="center"/>
              <w:rPr>
                <w:rFonts w:ascii="Times New Roman" w:hAnsi="Times New Roman" w:cs="Times New Roman"/>
                <w:sz w:val="20"/>
                <w:szCs w:val="20"/>
              </w:rPr>
            </w:pPr>
            <w:r w:rsidRPr="00D34D03">
              <w:rPr>
                <w:rFonts w:ascii="Times New Roman" w:hAnsi="Times New Roman" w:cs="Times New Roman"/>
                <w:sz w:val="20"/>
                <w:szCs w:val="20"/>
              </w:rPr>
              <w:t>(Co Site)</w:t>
            </w:r>
          </w:p>
        </w:tc>
      </w:tr>
      <w:tr w:rsidR="00E16C3E" w:rsidRPr="00720895" w14:paraId="3676A97B" w14:textId="77777777" w:rsidTr="00F86403">
        <w:trPr>
          <w:jc w:val="center"/>
        </w:trPr>
        <w:tc>
          <w:tcPr>
            <w:tcW w:w="1363" w:type="dxa"/>
            <w:vMerge w:val="restart"/>
            <w:tcBorders>
              <w:top w:val="single" w:sz="4" w:space="0" w:color="auto"/>
            </w:tcBorders>
            <w:vAlign w:val="center"/>
          </w:tcPr>
          <w:p w14:paraId="2B562044"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NiSe (001)</w:t>
            </w:r>
          </w:p>
        </w:tc>
        <w:tc>
          <w:tcPr>
            <w:tcW w:w="1091" w:type="dxa"/>
            <w:tcBorders>
              <w:top w:val="single" w:sz="4" w:space="0" w:color="auto"/>
            </w:tcBorders>
            <w:vAlign w:val="center"/>
          </w:tcPr>
          <w:p w14:paraId="222096B0"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H</w:t>
            </w:r>
            <w:r w:rsidRPr="00720895">
              <w:rPr>
                <w:rFonts w:ascii="Times New Roman" w:hAnsi="Times New Roman" w:cs="Times New Roman"/>
                <w:sz w:val="20"/>
                <w:szCs w:val="20"/>
                <w:vertAlign w:val="subscript"/>
              </w:rPr>
              <w:t>2</w:t>
            </w:r>
            <w:r w:rsidRPr="00720895">
              <w:rPr>
                <w:rFonts w:ascii="Times New Roman" w:hAnsi="Times New Roman" w:cs="Times New Roman"/>
                <w:sz w:val="20"/>
                <w:szCs w:val="20"/>
              </w:rPr>
              <w:t>O</w:t>
            </w:r>
          </w:p>
        </w:tc>
        <w:tc>
          <w:tcPr>
            <w:tcW w:w="1227" w:type="dxa"/>
            <w:tcBorders>
              <w:top w:val="single" w:sz="4" w:space="0" w:color="auto"/>
            </w:tcBorders>
            <w:vAlign w:val="center"/>
          </w:tcPr>
          <w:p w14:paraId="5741AA70"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5.479</w:t>
            </w:r>
          </w:p>
        </w:tc>
        <w:tc>
          <w:tcPr>
            <w:tcW w:w="1134" w:type="dxa"/>
            <w:tcBorders>
              <w:top w:val="single" w:sz="4" w:space="0" w:color="auto"/>
            </w:tcBorders>
            <w:vAlign w:val="center"/>
          </w:tcPr>
          <w:p w14:paraId="0D3475FD"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4.089</w:t>
            </w:r>
          </w:p>
        </w:tc>
        <w:tc>
          <w:tcPr>
            <w:tcW w:w="1276" w:type="dxa"/>
            <w:tcBorders>
              <w:top w:val="single" w:sz="4" w:space="0" w:color="auto"/>
            </w:tcBorders>
            <w:vAlign w:val="center"/>
          </w:tcPr>
          <w:p w14:paraId="309F2295"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3.077</w:t>
            </w:r>
          </w:p>
        </w:tc>
        <w:tc>
          <w:tcPr>
            <w:tcW w:w="1275" w:type="dxa"/>
            <w:tcBorders>
              <w:top w:val="single" w:sz="4" w:space="0" w:color="auto"/>
            </w:tcBorders>
            <w:vAlign w:val="center"/>
          </w:tcPr>
          <w:p w14:paraId="63FE8664"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2.107</w:t>
            </w:r>
          </w:p>
        </w:tc>
      </w:tr>
      <w:tr w:rsidR="00E16C3E" w:rsidRPr="00720895" w14:paraId="52D5F9C8" w14:textId="77777777" w:rsidTr="00F86403">
        <w:trPr>
          <w:jc w:val="center"/>
        </w:trPr>
        <w:tc>
          <w:tcPr>
            <w:tcW w:w="1363" w:type="dxa"/>
            <w:vMerge/>
            <w:vAlign w:val="center"/>
          </w:tcPr>
          <w:p w14:paraId="0150B6E5" w14:textId="77777777" w:rsidR="00E16C3E" w:rsidRPr="00720895" w:rsidRDefault="00E16C3E" w:rsidP="00F86403">
            <w:pPr>
              <w:spacing w:line="360" w:lineRule="auto"/>
              <w:jc w:val="center"/>
              <w:rPr>
                <w:rFonts w:ascii="Times New Roman" w:hAnsi="Times New Roman" w:cs="Times New Roman"/>
                <w:sz w:val="20"/>
                <w:szCs w:val="20"/>
              </w:rPr>
            </w:pPr>
          </w:p>
        </w:tc>
        <w:tc>
          <w:tcPr>
            <w:tcW w:w="1091" w:type="dxa"/>
            <w:vAlign w:val="center"/>
          </w:tcPr>
          <w:p w14:paraId="10850F30"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OH</w:t>
            </w:r>
          </w:p>
        </w:tc>
        <w:tc>
          <w:tcPr>
            <w:tcW w:w="1227" w:type="dxa"/>
            <w:vAlign w:val="center"/>
          </w:tcPr>
          <w:p w14:paraId="5BA46D6B"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3.432</w:t>
            </w:r>
          </w:p>
        </w:tc>
        <w:tc>
          <w:tcPr>
            <w:tcW w:w="1134" w:type="dxa"/>
            <w:vAlign w:val="center"/>
          </w:tcPr>
          <w:p w14:paraId="4E068410"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3.475</w:t>
            </w:r>
          </w:p>
        </w:tc>
        <w:tc>
          <w:tcPr>
            <w:tcW w:w="1276" w:type="dxa"/>
            <w:vAlign w:val="center"/>
          </w:tcPr>
          <w:p w14:paraId="6B054868"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2.082</w:t>
            </w:r>
          </w:p>
        </w:tc>
        <w:tc>
          <w:tcPr>
            <w:tcW w:w="1275" w:type="dxa"/>
            <w:vAlign w:val="center"/>
          </w:tcPr>
          <w:p w14:paraId="44B79B84"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2.129</w:t>
            </w:r>
          </w:p>
        </w:tc>
      </w:tr>
      <w:tr w:rsidR="00E16C3E" w:rsidRPr="00720895" w14:paraId="49485912" w14:textId="77777777" w:rsidTr="00F86403">
        <w:trPr>
          <w:jc w:val="center"/>
        </w:trPr>
        <w:tc>
          <w:tcPr>
            <w:tcW w:w="1363" w:type="dxa"/>
            <w:vMerge/>
            <w:vAlign w:val="center"/>
          </w:tcPr>
          <w:p w14:paraId="75DC5DE5" w14:textId="77777777" w:rsidR="00E16C3E" w:rsidRPr="00720895" w:rsidRDefault="00E16C3E" w:rsidP="00F86403">
            <w:pPr>
              <w:spacing w:line="360" w:lineRule="auto"/>
              <w:jc w:val="center"/>
              <w:rPr>
                <w:rFonts w:ascii="Times New Roman" w:hAnsi="Times New Roman" w:cs="Times New Roman"/>
                <w:sz w:val="20"/>
                <w:szCs w:val="20"/>
              </w:rPr>
            </w:pPr>
          </w:p>
        </w:tc>
        <w:tc>
          <w:tcPr>
            <w:tcW w:w="1091" w:type="dxa"/>
            <w:vAlign w:val="center"/>
          </w:tcPr>
          <w:p w14:paraId="220B1E24"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O</w:t>
            </w:r>
          </w:p>
        </w:tc>
        <w:tc>
          <w:tcPr>
            <w:tcW w:w="1227" w:type="dxa"/>
            <w:vAlign w:val="center"/>
          </w:tcPr>
          <w:p w14:paraId="1F901FF9"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3.493</w:t>
            </w:r>
          </w:p>
        </w:tc>
        <w:tc>
          <w:tcPr>
            <w:tcW w:w="1134" w:type="dxa"/>
            <w:vAlign w:val="center"/>
          </w:tcPr>
          <w:p w14:paraId="77276593"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3.522</w:t>
            </w:r>
          </w:p>
        </w:tc>
        <w:tc>
          <w:tcPr>
            <w:tcW w:w="1276" w:type="dxa"/>
            <w:vAlign w:val="center"/>
          </w:tcPr>
          <w:p w14:paraId="3D70BB9A"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1.878</w:t>
            </w:r>
          </w:p>
        </w:tc>
        <w:tc>
          <w:tcPr>
            <w:tcW w:w="1275" w:type="dxa"/>
            <w:vAlign w:val="center"/>
          </w:tcPr>
          <w:p w14:paraId="28D9DEE2"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1.726</w:t>
            </w:r>
          </w:p>
        </w:tc>
      </w:tr>
      <w:tr w:rsidR="00E16C3E" w:rsidRPr="00720895" w14:paraId="3462592D" w14:textId="77777777" w:rsidTr="00F86403">
        <w:trPr>
          <w:jc w:val="center"/>
        </w:trPr>
        <w:tc>
          <w:tcPr>
            <w:tcW w:w="1363" w:type="dxa"/>
            <w:vMerge/>
            <w:vAlign w:val="center"/>
          </w:tcPr>
          <w:p w14:paraId="778DE0A0" w14:textId="77777777" w:rsidR="00E16C3E" w:rsidRPr="00720895" w:rsidRDefault="00E16C3E" w:rsidP="00F86403">
            <w:pPr>
              <w:spacing w:line="360" w:lineRule="auto"/>
              <w:jc w:val="center"/>
              <w:rPr>
                <w:rFonts w:ascii="Times New Roman" w:hAnsi="Times New Roman" w:cs="Times New Roman"/>
                <w:sz w:val="20"/>
                <w:szCs w:val="20"/>
              </w:rPr>
            </w:pPr>
          </w:p>
        </w:tc>
        <w:tc>
          <w:tcPr>
            <w:tcW w:w="1091" w:type="dxa"/>
            <w:vAlign w:val="center"/>
          </w:tcPr>
          <w:p w14:paraId="18EF5935"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OOH</w:t>
            </w:r>
          </w:p>
        </w:tc>
        <w:tc>
          <w:tcPr>
            <w:tcW w:w="1227" w:type="dxa"/>
            <w:vAlign w:val="center"/>
          </w:tcPr>
          <w:p w14:paraId="313DFC21"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3.557</w:t>
            </w:r>
          </w:p>
        </w:tc>
        <w:tc>
          <w:tcPr>
            <w:tcW w:w="1134" w:type="dxa"/>
            <w:vAlign w:val="center"/>
          </w:tcPr>
          <w:p w14:paraId="31FE4878"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3.485</w:t>
            </w:r>
          </w:p>
        </w:tc>
        <w:tc>
          <w:tcPr>
            <w:tcW w:w="1276" w:type="dxa"/>
            <w:vAlign w:val="center"/>
          </w:tcPr>
          <w:p w14:paraId="032EEC34"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2.009</w:t>
            </w:r>
          </w:p>
        </w:tc>
        <w:tc>
          <w:tcPr>
            <w:tcW w:w="1275" w:type="dxa"/>
            <w:vAlign w:val="center"/>
          </w:tcPr>
          <w:p w14:paraId="3A283ABE"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2.093</w:t>
            </w:r>
          </w:p>
        </w:tc>
      </w:tr>
      <w:tr w:rsidR="00E16C3E" w:rsidRPr="00720895" w14:paraId="248A700B" w14:textId="77777777" w:rsidTr="00F86403">
        <w:trPr>
          <w:jc w:val="center"/>
        </w:trPr>
        <w:tc>
          <w:tcPr>
            <w:tcW w:w="1363" w:type="dxa"/>
            <w:vMerge/>
            <w:tcBorders>
              <w:bottom w:val="single" w:sz="4" w:space="0" w:color="auto"/>
            </w:tcBorders>
            <w:vAlign w:val="center"/>
          </w:tcPr>
          <w:p w14:paraId="3C03EF23" w14:textId="77777777" w:rsidR="00E16C3E" w:rsidRPr="00720895" w:rsidRDefault="00E16C3E" w:rsidP="00F86403">
            <w:pPr>
              <w:spacing w:line="360" w:lineRule="auto"/>
              <w:jc w:val="center"/>
              <w:rPr>
                <w:rFonts w:ascii="Times New Roman" w:hAnsi="Times New Roman" w:cs="Times New Roman"/>
                <w:sz w:val="20"/>
                <w:szCs w:val="20"/>
              </w:rPr>
            </w:pPr>
          </w:p>
        </w:tc>
        <w:tc>
          <w:tcPr>
            <w:tcW w:w="1091" w:type="dxa"/>
            <w:tcBorders>
              <w:bottom w:val="single" w:sz="4" w:space="0" w:color="auto"/>
            </w:tcBorders>
            <w:vAlign w:val="center"/>
          </w:tcPr>
          <w:p w14:paraId="7DF9D8BE"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O</w:t>
            </w:r>
            <w:r w:rsidRPr="00720895">
              <w:rPr>
                <w:rFonts w:ascii="Times New Roman" w:hAnsi="Times New Roman" w:cs="Times New Roman"/>
                <w:sz w:val="20"/>
                <w:szCs w:val="20"/>
                <w:vertAlign w:val="subscript"/>
              </w:rPr>
              <w:t>2</w:t>
            </w:r>
          </w:p>
        </w:tc>
        <w:tc>
          <w:tcPr>
            <w:tcW w:w="1227" w:type="dxa"/>
            <w:tcBorders>
              <w:bottom w:val="single" w:sz="4" w:space="0" w:color="auto"/>
            </w:tcBorders>
            <w:vAlign w:val="center"/>
          </w:tcPr>
          <w:p w14:paraId="74FCF8B7"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4.849</w:t>
            </w:r>
          </w:p>
        </w:tc>
        <w:tc>
          <w:tcPr>
            <w:tcW w:w="1134" w:type="dxa"/>
            <w:tcBorders>
              <w:bottom w:val="single" w:sz="4" w:space="0" w:color="auto"/>
            </w:tcBorders>
            <w:vAlign w:val="center"/>
          </w:tcPr>
          <w:p w14:paraId="27DE82E3"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4.866</w:t>
            </w:r>
          </w:p>
        </w:tc>
        <w:tc>
          <w:tcPr>
            <w:tcW w:w="1276" w:type="dxa"/>
            <w:tcBorders>
              <w:bottom w:val="single" w:sz="4" w:space="0" w:color="auto"/>
            </w:tcBorders>
            <w:vAlign w:val="center"/>
          </w:tcPr>
          <w:p w14:paraId="1E50026D"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1.889</w:t>
            </w:r>
          </w:p>
        </w:tc>
        <w:tc>
          <w:tcPr>
            <w:tcW w:w="1275" w:type="dxa"/>
            <w:tcBorders>
              <w:bottom w:val="single" w:sz="4" w:space="0" w:color="auto"/>
            </w:tcBorders>
            <w:vAlign w:val="center"/>
          </w:tcPr>
          <w:p w14:paraId="7E79DFC4"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20895">
              <w:rPr>
                <w:rFonts w:ascii="Times New Roman" w:hAnsi="Times New Roman" w:cs="Times New Roman"/>
                <w:color w:val="000000"/>
                <w:sz w:val="20"/>
                <w:szCs w:val="20"/>
              </w:rPr>
              <w:t>2.034</w:t>
            </w:r>
          </w:p>
        </w:tc>
      </w:tr>
      <w:tr w:rsidR="00E16C3E" w:rsidRPr="00720895" w14:paraId="7BFE62C9" w14:textId="77777777" w:rsidTr="00F86403">
        <w:trPr>
          <w:jc w:val="center"/>
        </w:trPr>
        <w:tc>
          <w:tcPr>
            <w:tcW w:w="1363" w:type="dxa"/>
            <w:vMerge w:val="restart"/>
            <w:tcBorders>
              <w:top w:val="single" w:sz="4" w:space="0" w:color="auto"/>
            </w:tcBorders>
            <w:vAlign w:val="center"/>
          </w:tcPr>
          <w:p w14:paraId="6DF929FD"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NiSe (</w:t>
            </w:r>
            <w:r>
              <w:rPr>
                <w:rFonts w:ascii="Times New Roman" w:hAnsi="Times New Roman" w:cs="Times New Roman"/>
                <w:sz w:val="20"/>
                <w:szCs w:val="20"/>
              </w:rPr>
              <w:t>101</w:t>
            </w:r>
            <w:r w:rsidRPr="00720895">
              <w:rPr>
                <w:rFonts w:ascii="Times New Roman" w:hAnsi="Times New Roman" w:cs="Times New Roman"/>
                <w:sz w:val="20"/>
                <w:szCs w:val="20"/>
              </w:rPr>
              <w:t>)</w:t>
            </w:r>
          </w:p>
        </w:tc>
        <w:tc>
          <w:tcPr>
            <w:tcW w:w="1091" w:type="dxa"/>
            <w:tcBorders>
              <w:top w:val="single" w:sz="4" w:space="0" w:color="auto"/>
            </w:tcBorders>
            <w:vAlign w:val="center"/>
          </w:tcPr>
          <w:p w14:paraId="0ACCC081"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H</w:t>
            </w:r>
            <w:r w:rsidRPr="00720895">
              <w:rPr>
                <w:rFonts w:ascii="Times New Roman" w:hAnsi="Times New Roman" w:cs="Times New Roman"/>
                <w:sz w:val="20"/>
                <w:szCs w:val="20"/>
                <w:vertAlign w:val="subscript"/>
              </w:rPr>
              <w:t>2</w:t>
            </w:r>
            <w:r w:rsidRPr="00720895">
              <w:rPr>
                <w:rFonts w:ascii="Times New Roman" w:hAnsi="Times New Roman" w:cs="Times New Roman"/>
                <w:sz w:val="20"/>
                <w:szCs w:val="20"/>
              </w:rPr>
              <w:t>O</w:t>
            </w:r>
          </w:p>
        </w:tc>
        <w:tc>
          <w:tcPr>
            <w:tcW w:w="1227" w:type="dxa"/>
            <w:tcBorders>
              <w:top w:val="single" w:sz="4" w:space="0" w:color="auto"/>
            </w:tcBorders>
            <w:vAlign w:val="bottom"/>
          </w:tcPr>
          <w:p w14:paraId="6C01D66C"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83B0C">
              <w:rPr>
                <w:rFonts w:ascii="Times New Roman" w:hAnsi="Times New Roman" w:cs="Times New Roman"/>
                <w:color w:val="000000"/>
                <w:sz w:val="20"/>
                <w:szCs w:val="20"/>
              </w:rPr>
              <w:t>4.483</w:t>
            </w:r>
          </w:p>
        </w:tc>
        <w:tc>
          <w:tcPr>
            <w:tcW w:w="1134" w:type="dxa"/>
            <w:tcBorders>
              <w:top w:val="single" w:sz="4" w:space="0" w:color="auto"/>
            </w:tcBorders>
            <w:vAlign w:val="bottom"/>
          </w:tcPr>
          <w:p w14:paraId="1D8BEAF7"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83B0C">
              <w:rPr>
                <w:rFonts w:ascii="Times New Roman" w:hAnsi="Times New Roman" w:cs="Times New Roman"/>
                <w:color w:val="000000"/>
                <w:sz w:val="20"/>
                <w:szCs w:val="20"/>
              </w:rPr>
              <w:t>3.964</w:t>
            </w:r>
          </w:p>
        </w:tc>
        <w:tc>
          <w:tcPr>
            <w:tcW w:w="2551" w:type="dxa"/>
            <w:gridSpan w:val="2"/>
            <w:vMerge w:val="restart"/>
            <w:tcBorders>
              <w:top w:val="single" w:sz="4" w:space="0" w:color="auto"/>
            </w:tcBorders>
            <w:vAlign w:val="bottom"/>
          </w:tcPr>
          <w:p w14:paraId="1BC1D7C8"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DA4973">
              <w:rPr>
                <w:rFonts w:asciiTheme="majorBidi" w:hAnsiTheme="majorBidi" w:cstheme="majorBidi"/>
                <w:color w:val="000000"/>
                <w:sz w:val="20"/>
                <w:szCs w:val="20"/>
              </w:rPr>
              <w:t>3.898</w:t>
            </w:r>
            <w:r>
              <w:rPr>
                <w:rFonts w:asciiTheme="majorBidi" w:hAnsiTheme="majorBidi" w:cstheme="majorBidi"/>
                <w:color w:val="000000"/>
                <w:sz w:val="20"/>
                <w:szCs w:val="20"/>
              </w:rPr>
              <w:t>*</w:t>
            </w:r>
          </w:p>
          <w:p w14:paraId="767FC328"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DA4973">
              <w:rPr>
                <w:rFonts w:asciiTheme="majorBidi" w:hAnsiTheme="majorBidi" w:cstheme="majorBidi"/>
                <w:color w:val="000000"/>
                <w:sz w:val="20"/>
                <w:szCs w:val="20"/>
              </w:rPr>
              <w:t>1.933</w:t>
            </w:r>
          </w:p>
          <w:p w14:paraId="1E6EDBE1"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DA4973">
              <w:rPr>
                <w:rFonts w:asciiTheme="majorBidi" w:hAnsiTheme="majorBidi" w:cstheme="majorBidi"/>
                <w:color w:val="000000"/>
                <w:sz w:val="20"/>
                <w:szCs w:val="20"/>
              </w:rPr>
              <w:t>1.735</w:t>
            </w:r>
          </w:p>
          <w:p w14:paraId="1DF61471"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DA4973">
              <w:rPr>
                <w:rFonts w:asciiTheme="majorBidi" w:hAnsiTheme="majorBidi" w:cstheme="majorBidi"/>
                <w:color w:val="000000"/>
                <w:sz w:val="20"/>
                <w:szCs w:val="20"/>
              </w:rPr>
              <w:t>1.915</w:t>
            </w:r>
          </w:p>
          <w:p w14:paraId="047AF464" w14:textId="77777777" w:rsidR="00E16C3E" w:rsidRPr="00720895" w:rsidRDefault="00E16C3E" w:rsidP="00F86403">
            <w:pPr>
              <w:spacing w:line="36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1.736</w:t>
            </w:r>
          </w:p>
        </w:tc>
      </w:tr>
      <w:tr w:rsidR="00E16C3E" w:rsidRPr="00720895" w14:paraId="533E64FE" w14:textId="77777777" w:rsidTr="00F86403">
        <w:trPr>
          <w:jc w:val="center"/>
        </w:trPr>
        <w:tc>
          <w:tcPr>
            <w:tcW w:w="1363" w:type="dxa"/>
            <w:vMerge/>
            <w:vAlign w:val="center"/>
          </w:tcPr>
          <w:p w14:paraId="6920BDA4" w14:textId="77777777" w:rsidR="00E16C3E" w:rsidRPr="00720895" w:rsidRDefault="00E16C3E" w:rsidP="00F86403">
            <w:pPr>
              <w:spacing w:line="360" w:lineRule="auto"/>
              <w:jc w:val="center"/>
              <w:rPr>
                <w:rFonts w:ascii="Times New Roman" w:hAnsi="Times New Roman" w:cs="Times New Roman"/>
                <w:sz w:val="20"/>
                <w:szCs w:val="20"/>
              </w:rPr>
            </w:pPr>
          </w:p>
        </w:tc>
        <w:tc>
          <w:tcPr>
            <w:tcW w:w="1091" w:type="dxa"/>
            <w:vAlign w:val="center"/>
          </w:tcPr>
          <w:p w14:paraId="281829E6"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OH</w:t>
            </w:r>
          </w:p>
        </w:tc>
        <w:tc>
          <w:tcPr>
            <w:tcW w:w="1227" w:type="dxa"/>
            <w:vAlign w:val="bottom"/>
          </w:tcPr>
          <w:p w14:paraId="420C36EB"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83B0C">
              <w:rPr>
                <w:rFonts w:ascii="Times New Roman" w:hAnsi="Times New Roman" w:cs="Times New Roman"/>
                <w:color w:val="000000"/>
                <w:sz w:val="20"/>
                <w:szCs w:val="20"/>
              </w:rPr>
              <w:t>3.498</w:t>
            </w:r>
          </w:p>
        </w:tc>
        <w:tc>
          <w:tcPr>
            <w:tcW w:w="1134" w:type="dxa"/>
            <w:vAlign w:val="bottom"/>
          </w:tcPr>
          <w:p w14:paraId="69A3B175"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83B0C">
              <w:rPr>
                <w:rFonts w:ascii="Times New Roman" w:hAnsi="Times New Roman" w:cs="Times New Roman"/>
                <w:color w:val="000000"/>
                <w:sz w:val="20"/>
                <w:szCs w:val="20"/>
              </w:rPr>
              <w:t>3.594</w:t>
            </w:r>
          </w:p>
        </w:tc>
        <w:tc>
          <w:tcPr>
            <w:tcW w:w="2551" w:type="dxa"/>
            <w:gridSpan w:val="2"/>
            <w:vMerge/>
            <w:vAlign w:val="bottom"/>
          </w:tcPr>
          <w:p w14:paraId="47DBB869" w14:textId="77777777" w:rsidR="00E16C3E" w:rsidRPr="00720895" w:rsidRDefault="00E16C3E" w:rsidP="00F86403">
            <w:pPr>
              <w:spacing w:line="360" w:lineRule="auto"/>
              <w:jc w:val="center"/>
              <w:rPr>
                <w:rFonts w:ascii="Times New Roman" w:hAnsi="Times New Roman" w:cs="Times New Roman"/>
                <w:color w:val="000000"/>
                <w:sz w:val="20"/>
                <w:szCs w:val="20"/>
              </w:rPr>
            </w:pPr>
          </w:p>
        </w:tc>
      </w:tr>
      <w:tr w:rsidR="00E16C3E" w:rsidRPr="00720895" w14:paraId="487A7378" w14:textId="77777777" w:rsidTr="00F86403">
        <w:trPr>
          <w:jc w:val="center"/>
        </w:trPr>
        <w:tc>
          <w:tcPr>
            <w:tcW w:w="1363" w:type="dxa"/>
            <w:vMerge/>
            <w:vAlign w:val="center"/>
          </w:tcPr>
          <w:p w14:paraId="1BB53DBE" w14:textId="77777777" w:rsidR="00E16C3E" w:rsidRPr="00720895" w:rsidRDefault="00E16C3E" w:rsidP="00F86403">
            <w:pPr>
              <w:spacing w:line="360" w:lineRule="auto"/>
              <w:jc w:val="center"/>
              <w:rPr>
                <w:rFonts w:ascii="Times New Roman" w:hAnsi="Times New Roman" w:cs="Times New Roman"/>
                <w:sz w:val="20"/>
                <w:szCs w:val="20"/>
              </w:rPr>
            </w:pPr>
          </w:p>
        </w:tc>
        <w:tc>
          <w:tcPr>
            <w:tcW w:w="1091" w:type="dxa"/>
            <w:vAlign w:val="center"/>
          </w:tcPr>
          <w:p w14:paraId="130E50DB"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O</w:t>
            </w:r>
          </w:p>
        </w:tc>
        <w:tc>
          <w:tcPr>
            <w:tcW w:w="1227" w:type="dxa"/>
            <w:vAlign w:val="bottom"/>
          </w:tcPr>
          <w:p w14:paraId="2740A931"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83B0C">
              <w:rPr>
                <w:rFonts w:ascii="Times New Roman" w:hAnsi="Times New Roman" w:cs="Times New Roman"/>
                <w:color w:val="000000"/>
                <w:sz w:val="20"/>
                <w:szCs w:val="20"/>
              </w:rPr>
              <w:t>3.659</w:t>
            </w:r>
          </w:p>
        </w:tc>
        <w:tc>
          <w:tcPr>
            <w:tcW w:w="1134" w:type="dxa"/>
            <w:vAlign w:val="bottom"/>
          </w:tcPr>
          <w:p w14:paraId="76A78926"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83B0C">
              <w:rPr>
                <w:rFonts w:ascii="Times New Roman" w:hAnsi="Times New Roman" w:cs="Times New Roman"/>
                <w:color w:val="000000"/>
                <w:sz w:val="20"/>
                <w:szCs w:val="20"/>
              </w:rPr>
              <w:t>3.512</w:t>
            </w:r>
          </w:p>
        </w:tc>
        <w:tc>
          <w:tcPr>
            <w:tcW w:w="2551" w:type="dxa"/>
            <w:gridSpan w:val="2"/>
            <w:vMerge/>
            <w:vAlign w:val="bottom"/>
          </w:tcPr>
          <w:p w14:paraId="14457A88" w14:textId="77777777" w:rsidR="00E16C3E" w:rsidRPr="00720895" w:rsidRDefault="00E16C3E" w:rsidP="00F86403">
            <w:pPr>
              <w:spacing w:line="360" w:lineRule="auto"/>
              <w:jc w:val="center"/>
              <w:rPr>
                <w:rFonts w:ascii="Times New Roman" w:hAnsi="Times New Roman" w:cs="Times New Roman"/>
                <w:color w:val="000000"/>
                <w:sz w:val="20"/>
                <w:szCs w:val="20"/>
              </w:rPr>
            </w:pPr>
          </w:p>
        </w:tc>
      </w:tr>
      <w:tr w:rsidR="00E16C3E" w:rsidRPr="00720895" w14:paraId="0469AE24" w14:textId="77777777" w:rsidTr="00F86403">
        <w:trPr>
          <w:jc w:val="center"/>
        </w:trPr>
        <w:tc>
          <w:tcPr>
            <w:tcW w:w="1363" w:type="dxa"/>
            <w:vMerge/>
            <w:vAlign w:val="center"/>
          </w:tcPr>
          <w:p w14:paraId="1CACA80D" w14:textId="77777777" w:rsidR="00E16C3E" w:rsidRPr="00720895" w:rsidRDefault="00E16C3E" w:rsidP="00F86403">
            <w:pPr>
              <w:spacing w:line="360" w:lineRule="auto"/>
              <w:jc w:val="center"/>
              <w:rPr>
                <w:rFonts w:ascii="Times New Roman" w:hAnsi="Times New Roman" w:cs="Times New Roman"/>
                <w:sz w:val="20"/>
                <w:szCs w:val="20"/>
              </w:rPr>
            </w:pPr>
          </w:p>
        </w:tc>
        <w:tc>
          <w:tcPr>
            <w:tcW w:w="1091" w:type="dxa"/>
            <w:vAlign w:val="center"/>
          </w:tcPr>
          <w:p w14:paraId="26B7ABF4"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OOH</w:t>
            </w:r>
          </w:p>
        </w:tc>
        <w:tc>
          <w:tcPr>
            <w:tcW w:w="1227" w:type="dxa"/>
            <w:vAlign w:val="bottom"/>
          </w:tcPr>
          <w:p w14:paraId="6F4C7014"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83B0C">
              <w:rPr>
                <w:rFonts w:ascii="Times New Roman" w:hAnsi="Times New Roman" w:cs="Times New Roman"/>
                <w:color w:val="000000"/>
                <w:sz w:val="20"/>
                <w:szCs w:val="20"/>
              </w:rPr>
              <w:t>3.851</w:t>
            </w:r>
          </w:p>
        </w:tc>
        <w:tc>
          <w:tcPr>
            <w:tcW w:w="1134" w:type="dxa"/>
            <w:vAlign w:val="bottom"/>
          </w:tcPr>
          <w:p w14:paraId="62749132"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83B0C">
              <w:rPr>
                <w:rFonts w:ascii="Times New Roman" w:hAnsi="Times New Roman" w:cs="Times New Roman"/>
                <w:color w:val="000000"/>
                <w:sz w:val="20"/>
                <w:szCs w:val="20"/>
              </w:rPr>
              <w:t>3.583</w:t>
            </w:r>
          </w:p>
        </w:tc>
        <w:tc>
          <w:tcPr>
            <w:tcW w:w="2551" w:type="dxa"/>
            <w:gridSpan w:val="2"/>
            <w:vMerge/>
            <w:vAlign w:val="bottom"/>
          </w:tcPr>
          <w:p w14:paraId="2CF31497" w14:textId="77777777" w:rsidR="00E16C3E" w:rsidRPr="00720895" w:rsidRDefault="00E16C3E" w:rsidP="00F86403">
            <w:pPr>
              <w:spacing w:line="360" w:lineRule="auto"/>
              <w:jc w:val="center"/>
              <w:rPr>
                <w:rFonts w:ascii="Times New Roman" w:hAnsi="Times New Roman" w:cs="Times New Roman"/>
                <w:color w:val="000000"/>
                <w:sz w:val="20"/>
                <w:szCs w:val="20"/>
              </w:rPr>
            </w:pPr>
          </w:p>
        </w:tc>
      </w:tr>
      <w:tr w:rsidR="00E16C3E" w:rsidRPr="00463E31" w14:paraId="1CEDCF89" w14:textId="77777777" w:rsidTr="00F86403">
        <w:trPr>
          <w:jc w:val="center"/>
        </w:trPr>
        <w:tc>
          <w:tcPr>
            <w:tcW w:w="1363" w:type="dxa"/>
            <w:vMerge/>
            <w:vAlign w:val="center"/>
          </w:tcPr>
          <w:p w14:paraId="654A40EA" w14:textId="77777777" w:rsidR="00E16C3E" w:rsidRPr="00720895" w:rsidRDefault="00E16C3E" w:rsidP="00F86403">
            <w:pPr>
              <w:spacing w:line="360" w:lineRule="auto"/>
              <w:jc w:val="center"/>
              <w:rPr>
                <w:rFonts w:ascii="Times New Roman" w:hAnsi="Times New Roman" w:cs="Times New Roman"/>
                <w:sz w:val="20"/>
                <w:szCs w:val="20"/>
              </w:rPr>
            </w:pPr>
          </w:p>
        </w:tc>
        <w:tc>
          <w:tcPr>
            <w:tcW w:w="1091" w:type="dxa"/>
            <w:vAlign w:val="center"/>
          </w:tcPr>
          <w:p w14:paraId="6CA946CB" w14:textId="77777777" w:rsidR="00E16C3E" w:rsidRPr="00720895" w:rsidRDefault="00E16C3E" w:rsidP="00F86403">
            <w:pPr>
              <w:spacing w:line="360" w:lineRule="auto"/>
              <w:jc w:val="center"/>
              <w:rPr>
                <w:rFonts w:ascii="Times New Roman" w:hAnsi="Times New Roman" w:cs="Times New Roman"/>
                <w:sz w:val="20"/>
                <w:szCs w:val="20"/>
              </w:rPr>
            </w:pPr>
            <w:r w:rsidRPr="00720895">
              <w:rPr>
                <w:rFonts w:ascii="Times New Roman" w:hAnsi="Times New Roman" w:cs="Times New Roman"/>
                <w:sz w:val="20"/>
                <w:szCs w:val="20"/>
              </w:rPr>
              <w:t>O</w:t>
            </w:r>
            <w:r w:rsidRPr="00720895">
              <w:rPr>
                <w:rFonts w:ascii="Times New Roman" w:hAnsi="Times New Roman" w:cs="Times New Roman"/>
                <w:sz w:val="20"/>
                <w:szCs w:val="20"/>
                <w:vertAlign w:val="subscript"/>
              </w:rPr>
              <w:t>2</w:t>
            </w:r>
          </w:p>
        </w:tc>
        <w:tc>
          <w:tcPr>
            <w:tcW w:w="1227" w:type="dxa"/>
            <w:vAlign w:val="bottom"/>
          </w:tcPr>
          <w:p w14:paraId="350DC844"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83B0C">
              <w:rPr>
                <w:rFonts w:ascii="Times New Roman" w:hAnsi="Times New Roman" w:cs="Times New Roman"/>
                <w:color w:val="000000"/>
                <w:sz w:val="20"/>
                <w:szCs w:val="20"/>
              </w:rPr>
              <w:t>3.720</w:t>
            </w:r>
          </w:p>
        </w:tc>
        <w:tc>
          <w:tcPr>
            <w:tcW w:w="1134" w:type="dxa"/>
            <w:vAlign w:val="bottom"/>
          </w:tcPr>
          <w:p w14:paraId="6CC8AF8B" w14:textId="77777777" w:rsidR="00E16C3E" w:rsidRPr="00720895" w:rsidRDefault="00E16C3E" w:rsidP="00F86403">
            <w:pPr>
              <w:spacing w:line="360" w:lineRule="auto"/>
              <w:jc w:val="center"/>
              <w:rPr>
                <w:rFonts w:ascii="Times New Roman" w:hAnsi="Times New Roman" w:cs="Times New Roman"/>
                <w:color w:val="000000"/>
                <w:sz w:val="20"/>
                <w:szCs w:val="20"/>
              </w:rPr>
            </w:pPr>
            <w:r w:rsidRPr="00783B0C">
              <w:rPr>
                <w:rFonts w:ascii="Times New Roman" w:hAnsi="Times New Roman" w:cs="Times New Roman"/>
                <w:color w:val="000000"/>
                <w:sz w:val="20"/>
                <w:szCs w:val="20"/>
              </w:rPr>
              <w:t>4.340</w:t>
            </w:r>
          </w:p>
        </w:tc>
        <w:tc>
          <w:tcPr>
            <w:tcW w:w="2551" w:type="dxa"/>
            <w:gridSpan w:val="2"/>
            <w:vMerge/>
            <w:vAlign w:val="center"/>
          </w:tcPr>
          <w:p w14:paraId="6A035557" w14:textId="77777777" w:rsidR="00E16C3E" w:rsidRPr="00463E31" w:rsidRDefault="00E16C3E" w:rsidP="00F86403">
            <w:pPr>
              <w:spacing w:line="360" w:lineRule="auto"/>
              <w:jc w:val="center"/>
              <w:rPr>
                <w:rFonts w:ascii="Times New Roman" w:hAnsi="Times New Roman" w:cs="Times New Roman"/>
                <w:color w:val="000000"/>
                <w:sz w:val="20"/>
                <w:szCs w:val="20"/>
              </w:rPr>
            </w:pPr>
          </w:p>
        </w:tc>
      </w:tr>
    </w:tbl>
    <w:p w14:paraId="6A3F87F2" w14:textId="77777777" w:rsidR="00E16C3E" w:rsidRDefault="00E16C3E" w:rsidP="00E16C3E">
      <w:pPr>
        <w:spacing w:line="360" w:lineRule="auto"/>
        <w:rPr>
          <w:rFonts w:ascii="Times New Roman" w:hAnsi="Times New Roman" w:cs="Times New Roman"/>
        </w:rPr>
      </w:pPr>
      <w:r w:rsidRPr="002664D6">
        <w:rPr>
          <w:rFonts w:ascii="Times New Roman" w:hAnsi="Times New Roman" w:cs="Times New Roman"/>
          <w:sz w:val="20"/>
          <w:szCs w:val="20"/>
        </w:rPr>
        <w:t>*The distinction between a Ni and a Co site is lost on the Ni-Co-Se</w:t>
      </w:r>
      <w:r w:rsidRPr="002664D6">
        <w:rPr>
          <w:rFonts w:ascii="Times New Roman" w:hAnsi="Times New Roman" w:cs="Times New Roman"/>
          <w:sz w:val="20"/>
          <w:szCs w:val="20"/>
          <w:vertAlign w:val="subscript"/>
        </w:rPr>
        <w:t>vac</w:t>
      </w:r>
      <w:r w:rsidRPr="002664D6">
        <w:rPr>
          <w:rFonts w:ascii="Times New Roman" w:hAnsi="Times New Roman" w:cs="Times New Roman"/>
          <w:sz w:val="20"/>
          <w:szCs w:val="20"/>
        </w:rPr>
        <w:t xml:space="preserve"> (101) surface due to the adsorbed oxygen species filling the Se vacancy and bridging a surface Co and Ni atom.</w:t>
      </w:r>
    </w:p>
    <w:p w14:paraId="224F2C34" w14:textId="77777777" w:rsidR="00E16C3E" w:rsidRDefault="00E16C3E" w:rsidP="00E16C3E">
      <w:pPr>
        <w:spacing w:line="360" w:lineRule="auto"/>
        <w:rPr>
          <w:rFonts w:ascii="Times New Roman" w:hAnsi="Times New Roman" w:cs="Times New Roman"/>
        </w:rPr>
      </w:pPr>
    </w:p>
    <w:p w14:paraId="525F7FD6" w14:textId="77777777" w:rsidR="00E16C3E" w:rsidRDefault="00E16C3E" w:rsidP="00E16C3E">
      <w:pPr>
        <w:spacing w:line="360" w:lineRule="auto"/>
        <w:rPr>
          <w:rFonts w:ascii="Times New Roman" w:hAnsi="Times New Roman" w:cs="Times New Roman"/>
        </w:rPr>
      </w:pPr>
    </w:p>
    <w:p w14:paraId="34B81061" w14:textId="77777777" w:rsidR="00E16C3E" w:rsidRDefault="00E16C3E" w:rsidP="00E16C3E">
      <w:pPr>
        <w:spacing w:line="360" w:lineRule="auto"/>
        <w:rPr>
          <w:rFonts w:ascii="Times New Roman" w:hAnsi="Times New Roman" w:cs="Times New Roman"/>
        </w:rPr>
      </w:pPr>
    </w:p>
    <w:p w14:paraId="145938B3" w14:textId="77777777" w:rsidR="00E16C3E" w:rsidRDefault="00E16C3E" w:rsidP="00E16C3E">
      <w:pPr>
        <w:spacing w:line="360" w:lineRule="auto"/>
        <w:rPr>
          <w:rFonts w:ascii="Times New Roman" w:hAnsi="Times New Roman" w:cs="Times New Roman"/>
        </w:rPr>
      </w:pPr>
    </w:p>
    <w:p w14:paraId="3DE0EE3D" w14:textId="77777777" w:rsidR="00E16C3E" w:rsidRPr="00505B25" w:rsidRDefault="00E16C3E" w:rsidP="00E16C3E">
      <w:pPr>
        <w:spacing w:line="360" w:lineRule="auto"/>
        <w:rPr>
          <w:rFonts w:ascii="Times New Roman" w:hAnsi="Times New Roman" w:cs="Times New Roman"/>
        </w:rPr>
      </w:pPr>
    </w:p>
    <w:p w14:paraId="67E19460" w14:textId="122D70B2" w:rsidR="00EC1E9D" w:rsidRDefault="00EC1E9D" w:rsidP="00F35D51">
      <w:pPr>
        <w:spacing w:line="480" w:lineRule="auto"/>
        <w:rPr>
          <w:rFonts w:ascii="Times New Roman" w:eastAsia="Arial Unicode MS" w:hAnsi="Times New Roman" w:cs="Times New Roman"/>
          <w:iCs/>
        </w:rPr>
        <w:sectPr w:rsidR="00EC1E9D" w:rsidSect="004A2EF3">
          <w:pgSz w:w="11900" w:h="16840"/>
          <w:pgMar w:top="1440" w:right="1440" w:bottom="1440" w:left="1440" w:header="708" w:footer="708" w:gutter="0"/>
          <w:cols w:space="708"/>
          <w:docGrid w:linePitch="360"/>
        </w:sectPr>
      </w:pPr>
    </w:p>
    <w:p w14:paraId="540605A9" w14:textId="77777777" w:rsidR="00F35D51" w:rsidRDefault="00F35D51" w:rsidP="00F35D51">
      <w:pPr>
        <w:spacing w:line="480" w:lineRule="auto"/>
        <w:rPr>
          <w:rFonts w:ascii="Times New Roman" w:eastAsia="Arial Unicode MS" w:hAnsi="Times New Roman" w:cs="Times New Roman"/>
          <w:b/>
          <w:bCs/>
          <w:iCs/>
        </w:rPr>
      </w:pPr>
      <w:r w:rsidRPr="00B335E1">
        <w:rPr>
          <w:rFonts w:ascii="Times New Roman" w:eastAsia="Arial Unicode MS" w:hAnsi="Times New Roman" w:cs="Times New Roman"/>
          <w:b/>
          <w:bCs/>
          <w:iCs/>
        </w:rPr>
        <w:lastRenderedPageBreak/>
        <w:t>Overall performance</w:t>
      </w:r>
    </w:p>
    <w:p w14:paraId="0613F59F" w14:textId="0E124946" w:rsidR="00F35D51" w:rsidRPr="009A60B1" w:rsidRDefault="00F35D51" w:rsidP="00917B13">
      <w:pPr>
        <w:pStyle w:val="Caption"/>
        <w:keepNext/>
        <w:jc w:val="center"/>
        <w:rPr>
          <w:b w:val="0"/>
          <w:bCs w:val="0"/>
        </w:rPr>
      </w:pPr>
      <w:r w:rsidRPr="00E8138A">
        <w:t>Table S</w:t>
      </w:r>
      <w:r w:rsidR="00CB21C8">
        <w:t>8</w:t>
      </w:r>
      <w:r w:rsidR="002957BF">
        <w:t>.</w:t>
      </w:r>
      <w:r>
        <w:t xml:space="preserve"> </w:t>
      </w:r>
      <w:r w:rsidR="00917B13" w:rsidRPr="00917B13">
        <w:rPr>
          <w:b w:val="0"/>
          <w:bCs w:val="0"/>
        </w:rPr>
        <w:t>A review of</w:t>
      </w:r>
      <w:r w:rsidR="00917B13">
        <w:t xml:space="preserve"> </w:t>
      </w:r>
      <w:r w:rsidRPr="00C1432C">
        <w:rPr>
          <w:b w:val="0"/>
          <w:bCs w:val="0"/>
        </w:rPr>
        <w:t xml:space="preserve">OER </w:t>
      </w:r>
      <w:r w:rsidR="00917B13">
        <w:rPr>
          <w:b w:val="0"/>
          <w:bCs w:val="0"/>
        </w:rPr>
        <w:t>catalyst p</w:t>
      </w:r>
      <w:r w:rsidRPr="00C1432C">
        <w:rPr>
          <w:b w:val="0"/>
          <w:bCs w:val="0"/>
        </w:rPr>
        <w:t xml:space="preserve">erformance </w:t>
      </w:r>
      <w:r>
        <w:rPr>
          <w:b w:val="0"/>
          <w:bCs w:val="0"/>
        </w:rPr>
        <w:t xml:space="preserve">table </w:t>
      </w:r>
    </w:p>
    <w:p w14:paraId="46C28457" w14:textId="77777777" w:rsidR="00F35D51" w:rsidRPr="00B335E1" w:rsidRDefault="00F35D51" w:rsidP="00F35D51">
      <w:pPr>
        <w:spacing w:line="480" w:lineRule="auto"/>
        <w:rPr>
          <w:rFonts w:ascii="Times New Roman" w:eastAsia="Arial Unicode MS" w:hAnsi="Times New Roman" w:cs="Times New Roman"/>
          <w:b/>
          <w:bCs/>
          <w:iCs/>
        </w:rPr>
      </w:pPr>
    </w:p>
    <w:tbl>
      <w:tblPr>
        <w:tblStyle w:val="TableGrid"/>
        <w:tblW w:w="14304" w:type="dxa"/>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4"/>
        <w:gridCol w:w="2250"/>
        <w:gridCol w:w="1133"/>
        <w:gridCol w:w="6"/>
        <w:gridCol w:w="58"/>
        <w:gridCol w:w="1196"/>
        <w:gridCol w:w="6"/>
        <w:gridCol w:w="58"/>
        <w:gridCol w:w="1106"/>
        <w:gridCol w:w="6"/>
        <w:gridCol w:w="58"/>
        <w:gridCol w:w="603"/>
        <w:gridCol w:w="6"/>
        <w:gridCol w:w="58"/>
        <w:gridCol w:w="1016"/>
        <w:gridCol w:w="6"/>
        <w:gridCol w:w="58"/>
        <w:gridCol w:w="206"/>
        <w:gridCol w:w="6"/>
        <w:gridCol w:w="58"/>
        <w:gridCol w:w="2276"/>
        <w:gridCol w:w="6"/>
        <w:gridCol w:w="58"/>
        <w:gridCol w:w="750"/>
        <w:gridCol w:w="6"/>
        <w:gridCol w:w="58"/>
        <w:gridCol w:w="1001"/>
        <w:gridCol w:w="1701"/>
      </w:tblGrid>
      <w:tr w:rsidR="00F35D51" w:rsidRPr="000B06A4" w14:paraId="1288FE8A" w14:textId="77777777" w:rsidTr="00B05959">
        <w:trPr>
          <w:gridAfter w:val="1"/>
          <w:wAfter w:w="1701" w:type="dxa"/>
          <w:trHeight w:val="279"/>
        </w:trPr>
        <w:tc>
          <w:tcPr>
            <w:tcW w:w="554" w:type="dxa"/>
          </w:tcPr>
          <w:p w14:paraId="2F5BE48F" w14:textId="77777777" w:rsidR="00F35D51" w:rsidRPr="000B06A4" w:rsidRDefault="00F35D51" w:rsidP="00B05959">
            <w:pPr>
              <w:rPr>
                <w:rFonts w:ascii="Times" w:hAnsi="Times"/>
                <w:b/>
                <w:bCs/>
                <w:sz w:val="20"/>
                <w:szCs w:val="20"/>
              </w:rPr>
            </w:pPr>
          </w:p>
        </w:tc>
        <w:tc>
          <w:tcPr>
            <w:tcW w:w="2250" w:type="dxa"/>
            <w:vAlign w:val="bottom"/>
          </w:tcPr>
          <w:p w14:paraId="735C0B73" w14:textId="77777777" w:rsidR="00F35D51" w:rsidRPr="000B06A4" w:rsidRDefault="00F35D51" w:rsidP="00B05959">
            <w:pPr>
              <w:rPr>
                <w:rFonts w:ascii="Times" w:hAnsi="Times"/>
                <w:b/>
                <w:bCs/>
                <w:sz w:val="20"/>
                <w:szCs w:val="20"/>
              </w:rPr>
            </w:pPr>
          </w:p>
        </w:tc>
        <w:tc>
          <w:tcPr>
            <w:tcW w:w="1133" w:type="dxa"/>
            <w:vAlign w:val="bottom"/>
          </w:tcPr>
          <w:p w14:paraId="2D304240" w14:textId="77777777" w:rsidR="00F35D51" w:rsidRPr="000B06A4" w:rsidRDefault="00F35D51" w:rsidP="00B05959">
            <w:pPr>
              <w:jc w:val="center"/>
              <w:rPr>
                <w:rFonts w:ascii="Times" w:hAnsi="Times"/>
                <w:b/>
                <w:bCs/>
                <w:sz w:val="20"/>
                <w:szCs w:val="20"/>
              </w:rPr>
            </w:pPr>
          </w:p>
        </w:tc>
        <w:tc>
          <w:tcPr>
            <w:tcW w:w="1260" w:type="dxa"/>
            <w:gridSpan w:val="3"/>
            <w:vAlign w:val="bottom"/>
          </w:tcPr>
          <w:p w14:paraId="2F6A5450" w14:textId="77777777" w:rsidR="00F35D51" w:rsidRPr="000B06A4" w:rsidRDefault="00F35D51" w:rsidP="00B05959">
            <w:pPr>
              <w:jc w:val="center"/>
              <w:rPr>
                <w:rFonts w:ascii="Times" w:hAnsi="Times"/>
                <w:b/>
                <w:bCs/>
                <w:sz w:val="20"/>
                <w:szCs w:val="20"/>
              </w:rPr>
            </w:pPr>
          </w:p>
        </w:tc>
        <w:tc>
          <w:tcPr>
            <w:tcW w:w="1170" w:type="dxa"/>
            <w:gridSpan w:val="3"/>
            <w:vAlign w:val="bottom"/>
          </w:tcPr>
          <w:p w14:paraId="1D314A58" w14:textId="77777777" w:rsidR="00F35D51" w:rsidRPr="000B06A4" w:rsidRDefault="00F35D51" w:rsidP="00B05959">
            <w:pPr>
              <w:jc w:val="center"/>
              <w:rPr>
                <w:rFonts w:ascii="Times" w:hAnsi="Times"/>
                <w:b/>
                <w:bCs/>
                <w:sz w:val="20"/>
                <w:szCs w:val="20"/>
              </w:rPr>
            </w:pPr>
          </w:p>
        </w:tc>
        <w:tc>
          <w:tcPr>
            <w:tcW w:w="1747" w:type="dxa"/>
            <w:gridSpan w:val="6"/>
            <w:tcBorders>
              <w:bottom w:val="single" w:sz="4" w:space="0" w:color="auto"/>
            </w:tcBorders>
          </w:tcPr>
          <w:p w14:paraId="06FDDE2D" w14:textId="77777777" w:rsidR="00F35D51" w:rsidRPr="000B06A4" w:rsidRDefault="00F35D51" w:rsidP="00B05959">
            <w:pPr>
              <w:jc w:val="center"/>
              <w:rPr>
                <w:rFonts w:ascii="Times" w:hAnsi="Times"/>
                <w:b/>
                <w:bCs/>
                <w:sz w:val="20"/>
                <w:szCs w:val="20"/>
              </w:rPr>
            </w:pPr>
            <w:r w:rsidRPr="000B06A4">
              <w:rPr>
                <w:rFonts w:ascii="Times" w:hAnsi="Times"/>
                <w:b/>
                <w:bCs/>
                <w:sz w:val="20"/>
                <w:szCs w:val="20"/>
              </w:rPr>
              <w:t>Activity</w:t>
            </w:r>
          </w:p>
        </w:tc>
        <w:tc>
          <w:tcPr>
            <w:tcW w:w="270" w:type="dxa"/>
            <w:gridSpan w:val="3"/>
          </w:tcPr>
          <w:p w14:paraId="54410D68" w14:textId="77777777" w:rsidR="00F35D51" w:rsidRPr="000B06A4" w:rsidRDefault="00F35D51" w:rsidP="00B05959">
            <w:pPr>
              <w:jc w:val="center"/>
              <w:rPr>
                <w:rFonts w:ascii="Times" w:hAnsi="Times"/>
                <w:b/>
                <w:bCs/>
                <w:sz w:val="20"/>
                <w:szCs w:val="20"/>
              </w:rPr>
            </w:pPr>
          </w:p>
        </w:tc>
        <w:tc>
          <w:tcPr>
            <w:tcW w:w="3154" w:type="dxa"/>
            <w:gridSpan w:val="6"/>
            <w:tcBorders>
              <w:bottom w:val="single" w:sz="4" w:space="0" w:color="auto"/>
            </w:tcBorders>
          </w:tcPr>
          <w:p w14:paraId="5EAC3D4D" w14:textId="77777777" w:rsidR="00F35D51" w:rsidRPr="000B06A4" w:rsidRDefault="00F35D51" w:rsidP="00B05959">
            <w:pPr>
              <w:jc w:val="center"/>
              <w:rPr>
                <w:rFonts w:ascii="Times" w:hAnsi="Times"/>
                <w:b/>
                <w:bCs/>
                <w:sz w:val="20"/>
                <w:szCs w:val="20"/>
              </w:rPr>
            </w:pPr>
            <w:r w:rsidRPr="000B06A4">
              <w:rPr>
                <w:rFonts w:ascii="Times" w:hAnsi="Times"/>
                <w:b/>
                <w:bCs/>
                <w:sz w:val="20"/>
                <w:szCs w:val="20"/>
              </w:rPr>
              <w:t>Durability</w:t>
            </w:r>
          </w:p>
        </w:tc>
        <w:tc>
          <w:tcPr>
            <w:tcW w:w="1065" w:type="dxa"/>
            <w:gridSpan w:val="3"/>
            <w:vAlign w:val="bottom"/>
          </w:tcPr>
          <w:p w14:paraId="10B889BE" w14:textId="77777777" w:rsidR="00F35D51" w:rsidRPr="000B06A4" w:rsidRDefault="00F35D51" w:rsidP="00B05959">
            <w:pPr>
              <w:rPr>
                <w:rFonts w:ascii="Times" w:hAnsi="Times"/>
                <w:b/>
                <w:bCs/>
                <w:sz w:val="20"/>
                <w:szCs w:val="20"/>
              </w:rPr>
            </w:pPr>
          </w:p>
        </w:tc>
      </w:tr>
      <w:tr w:rsidR="00F35D51" w:rsidRPr="000B06A4" w14:paraId="2625A698" w14:textId="77777777" w:rsidTr="00B05959">
        <w:trPr>
          <w:trHeight w:val="279"/>
        </w:trPr>
        <w:tc>
          <w:tcPr>
            <w:tcW w:w="554" w:type="dxa"/>
            <w:vMerge w:val="restart"/>
            <w:vAlign w:val="center"/>
          </w:tcPr>
          <w:p w14:paraId="2C99B6AC" w14:textId="77777777" w:rsidR="00F35D51" w:rsidRPr="000B06A4" w:rsidRDefault="00F35D51" w:rsidP="00B05959">
            <w:pPr>
              <w:jc w:val="center"/>
              <w:rPr>
                <w:rFonts w:ascii="Times" w:hAnsi="Times"/>
                <w:b/>
                <w:bCs/>
                <w:sz w:val="20"/>
                <w:szCs w:val="20"/>
              </w:rPr>
            </w:pPr>
            <w:r>
              <w:rPr>
                <w:rFonts w:ascii="Times" w:hAnsi="Times"/>
                <w:b/>
                <w:bCs/>
                <w:sz w:val="20"/>
                <w:szCs w:val="20"/>
              </w:rPr>
              <w:t>#</w:t>
            </w:r>
          </w:p>
        </w:tc>
        <w:tc>
          <w:tcPr>
            <w:tcW w:w="2250" w:type="dxa"/>
            <w:vAlign w:val="bottom"/>
          </w:tcPr>
          <w:p w14:paraId="2001A35A" w14:textId="77777777" w:rsidR="00F35D51" w:rsidRPr="000B06A4" w:rsidRDefault="00F35D51" w:rsidP="00B05959">
            <w:pPr>
              <w:rPr>
                <w:rFonts w:ascii="Times" w:hAnsi="Times"/>
                <w:b/>
                <w:bCs/>
                <w:sz w:val="20"/>
                <w:szCs w:val="20"/>
              </w:rPr>
            </w:pPr>
            <w:r w:rsidRPr="000B06A4">
              <w:rPr>
                <w:rFonts w:ascii="Times" w:hAnsi="Times"/>
                <w:b/>
                <w:bCs/>
                <w:sz w:val="20"/>
                <w:szCs w:val="20"/>
              </w:rPr>
              <w:t>Catalyst</w:t>
            </w:r>
          </w:p>
        </w:tc>
        <w:tc>
          <w:tcPr>
            <w:tcW w:w="1197" w:type="dxa"/>
            <w:gridSpan w:val="3"/>
            <w:vAlign w:val="bottom"/>
          </w:tcPr>
          <w:p w14:paraId="79E47661" w14:textId="77777777" w:rsidR="00F35D51" w:rsidRPr="000B06A4" w:rsidRDefault="00F35D51" w:rsidP="00B05959">
            <w:pPr>
              <w:jc w:val="center"/>
              <w:rPr>
                <w:rFonts w:ascii="Times" w:hAnsi="Times"/>
                <w:b/>
                <w:bCs/>
                <w:sz w:val="20"/>
                <w:szCs w:val="20"/>
              </w:rPr>
            </w:pPr>
            <w:r w:rsidRPr="000B06A4">
              <w:rPr>
                <w:rFonts w:ascii="Times" w:hAnsi="Times"/>
                <w:b/>
                <w:bCs/>
                <w:sz w:val="20"/>
                <w:szCs w:val="20"/>
              </w:rPr>
              <w:t>Electrolyte</w:t>
            </w:r>
          </w:p>
        </w:tc>
        <w:tc>
          <w:tcPr>
            <w:tcW w:w="1260" w:type="dxa"/>
            <w:gridSpan w:val="3"/>
            <w:vAlign w:val="bottom"/>
          </w:tcPr>
          <w:p w14:paraId="4C9E5A67" w14:textId="77777777" w:rsidR="00F35D51" w:rsidRPr="000B06A4" w:rsidRDefault="00F35D51" w:rsidP="00B05959">
            <w:pPr>
              <w:jc w:val="center"/>
              <w:rPr>
                <w:rFonts w:ascii="Times" w:hAnsi="Times"/>
                <w:b/>
                <w:bCs/>
                <w:sz w:val="20"/>
                <w:szCs w:val="20"/>
              </w:rPr>
            </w:pPr>
            <w:r w:rsidRPr="000B06A4">
              <w:rPr>
                <w:rFonts w:ascii="Times" w:hAnsi="Times"/>
                <w:b/>
                <w:bCs/>
                <w:sz w:val="20"/>
                <w:szCs w:val="20"/>
              </w:rPr>
              <w:t>Electrode</w:t>
            </w:r>
            <w:r w:rsidRPr="000B06A4">
              <w:rPr>
                <w:rFonts w:ascii="Times" w:hAnsi="Times"/>
                <w:b/>
                <w:bCs/>
                <w:sz w:val="20"/>
                <w:szCs w:val="20"/>
                <w:vertAlign w:val="superscript"/>
              </w:rPr>
              <w:t>(a)</w:t>
            </w:r>
          </w:p>
        </w:tc>
        <w:tc>
          <w:tcPr>
            <w:tcW w:w="1170" w:type="dxa"/>
            <w:gridSpan w:val="3"/>
            <w:vAlign w:val="bottom"/>
          </w:tcPr>
          <w:p w14:paraId="71FF024C" w14:textId="77777777" w:rsidR="00F35D51" w:rsidRPr="000B06A4" w:rsidRDefault="00F35D51" w:rsidP="00B05959">
            <w:pPr>
              <w:jc w:val="center"/>
              <w:rPr>
                <w:rFonts w:ascii="Times" w:hAnsi="Times"/>
                <w:b/>
                <w:bCs/>
                <w:sz w:val="20"/>
                <w:szCs w:val="20"/>
              </w:rPr>
            </w:pPr>
            <w:r w:rsidRPr="000B06A4">
              <w:rPr>
                <w:rFonts w:ascii="Times" w:hAnsi="Times"/>
                <w:b/>
                <w:bCs/>
                <w:sz w:val="20"/>
                <w:szCs w:val="20"/>
              </w:rPr>
              <w:t>Loading</w:t>
            </w:r>
          </w:p>
        </w:tc>
        <w:tc>
          <w:tcPr>
            <w:tcW w:w="667" w:type="dxa"/>
            <w:gridSpan w:val="3"/>
            <w:tcBorders>
              <w:top w:val="single" w:sz="4" w:space="0" w:color="auto"/>
            </w:tcBorders>
            <w:vAlign w:val="bottom"/>
          </w:tcPr>
          <w:p w14:paraId="5F08187D" w14:textId="77777777" w:rsidR="00F35D51" w:rsidRPr="000B06A4" w:rsidRDefault="00F35D51" w:rsidP="00B05959">
            <w:pPr>
              <w:jc w:val="center"/>
              <w:rPr>
                <w:rFonts w:ascii="Times" w:hAnsi="Times"/>
                <w:b/>
                <w:bCs/>
                <w:sz w:val="20"/>
                <w:szCs w:val="20"/>
              </w:rPr>
            </w:pPr>
            <w:r w:rsidRPr="000B06A4">
              <w:rPr>
                <w:rFonts w:ascii="Times" w:hAnsi="Times"/>
                <w:b/>
                <w:bCs/>
                <w:sz w:val="20"/>
                <w:szCs w:val="20"/>
              </w:rPr>
              <w:t>η</w:t>
            </w:r>
            <w:r w:rsidRPr="000B06A4">
              <w:rPr>
                <w:rFonts w:ascii="Times" w:hAnsi="Times"/>
                <w:b/>
                <w:bCs/>
                <w:sz w:val="20"/>
                <w:szCs w:val="20"/>
                <w:vertAlign w:val="superscript"/>
              </w:rPr>
              <w:t>(b)</w:t>
            </w:r>
          </w:p>
        </w:tc>
        <w:tc>
          <w:tcPr>
            <w:tcW w:w="1080" w:type="dxa"/>
            <w:gridSpan w:val="3"/>
            <w:tcBorders>
              <w:top w:val="single" w:sz="4" w:space="0" w:color="auto"/>
            </w:tcBorders>
            <w:vAlign w:val="bottom"/>
          </w:tcPr>
          <w:p w14:paraId="54A06F6A" w14:textId="77777777" w:rsidR="00F35D51" w:rsidRPr="000B06A4" w:rsidRDefault="00F35D51" w:rsidP="00B05959">
            <w:pPr>
              <w:jc w:val="center"/>
              <w:rPr>
                <w:rFonts w:ascii="Times" w:hAnsi="Times"/>
                <w:b/>
                <w:bCs/>
                <w:sz w:val="20"/>
                <w:szCs w:val="20"/>
              </w:rPr>
            </w:pPr>
            <w:r w:rsidRPr="000B06A4">
              <w:rPr>
                <w:rFonts w:ascii="Times" w:hAnsi="Times"/>
                <w:b/>
                <w:bCs/>
                <w:sz w:val="20"/>
                <w:szCs w:val="20"/>
              </w:rPr>
              <w:t>Tafel</w:t>
            </w:r>
          </w:p>
        </w:tc>
        <w:tc>
          <w:tcPr>
            <w:tcW w:w="270" w:type="dxa"/>
            <w:gridSpan w:val="3"/>
          </w:tcPr>
          <w:p w14:paraId="29DF26F3" w14:textId="77777777" w:rsidR="00F35D51" w:rsidRPr="000B06A4" w:rsidRDefault="00F35D51" w:rsidP="00B05959">
            <w:pPr>
              <w:jc w:val="center"/>
              <w:rPr>
                <w:rFonts w:ascii="Times" w:hAnsi="Times"/>
                <w:b/>
                <w:bCs/>
                <w:sz w:val="20"/>
                <w:szCs w:val="20"/>
              </w:rPr>
            </w:pPr>
          </w:p>
        </w:tc>
        <w:tc>
          <w:tcPr>
            <w:tcW w:w="2340" w:type="dxa"/>
            <w:gridSpan w:val="3"/>
            <w:tcBorders>
              <w:top w:val="single" w:sz="4" w:space="0" w:color="auto"/>
            </w:tcBorders>
            <w:vAlign w:val="bottom"/>
          </w:tcPr>
          <w:p w14:paraId="70E61243" w14:textId="77777777" w:rsidR="00F35D51" w:rsidRPr="000B06A4" w:rsidRDefault="00F35D51" w:rsidP="00B05959">
            <w:pPr>
              <w:bidi/>
              <w:jc w:val="center"/>
              <w:rPr>
                <w:rFonts w:ascii="Times" w:hAnsi="Times"/>
                <w:b/>
                <w:bCs/>
                <w:sz w:val="20"/>
                <w:szCs w:val="20"/>
              </w:rPr>
            </w:pPr>
            <w:r w:rsidRPr="000B06A4">
              <w:rPr>
                <w:rFonts w:ascii="Times" w:hAnsi="Times"/>
                <w:b/>
                <w:bCs/>
                <w:sz w:val="20"/>
                <w:szCs w:val="20"/>
              </w:rPr>
              <w:t>(Electrode) Test</w:t>
            </w:r>
            <w:r w:rsidRPr="000B06A4">
              <w:rPr>
                <w:rFonts w:ascii="Times" w:hAnsi="Times"/>
                <w:b/>
                <w:bCs/>
                <w:sz w:val="20"/>
                <w:szCs w:val="20"/>
                <w:vertAlign w:val="superscript"/>
              </w:rPr>
              <w:t>(c)</w:t>
            </w:r>
          </w:p>
        </w:tc>
        <w:tc>
          <w:tcPr>
            <w:tcW w:w="814" w:type="dxa"/>
            <w:gridSpan w:val="3"/>
            <w:tcBorders>
              <w:top w:val="single" w:sz="4" w:space="0" w:color="auto"/>
            </w:tcBorders>
            <w:vAlign w:val="bottom"/>
          </w:tcPr>
          <w:p w14:paraId="45579A50" w14:textId="77777777" w:rsidR="00F35D51" w:rsidRPr="000B06A4" w:rsidRDefault="00F35D51" w:rsidP="00B05959">
            <w:pPr>
              <w:jc w:val="center"/>
              <w:rPr>
                <w:rFonts w:ascii="Times" w:hAnsi="Times"/>
                <w:b/>
                <w:bCs/>
                <w:sz w:val="20"/>
                <w:szCs w:val="20"/>
              </w:rPr>
            </w:pPr>
            <w:r w:rsidRPr="000B06A4">
              <w:rPr>
                <w:rFonts w:ascii="Times" w:hAnsi="Times"/>
                <w:b/>
                <w:bCs/>
                <w:sz w:val="20"/>
                <w:szCs w:val="20"/>
              </w:rPr>
              <w:t>Time</w:t>
            </w:r>
          </w:p>
        </w:tc>
        <w:tc>
          <w:tcPr>
            <w:tcW w:w="2702" w:type="dxa"/>
            <w:gridSpan w:val="2"/>
            <w:vAlign w:val="bottom"/>
          </w:tcPr>
          <w:p w14:paraId="4CC7C036" w14:textId="77777777" w:rsidR="00F35D51" w:rsidRPr="000B06A4" w:rsidRDefault="00F35D51" w:rsidP="00B05959">
            <w:pPr>
              <w:rPr>
                <w:rFonts w:ascii="Times" w:hAnsi="Times"/>
                <w:b/>
                <w:bCs/>
                <w:sz w:val="20"/>
                <w:szCs w:val="20"/>
              </w:rPr>
            </w:pPr>
            <w:r w:rsidRPr="000B06A4">
              <w:rPr>
                <w:rFonts w:ascii="Times" w:hAnsi="Times"/>
                <w:b/>
                <w:bCs/>
                <w:sz w:val="20"/>
                <w:szCs w:val="20"/>
              </w:rPr>
              <w:t>Referenc</w:t>
            </w:r>
            <w:r>
              <w:rPr>
                <w:rFonts w:ascii="Times" w:hAnsi="Times"/>
                <w:b/>
                <w:bCs/>
                <w:sz w:val="20"/>
                <w:szCs w:val="20"/>
              </w:rPr>
              <w:t>e</w:t>
            </w:r>
          </w:p>
        </w:tc>
      </w:tr>
      <w:tr w:rsidR="00F35D51" w:rsidRPr="000B06A4" w14:paraId="368A7A0D" w14:textId="77777777" w:rsidTr="00B05959">
        <w:trPr>
          <w:trHeight w:val="262"/>
        </w:trPr>
        <w:tc>
          <w:tcPr>
            <w:tcW w:w="554" w:type="dxa"/>
            <w:vMerge/>
            <w:tcBorders>
              <w:bottom w:val="single" w:sz="4" w:space="0" w:color="auto"/>
            </w:tcBorders>
          </w:tcPr>
          <w:p w14:paraId="0D74D9EE" w14:textId="77777777" w:rsidR="00F35D51" w:rsidRPr="000B06A4" w:rsidRDefault="00F35D51" w:rsidP="00B05959">
            <w:pPr>
              <w:jc w:val="center"/>
              <w:rPr>
                <w:rFonts w:ascii="Times" w:hAnsi="Times"/>
                <w:sz w:val="20"/>
                <w:szCs w:val="20"/>
              </w:rPr>
            </w:pPr>
          </w:p>
        </w:tc>
        <w:tc>
          <w:tcPr>
            <w:tcW w:w="2250" w:type="dxa"/>
            <w:tcBorders>
              <w:bottom w:val="single" w:sz="4" w:space="0" w:color="auto"/>
            </w:tcBorders>
          </w:tcPr>
          <w:p w14:paraId="56D94897" w14:textId="77777777" w:rsidR="00F35D51" w:rsidRPr="000B06A4" w:rsidRDefault="00F35D51" w:rsidP="00B05959">
            <w:pPr>
              <w:jc w:val="center"/>
              <w:rPr>
                <w:rFonts w:ascii="Times" w:hAnsi="Times"/>
                <w:sz w:val="20"/>
                <w:szCs w:val="20"/>
              </w:rPr>
            </w:pPr>
          </w:p>
        </w:tc>
        <w:tc>
          <w:tcPr>
            <w:tcW w:w="1139" w:type="dxa"/>
            <w:gridSpan w:val="2"/>
            <w:tcBorders>
              <w:bottom w:val="single" w:sz="4" w:space="0" w:color="auto"/>
            </w:tcBorders>
          </w:tcPr>
          <w:p w14:paraId="68C2AD7B" w14:textId="77777777" w:rsidR="00F35D51" w:rsidRPr="000B06A4" w:rsidRDefault="00F35D51" w:rsidP="00B05959">
            <w:pPr>
              <w:jc w:val="center"/>
              <w:rPr>
                <w:rFonts w:ascii="Times" w:hAnsi="Times"/>
                <w:sz w:val="20"/>
                <w:szCs w:val="20"/>
              </w:rPr>
            </w:pPr>
          </w:p>
        </w:tc>
        <w:tc>
          <w:tcPr>
            <w:tcW w:w="1260" w:type="dxa"/>
            <w:gridSpan w:val="3"/>
            <w:tcBorders>
              <w:bottom w:val="single" w:sz="4" w:space="0" w:color="auto"/>
            </w:tcBorders>
          </w:tcPr>
          <w:p w14:paraId="0F8645B7" w14:textId="77777777" w:rsidR="00F35D51" w:rsidRPr="000B06A4" w:rsidRDefault="00F35D51" w:rsidP="00B05959">
            <w:pPr>
              <w:jc w:val="center"/>
              <w:rPr>
                <w:rFonts w:ascii="Times" w:hAnsi="Times"/>
                <w:sz w:val="20"/>
                <w:szCs w:val="20"/>
              </w:rPr>
            </w:pPr>
          </w:p>
        </w:tc>
        <w:tc>
          <w:tcPr>
            <w:tcW w:w="1170" w:type="dxa"/>
            <w:gridSpan w:val="3"/>
            <w:tcBorders>
              <w:bottom w:val="single" w:sz="4" w:space="0" w:color="auto"/>
            </w:tcBorders>
          </w:tcPr>
          <w:p w14:paraId="2D2D44E3" w14:textId="77777777" w:rsidR="00F35D51" w:rsidRPr="000B06A4" w:rsidRDefault="00F35D51" w:rsidP="00B05959">
            <w:pPr>
              <w:jc w:val="center"/>
              <w:rPr>
                <w:rFonts w:ascii="Times" w:hAnsi="Times"/>
                <w:sz w:val="20"/>
                <w:szCs w:val="20"/>
              </w:rPr>
            </w:pPr>
            <w:r w:rsidRPr="000B06A4">
              <w:rPr>
                <w:rFonts w:ascii="Times" w:hAnsi="Times"/>
                <w:sz w:val="20"/>
                <w:szCs w:val="20"/>
              </w:rPr>
              <w:t>[mg.cm</w:t>
            </w:r>
            <w:r w:rsidRPr="000B06A4">
              <w:rPr>
                <w:rFonts w:ascii="Times" w:hAnsi="Times"/>
                <w:sz w:val="20"/>
                <w:szCs w:val="20"/>
                <w:vertAlign w:val="superscript"/>
              </w:rPr>
              <w:t>-2</w:t>
            </w:r>
            <w:r w:rsidRPr="000B06A4">
              <w:rPr>
                <w:rFonts w:ascii="Times" w:hAnsi="Times"/>
                <w:sz w:val="20"/>
                <w:szCs w:val="20"/>
              </w:rPr>
              <w:t>]</w:t>
            </w:r>
          </w:p>
        </w:tc>
        <w:tc>
          <w:tcPr>
            <w:tcW w:w="667" w:type="dxa"/>
            <w:gridSpan w:val="3"/>
            <w:tcBorders>
              <w:bottom w:val="single" w:sz="4" w:space="0" w:color="auto"/>
            </w:tcBorders>
          </w:tcPr>
          <w:p w14:paraId="3CB89647" w14:textId="77777777" w:rsidR="00F35D51" w:rsidRPr="000B06A4" w:rsidRDefault="00F35D51" w:rsidP="00B05959">
            <w:pPr>
              <w:jc w:val="center"/>
              <w:rPr>
                <w:rFonts w:ascii="Times" w:hAnsi="Times"/>
                <w:sz w:val="20"/>
                <w:szCs w:val="20"/>
              </w:rPr>
            </w:pPr>
            <w:r w:rsidRPr="000B06A4">
              <w:rPr>
                <w:rFonts w:ascii="Times" w:hAnsi="Times"/>
                <w:sz w:val="20"/>
                <w:szCs w:val="20"/>
              </w:rPr>
              <w:t>[mV]</w:t>
            </w:r>
          </w:p>
        </w:tc>
        <w:tc>
          <w:tcPr>
            <w:tcW w:w="1080" w:type="dxa"/>
            <w:gridSpan w:val="3"/>
            <w:tcBorders>
              <w:bottom w:val="single" w:sz="4" w:space="0" w:color="auto"/>
            </w:tcBorders>
          </w:tcPr>
          <w:p w14:paraId="1069E528" w14:textId="77777777" w:rsidR="00F35D51" w:rsidRPr="000B06A4" w:rsidRDefault="00F35D51" w:rsidP="00B05959">
            <w:pPr>
              <w:jc w:val="center"/>
              <w:rPr>
                <w:rFonts w:ascii="Times" w:hAnsi="Times"/>
                <w:sz w:val="20"/>
                <w:szCs w:val="20"/>
              </w:rPr>
            </w:pPr>
            <w:r w:rsidRPr="000B06A4">
              <w:rPr>
                <w:rFonts w:ascii="Times" w:hAnsi="Times"/>
                <w:sz w:val="20"/>
                <w:szCs w:val="20"/>
              </w:rPr>
              <w:t>[mV.dec</w:t>
            </w:r>
            <w:r w:rsidRPr="000B06A4">
              <w:rPr>
                <w:rFonts w:ascii="Times" w:hAnsi="Times"/>
                <w:sz w:val="20"/>
                <w:szCs w:val="20"/>
                <w:vertAlign w:val="superscript"/>
              </w:rPr>
              <w:t>-1</w:t>
            </w:r>
            <w:r w:rsidRPr="000B06A4">
              <w:rPr>
                <w:rFonts w:ascii="Times" w:hAnsi="Times"/>
                <w:sz w:val="20"/>
                <w:szCs w:val="20"/>
              </w:rPr>
              <w:t>]</w:t>
            </w:r>
          </w:p>
        </w:tc>
        <w:tc>
          <w:tcPr>
            <w:tcW w:w="270" w:type="dxa"/>
            <w:gridSpan w:val="3"/>
            <w:tcBorders>
              <w:bottom w:val="single" w:sz="4" w:space="0" w:color="auto"/>
            </w:tcBorders>
          </w:tcPr>
          <w:p w14:paraId="4988EE52" w14:textId="77777777" w:rsidR="00F35D51" w:rsidRPr="000B06A4" w:rsidRDefault="00F35D51" w:rsidP="00B05959">
            <w:pPr>
              <w:jc w:val="center"/>
              <w:rPr>
                <w:rFonts w:ascii="Times" w:hAnsi="Times"/>
                <w:sz w:val="20"/>
                <w:szCs w:val="20"/>
              </w:rPr>
            </w:pPr>
          </w:p>
        </w:tc>
        <w:tc>
          <w:tcPr>
            <w:tcW w:w="2340" w:type="dxa"/>
            <w:gridSpan w:val="3"/>
            <w:tcBorders>
              <w:bottom w:val="single" w:sz="4" w:space="0" w:color="auto"/>
            </w:tcBorders>
          </w:tcPr>
          <w:p w14:paraId="252BA1DF" w14:textId="77777777" w:rsidR="00F35D51" w:rsidRPr="000B06A4" w:rsidRDefault="00F35D51" w:rsidP="00B05959">
            <w:pPr>
              <w:jc w:val="center"/>
              <w:rPr>
                <w:rFonts w:ascii="Times" w:hAnsi="Times"/>
                <w:sz w:val="20"/>
                <w:szCs w:val="20"/>
              </w:rPr>
            </w:pPr>
          </w:p>
        </w:tc>
        <w:tc>
          <w:tcPr>
            <w:tcW w:w="814" w:type="dxa"/>
            <w:gridSpan w:val="3"/>
            <w:tcBorders>
              <w:bottom w:val="single" w:sz="4" w:space="0" w:color="auto"/>
            </w:tcBorders>
          </w:tcPr>
          <w:p w14:paraId="15EDB8F0" w14:textId="77777777" w:rsidR="00F35D51" w:rsidRPr="000B06A4" w:rsidRDefault="00F35D51" w:rsidP="00B05959">
            <w:pPr>
              <w:jc w:val="center"/>
              <w:rPr>
                <w:rFonts w:ascii="Times" w:hAnsi="Times"/>
                <w:sz w:val="20"/>
                <w:szCs w:val="20"/>
              </w:rPr>
            </w:pPr>
            <w:r w:rsidRPr="000B06A4">
              <w:rPr>
                <w:rFonts w:ascii="Times" w:hAnsi="Times"/>
                <w:sz w:val="20"/>
                <w:szCs w:val="20"/>
              </w:rPr>
              <w:t>[hours]</w:t>
            </w:r>
          </w:p>
        </w:tc>
        <w:tc>
          <w:tcPr>
            <w:tcW w:w="2760" w:type="dxa"/>
            <w:gridSpan w:val="3"/>
            <w:tcBorders>
              <w:bottom w:val="single" w:sz="4" w:space="0" w:color="auto"/>
            </w:tcBorders>
            <w:vAlign w:val="bottom"/>
          </w:tcPr>
          <w:p w14:paraId="5BDC8941" w14:textId="77777777" w:rsidR="00F35D51" w:rsidRPr="000B06A4" w:rsidRDefault="00F35D51" w:rsidP="00B05959">
            <w:pPr>
              <w:rPr>
                <w:rFonts w:ascii="Times" w:hAnsi="Times"/>
                <w:sz w:val="20"/>
                <w:szCs w:val="20"/>
              </w:rPr>
            </w:pPr>
          </w:p>
        </w:tc>
      </w:tr>
      <w:tr w:rsidR="00F35D51" w:rsidRPr="000B06A4" w14:paraId="437AD4A7" w14:textId="77777777" w:rsidTr="00B05959">
        <w:trPr>
          <w:trHeight w:val="432"/>
        </w:trPr>
        <w:tc>
          <w:tcPr>
            <w:tcW w:w="554" w:type="dxa"/>
            <w:vAlign w:val="center"/>
          </w:tcPr>
          <w:p w14:paraId="79790CBA"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1</w:t>
            </w:r>
          </w:p>
        </w:tc>
        <w:tc>
          <w:tcPr>
            <w:tcW w:w="2250" w:type="dxa"/>
            <w:vAlign w:val="center"/>
          </w:tcPr>
          <w:p w14:paraId="33EA2AC4" w14:textId="77777777" w:rsidR="00F35D51" w:rsidRPr="000B06A4" w:rsidRDefault="00F35D51" w:rsidP="00B05959">
            <w:pPr>
              <w:spacing w:line="276" w:lineRule="auto"/>
              <w:rPr>
                <w:rFonts w:ascii="Times" w:hAnsi="Times"/>
                <w:sz w:val="20"/>
                <w:szCs w:val="20"/>
              </w:rPr>
            </w:pPr>
            <w:proofErr w:type="spellStart"/>
            <w:r w:rsidRPr="000B06A4">
              <w:rPr>
                <w:rFonts w:ascii="Times" w:hAnsi="Times"/>
                <w:sz w:val="20"/>
                <w:szCs w:val="20"/>
              </w:rPr>
              <w:t>FeP</w:t>
            </w:r>
            <w:proofErr w:type="spellEnd"/>
            <w:r w:rsidRPr="000B06A4">
              <w:rPr>
                <w:rFonts w:ascii="Times" w:hAnsi="Times"/>
                <w:sz w:val="20"/>
                <w:szCs w:val="20"/>
              </w:rPr>
              <w:t>/Ni</w:t>
            </w:r>
            <w:r w:rsidRPr="000B06A4">
              <w:rPr>
                <w:rFonts w:ascii="Times" w:hAnsi="Times"/>
                <w:sz w:val="20"/>
                <w:szCs w:val="20"/>
                <w:vertAlign w:val="subscript"/>
              </w:rPr>
              <w:t>2</w:t>
            </w:r>
            <w:r w:rsidRPr="000B06A4">
              <w:rPr>
                <w:rFonts w:ascii="Times" w:hAnsi="Times"/>
                <w:sz w:val="20"/>
                <w:szCs w:val="20"/>
              </w:rPr>
              <w:t>P</w:t>
            </w:r>
          </w:p>
        </w:tc>
        <w:tc>
          <w:tcPr>
            <w:tcW w:w="1133" w:type="dxa"/>
            <w:vAlign w:val="center"/>
          </w:tcPr>
          <w:p w14:paraId="397769F6"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3528C42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NF</w:t>
            </w:r>
          </w:p>
        </w:tc>
        <w:tc>
          <w:tcPr>
            <w:tcW w:w="1170" w:type="dxa"/>
            <w:gridSpan w:val="3"/>
            <w:vAlign w:val="center"/>
          </w:tcPr>
          <w:p w14:paraId="77F9F870"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8</w:t>
            </w:r>
          </w:p>
        </w:tc>
        <w:tc>
          <w:tcPr>
            <w:tcW w:w="667" w:type="dxa"/>
            <w:gridSpan w:val="3"/>
            <w:vAlign w:val="center"/>
          </w:tcPr>
          <w:p w14:paraId="4BBCCC9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154</w:t>
            </w:r>
          </w:p>
        </w:tc>
        <w:tc>
          <w:tcPr>
            <w:tcW w:w="1080" w:type="dxa"/>
            <w:gridSpan w:val="3"/>
            <w:vAlign w:val="center"/>
          </w:tcPr>
          <w:p w14:paraId="25015F8D"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22.7</w:t>
            </w:r>
          </w:p>
        </w:tc>
        <w:tc>
          <w:tcPr>
            <w:tcW w:w="270" w:type="dxa"/>
            <w:gridSpan w:val="3"/>
          </w:tcPr>
          <w:p w14:paraId="40BB5B85"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6EB2D91A"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CP @500 mA.cm</w:t>
            </w:r>
            <w:r w:rsidRPr="000B06A4">
              <w:rPr>
                <w:rFonts w:ascii="Times" w:hAnsi="Times"/>
                <w:sz w:val="20"/>
                <w:szCs w:val="20"/>
                <w:vertAlign w:val="superscript"/>
              </w:rPr>
              <w:t>-2</w:t>
            </w:r>
          </w:p>
        </w:tc>
        <w:tc>
          <w:tcPr>
            <w:tcW w:w="814" w:type="dxa"/>
            <w:gridSpan w:val="3"/>
            <w:vAlign w:val="center"/>
          </w:tcPr>
          <w:p w14:paraId="5E3FA7D7"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40</w:t>
            </w:r>
          </w:p>
        </w:tc>
        <w:tc>
          <w:tcPr>
            <w:tcW w:w="2766" w:type="dxa"/>
            <w:gridSpan w:val="4"/>
            <w:vAlign w:val="center"/>
          </w:tcPr>
          <w:p w14:paraId="4B16C470" w14:textId="5A8A4DF6"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Nat. Comm., 2018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{"citationItems":[{"id":"ITEM-1","itemData":{"DOI":"10.1038/s41467-018-04746-z","ISSN":"20411723","abstract":"Water electrolysis is an advanced energy conversion technology to produce hydrogen as a clean and sustainable chemical fuel, which potentially stores the abundant but intermittent renewable energy sources scalably. Since the overall water splitting is an uphill reaction in low efficiency, innovative breakthroughs are desirable to greatly improve the efficiency by rationally designing non-precious metal-based robust bifunctional catalysts for promoting both the cathodic hydrogen evolution and anodic oxygen evolution reactions. We report a hybrid catalyst constructed by iron and dinickel phosphides on nickel foams that drives both the hydrogen and oxygen evolution reactions well in base, and thus substantially expedites overall water splitting at 10 mA cm−2 with 1.42 V, which outperforms the integrated iridium (IV) oxide and platinum couple (1.57 V), and are among the best activities currently. Especially, it delivers 500 mA cm−2 at 1.72 V without decay even after the durability test for 40 h, providing great potential for large-scale applications.","author":[{"dropping-particle":"","family":"Yu","given":"Fang","non-dropping-particle":"","parse-names":false,"suffix":""},{"dropping-particle":"","family":"Zhou","given":"Haiqing","non-dropping-particle":"","parse-names":false,"suffix":""},{"dropping-particle":"","family":"Huang","given":"Yufeng","non-dropping-particle":"","parse-names":false,"suffix":""},{"dropping-particle":"","family":"Sun","given":"Jingying","non-dropping-particle":"","parse-names":false,"suffix":""},{"dropping-particle":"","family":"Qin","given":"Fan","non-dropping-particle":"","parse-names":false,"suffix":""},{"dropping-particle":"","family":"Bao","given":"Jiming","non-dropping-particle":"","parse-names":false,"suffix":""},{"dropping-particle":"","family":"Goddard","given":"William A.","non-dropping-particle":"","parse-names":false,"suffix":""},{"dropping-particle":"","family":"Chen","given":"Shuo","non-dropping-particle":"","parse-names":false,"suffix":""},{"dropping-particle":"","family":"Ren","given":"Zhifeng","non-dropping-particle":"","parse-names":false,"suffix":""}],"container-title":"Nature Communications","id":"ITEM-1","issue":"1","issued":{"date-parts":[["2018"]]},"page":"1-9","title":"High-performance bifunctional porous non-noble metal phosphide catalyst for overall water splitting","type":"article-journal","volume":"9"},"uris":["http://www.mendeley.com/documents/?uuid=0940d836-eaff-48b9-ad54-07d654f5979d"]}],"mendeley":{"formattedCitation":"&lt;sup&gt;18&lt;/sup&gt;","plainTextFormattedCitation":"18","previouslyFormattedCitation":"&lt;sup&gt;17&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18</w:t>
            </w:r>
            <w:r w:rsidRPr="000B06A4">
              <w:rPr>
                <w:rFonts w:ascii="Times" w:hAnsi="Times"/>
                <w:sz w:val="20"/>
                <w:szCs w:val="20"/>
              </w:rPr>
              <w:fldChar w:fldCharType="end"/>
            </w:r>
          </w:p>
        </w:tc>
      </w:tr>
      <w:tr w:rsidR="00F35D51" w:rsidRPr="000B06A4" w14:paraId="7C57A715" w14:textId="77777777" w:rsidTr="00B05959">
        <w:trPr>
          <w:trHeight w:val="432"/>
        </w:trPr>
        <w:tc>
          <w:tcPr>
            <w:tcW w:w="554" w:type="dxa"/>
            <w:vAlign w:val="center"/>
          </w:tcPr>
          <w:p w14:paraId="5A3CEDF2" w14:textId="77777777" w:rsidR="00F35D51" w:rsidRPr="000B06A4" w:rsidRDefault="00F35D51" w:rsidP="00B05959">
            <w:pPr>
              <w:jc w:val="center"/>
              <w:rPr>
                <w:rFonts w:ascii="Times" w:hAnsi="Times"/>
                <w:sz w:val="20"/>
                <w:szCs w:val="20"/>
              </w:rPr>
            </w:pPr>
            <w:r>
              <w:rPr>
                <w:rFonts w:ascii="Times" w:hAnsi="Times"/>
                <w:sz w:val="20"/>
                <w:szCs w:val="20"/>
              </w:rPr>
              <w:t>2</w:t>
            </w:r>
          </w:p>
        </w:tc>
        <w:tc>
          <w:tcPr>
            <w:tcW w:w="2250" w:type="dxa"/>
            <w:vAlign w:val="center"/>
          </w:tcPr>
          <w:p w14:paraId="6E81509A" w14:textId="77777777" w:rsidR="00F35D51" w:rsidRPr="000B06A4" w:rsidRDefault="00F35D51" w:rsidP="00B05959">
            <w:pPr>
              <w:rPr>
                <w:rFonts w:ascii="Times" w:hAnsi="Times"/>
                <w:sz w:val="20"/>
                <w:szCs w:val="20"/>
              </w:rPr>
            </w:pPr>
            <w:r w:rsidRPr="000B06A4">
              <w:rPr>
                <w:rFonts w:ascii="Times" w:hAnsi="Times"/>
                <w:sz w:val="20"/>
                <w:szCs w:val="20"/>
              </w:rPr>
              <w:t>(</w:t>
            </w:r>
            <w:proofErr w:type="spellStart"/>
            <w:r w:rsidRPr="000B06A4">
              <w:rPr>
                <w:rFonts w:ascii="Times" w:hAnsi="Times"/>
                <w:sz w:val="20"/>
                <w:szCs w:val="20"/>
              </w:rPr>
              <w:t>Ni,Fe</w:t>
            </w:r>
            <w:proofErr w:type="spellEnd"/>
            <w:r w:rsidRPr="000B06A4">
              <w:rPr>
                <w:rFonts w:ascii="Times" w:hAnsi="Times"/>
                <w:sz w:val="20"/>
                <w:szCs w:val="20"/>
              </w:rPr>
              <w:t>)OOH</w:t>
            </w:r>
          </w:p>
        </w:tc>
        <w:tc>
          <w:tcPr>
            <w:tcW w:w="1133" w:type="dxa"/>
            <w:vAlign w:val="center"/>
          </w:tcPr>
          <w:p w14:paraId="71FE0F2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3A98BBC3"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NF</w:t>
            </w:r>
          </w:p>
        </w:tc>
        <w:tc>
          <w:tcPr>
            <w:tcW w:w="1170" w:type="dxa"/>
            <w:gridSpan w:val="3"/>
            <w:vAlign w:val="center"/>
          </w:tcPr>
          <w:p w14:paraId="10680B46"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4.0</w:t>
            </w:r>
          </w:p>
        </w:tc>
        <w:tc>
          <w:tcPr>
            <w:tcW w:w="667" w:type="dxa"/>
            <w:gridSpan w:val="3"/>
            <w:vAlign w:val="center"/>
          </w:tcPr>
          <w:p w14:paraId="0285315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154</w:t>
            </w:r>
          </w:p>
        </w:tc>
        <w:tc>
          <w:tcPr>
            <w:tcW w:w="1080" w:type="dxa"/>
            <w:gridSpan w:val="3"/>
            <w:vAlign w:val="center"/>
          </w:tcPr>
          <w:p w14:paraId="4AC2467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41.5</w:t>
            </w:r>
          </w:p>
        </w:tc>
        <w:tc>
          <w:tcPr>
            <w:tcW w:w="270" w:type="dxa"/>
            <w:gridSpan w:val="3"/>
          </w:tcPr>
          <w:p w14:paraId="1A174DF5"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0B1675FE"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CP @1 A.cm</w:t>
            </w:r>
            <w:r w:rsidRPr="000B06A4">
              <w:rPr>
                <w:rFonts w:ascii="Times" w:hAnsi="Times"/>
                <w:sz w:val="20"/>
                <w:szCs w:val="20"/>
                <w:vertAlign w:val="superscript"/>
              </w:rPr>
              <w:t>-2</w:t>
            </w:r>
          </w:p>
        </w:tc>
        <w:tc>
          <w:tcPr>
            <w:tcW w:w="814" w:type="dxa"/>
            <w:gridSpan w:val="3"/>
            <w:vAlign w:val="center"/>
          </w:tcPr>
          <w:p w14:paraId="77B93769"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42</w:t>
            </w:r>
          </w:p>
        </w:tc>
        <w:tc>
          <w:tcPr>
            <w:tcW w:w="2766" w:type="dxa"/>
            <w:gridSpan w:val="4"/>
            <w:vAlign w:val="center"/>
          </w:tcPr>
          <w:p w14:paraId="178FA272" w14:textId="402242CA"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Ener. Env.  Sci., 2018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{"citationItems":[{"id":"ITEM-1","itemData":{"DOI":"10.1039/c8ee00927a","ISSN":"17545706","abstract":"A robust oxygen-evolving electrocatalyst was developed using a room-temperature strategy for water splitting at high current densities with low voltages. Splitting water into hydrogen and oxygen by electrolysis using electricity from intermittent waste heat, wind, or solar energies is one of the easiest and cleanest methods for high-purity hydrogen production and an effective way to store the excess electrical power. The key dilemma for efficient large-scale production of hydrogen by splitting of water via the hydrogen and oxygen evolution reactions (HER and OER, respectively) is the high overpotential required, especially for the OER. We report an exceptionally active and durable OER catalyst yielding current densities of 500 and 1000 mA cm −2 at overpotentials of only 259 mV and 289 mV in alkaline electrolyte, respectively, fulfilling the commercial criteria of the OER process. Together with a good HER catalyst, we have achieved the commercially required current densities of 500 and 1000 mA cm −2 at 1.586 and 1.657 V, respectively, with very good stability, dramatically lower than any previously reported voltage. This discovery sets the stage for large-scale hydrogen production by water splitting using excess electrical power whenever and wherever available.","author":[{"dropping-particle":"","family":"Zhou","given":"Haiqing","non-dropping-particle":"","parse-names":false,"suffix":""},{"dropping-particle":"","family":"Yu","given":"Fang","non-dropping-particle":"","parse-names":false,"suffix":""},{"dropping-particle":"","family":"Zhu","given":"Qing","non-dropping-particle":"","parse-names":false,"suffix":""},{"dropping-particle":"","family":"Sun","given":"Jingying","non-dropping-particle":"","parse-names":false,"suffix":""},{"dropping-particle":"","family":"Qin","given":"Fan","non-dropping-particle":"","parse-names":false,"suffix":""},{"dropping-particle":"","family":"Yu","given":"Luo","non-dropping-particle":"","parse-names":false,"suffix":""},{"dropping-particle":"","family":"Bao","given":"Jiming","non-dropping-particle":"","parse-names":false,"suffix":""},{"dropping-particle":"","family":"Yu","given":"Ying","non-dropping-particle":"","parse-names":false,"suffix":""},{"dropping-particle":"","family":"Chen","given":"Shuo","non-dropping-particle":"","parse-names":false,"suffix":""},{"dropping-particle":"","family":"Ren","given":"Zhifeng","non-dropping-particle":"","parse-names":false,"suffix":""}],"container-title":"Energy and Environmental Science","id":"ITEM-1","issue":"10","issued":{"date-parts":[["2018"]]},"note":"very important\nOER Tables","page":"2858-2864","publisher":"Royal Society of Chemistry","title":"Water splitting by electrolysis at high current densities under 1.6 volts","type":"article-journal","volume":"11"},"uris":["http://www.mendeley.com/documents/?uuid=32490307-f3de-467b-a7f8-00ed03a36f1d"]}],"mendeley":{"formattedCitation":"&lt;sup&gt;19&lt;/sup&gt;","plainTextFormattedCitation":"19","previouslyFormattedCitation":"&lt;sup&gt;18&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19</w:t>
            </w:r>
            <w:r w:rsidRPr="000B06A4">
              <w:rPr>
                <w:rFonts w:ascii="Times" w:hAnsi="Times"/>
                <w:sz w:val="20"/>
                <w:szCs w:val="20"/>
              </w:rPr>
              <w:fldChar w:fldCharType="end"/>
            </w:r>
          </w:p>
        </w:tc>
      </w:tr>
      <w:tr w:rsidR="00F35D51" w:rsidRPr="000B06A4" w14:paraId="7DF4477B" w14:textId="77777777" w:rsidTr="00B05959">
        <w:trPr>
          <w:trHeight w:val="432"/>
        </w:trPr>
        <w:tc>
          <w:tcPr>
            <w:tcW w:w="554" w:type="dxa"/>
            <w:vAlign w:val="center"/>
          </w:tcPr>
          <w:p w14:paraId="49B1CF42"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3</w:t>
            </w:r>
          </w:p>
        </w:tc>
        <w:tc>
          <w:tcPr>
            <w:tcW w:w="2250" w:type="dxa"/>
            <w:vAlign w:val="center"/>
          </w:tcPr>
          <w:p w14:paraId="4568EFEB"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Core-shell </w:t>
            </w:r>
            <w:proofErr w:type="spellStart"/>
            <w:r w:rsidRPr="000B06A4">
              <w:rPr>
                <w:rFonts w:ascii="Times" w:hAnsi="Times"/>
                <w:sz w:val="20"/>
                <w:szCs w:val="20"/>
              </w:rPr>
              <w:t>NiFeCu</w:t>
            </w:r>
            <w:proofErr w:type="spellEnd"/>
          </w:p>
        </w:tc>
        <w:tc>
          <w:tcPr>
            <w:tcW w:w="1133" w:type="dxa"/>
            <w:vAlign w:val="center"/>
          </w:tcPr>
          <w:p w14:paraId="65C8D526"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64A5F74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NF</w:t>
            </w:r>
          </w:p>
        </w:tc>
        <w:tc>
          <w:tcPr>
            <w:tcW w:w="1170" w:type="dxa"/>
            <w:gridSpan w:val="3"/>
            <w:vAlign w:val="center"/>
          </w:tcPr>
          <w:p w14:paraId="4E0C7540"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10.2</w:t>
            </w:r>
          </w:p>
        </w:tc>
        <w:tc>
          <w:tcPr>
            <w:tcW w:w="667" w:type="dxa"/>
            <w:gridSpan w:val="3"/>
            <w:vAlign w:val="center"/>
          </w:tcPr>
          <w:p w14:paraId="4EFAE7E6"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180</w:t>
            </w:r>
          </w:p>
        </w:tc>
        <w:tc>
          <w:tcPr>
            <w:tcW w:w="1080" w:type="dxa"/>
            <w:gridSpan w:val="3"/>
            <w:vAlign w:val="center"/>
          </w:tcPr>
          <w:p w14:paraId="0A9F3F9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33</w:t>
            </w:r>
          </w:p>
        </w:tc>
        <w:tc>
          <w:tcPr>
            <w:tcW w:w="270" w:type="dxa"/>
            <w:gridSpan w:val="3"/>
          </w:tcPr>
          <w:p w14:paraId="1A585ACE"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4AA05279"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CP @10 mA.cm</w:t>
            </w:r>
            <w:r w:rsidRPr="000B06A4">
              <w:rPr>
                <w:rFonts w:ascii="Times" w:hAnsi="Times"/>
                <w:sz w:val="20"/>
                <w:szCs w:val="20"/>
                <w:vertAlign w:val="superscript"/>
              </w:rPr>
              <w:t>-2</w:t>
            </w:r>
          </w:p>
        </w:tc>
        <w:tc>
          <w:tcPr>
            <w:tcW w:w="814" w:type="dxa"/>
            <w:gridSpan w:val="3"/>
            <w:vAlign w:val="center"/>
          </w:tcPr>
          <w:p w14:paraId="0388CA4C"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20</w:t>
            </w:r>
          </w:p>
        </w:tc>
        <w:tc>
          <w:tcPr>
            <w:tcW w:w="2766" w:type="dxa"/>
            <w:gridSpan w:val="4"/>
            <w:vAlign w:val="center"/>
          </w:tcPr>
          <w:p w14:paraId="31C56D06" w14:textId="2D7E628F"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Nat. Comm., 2018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{"citationItems":[{"id":"ITEM-1","itemData":{"DOI":"10.1038/s41467-017-02429-9","ISSN":"20411723","abstract":"© 2018 The Author(s). Electrochemical water splitting requires efficient water oxidation catalysts to accelerate the sluggish kinetics of water oxidation reaction. Here, we report a promisingly dendritic core-shell nickel-iron-copper metal/metal oxide electrode, prepared via dealloying with an electrodeposited nickel-iron-copper alloy as a precursor, as the catalyst for water oxidation. The as-prepared core-shell nickel-iron-copper electrode is characterized with porous oxide shells and metallic cores. This tri-metal-based core-shell nickel-iron-copper electrode exhibits a remarkable activity toward water oxidation in alkaline medium with an overpotential of only 180 mV at a current density of 10 mA cm -2 . The core-shell NiFeCu electrode exhibits pH-dependent oxygen evolution reaction activity on the reversible hydrogen electrode scale, suggesting that non-concerted proton-electron transfers participate in catalyzing the oxygen evolution reaction. To the best of our knowledge, the as-fabricated core-shell nickel-iron-copper is one of the most promising oxygen evolution catalysts.","author":[{"dropping-particle":"","family":"Zhang","given":"Peili","non-dropping-particle":"","parse-names":false,"suffix":""},{"dropping-particle":"","family":"Li","given":"Lin","non-dropping-particle":"","parse-names":false,"suffix":""},{"dropping-particle":"","family":"Nordlund","given":"Dennis","non-dropping-particle":"","parse-names":false,"suffix":""},{"dropping-particle":"","family":"Chen","given":"Hong","non-dropping-particle":"","parse-names":false,"suffix":""},{"dropping-particle":"","family":"Fan","given":"Lizhou","non-dropping-particle":"","parse-names":false,"suffix":""},{"dropping-particle":"","family":"Zhang","given":"Biaobiao","non-dropping-particle":"","parse-names":false,"suffix":""},{"dropping-particle":"","family":"Sheng","given":"Xia","non-dropping-particle":"","parse-names":false,"suffix":""},{"dropping-particle":"","family":"Daniel","given":"Quentin","non-dropping-particle":"","parse-names":false,"suffix":""},{"dropping-particle":"","family":"Sun","given":"Licheng","non-dropping-particle":"","parse-names":false,"suffix":""}],"container-title":"Nature Communications","id":"ITEM-1","issue":"1","issued":{"date-parts":[["2018"]]},"page":"1-10","publisher":"Springer US","title":"Dendritic core-shell nickel-iron-copper metal/metal oxide electrode for efficient electrocatalytic water oxidation","type":"article-journal","volume":"9"},"uris":["http://www.mendeley.com/documents/?uuid=fb81ca00-5024-4be4-819a-7995992d3ff0"]}],"mendeley":{"formattedCitation":"&lt;sup&gt;20&lt;/sup&gt;","plainTextFormattedCitation":"20","previouslyFormattedCitation":"&lt;sup&gt;19&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20</w:t>
            </w:r>
            <w:r w:rsidRPr="000B06A4">
              <w:rPr>
                <w:rFonts w:ascii="Times" w:hAnsi="Times"/>
                <w:sz w:val="20"/>
                <w:szCs w:val="20"/>
              </w:rPr>
              <w:fldChar w:fldCharType="end"/>
            </w:r>
          </w:p>
        </w:tc>
      </w:tr>
      <w:tr w:rsidR="00F35D51" w:rsidRPr="000B06A4" w14:paraId="7D4B6F71" w14:textId="77777777" w:rsidTr="00B05959">
        <w:trPr>
          <w:trHeight w:val="432"/>
        </w:trPr>
        <w:tc>
          <w:tcPr>
            <w:tcW w:w="554" w:type="dxa"/>
            <w:vAlign w:val="center"/>
          </w:tcPr>
          <w:p w14:paraId="1F6744C1"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4</w:t>
            </w:r>
          </w:p>
        </w:tc>
        <w:tc>
          <w:tcPr>
            <w:tcW w:w="2250" w:type="dxa"/>
            <w:vAlign w:val="center"/>
          </w:tcPr>
          <w:p w14:paraId="57C55862"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Ni</w:t>
            </w:r>
            <w:r w:rsidRPr="000B06A4">
              <w:rPr>
                <w:rFonts w:ascii="Times" w:hAnsi="Times"/>
                <w:sz w:val="20"/>
                <w:szCs w:val="20"/>
                <w:vertAlign w:val="subscript"/>
              </w:rPr>
              <w:t>3</w:t>
            </w:r>
            <w:r w:rsidRPr="000B06A4">
              <w:rPr>
                <w:rFonts w:ascii="Times" w:hAnsi="Times"/>
                <w:sz w:val="20"/>
                <w:szCs w:val="20"/>
              </w:rPr>
              <w:t>S</w:t>
            </w:r>
            <w:r w:rsidRPr="000B06A4">
              <w:rPr>
                <w:rFonts w:ascii="Times" w:hAnsi="Times"/>
                <w:sz w:val="20"/>
                <w:szCs w:val="20"/>
                <w:vertAlign w:val="subscript"/>
              </w:rPr>
              <w:t xml:space="preserve">2 </w:t>
            </w:r>
            <w:r w:rsidRPr="000B06A4">
              <w:rPr>
                <w:rFonts w:ascii="Times" w:hAnsi="Times"/>
                <w:sz w:val="20"/>
                <w:szCs w:val="20"/>
              </w:rPr>
              <w:t>nanorods</w:t>
            </w:r>
          </w:p>
        </w:tc>
        <w:tc>
          <w:tcPr>
            <w:tcW w:w="1133" w:type="dxa"/>
            <w:vAlign w:val="center"/>
          </w:tcPr>
          <w:p w14:paraId="48DC9140"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0.1 M KOH</w:t>
            </w:r>
          </w:p>
        </w:tc>
        <w:tc>
          <w:tcPr>
            <w:tcW w:w="1260" w:type="dxa"/>
            <w:gridSpan w:val="3"/>
            <w:vAlign w:val="center"/>
          </w:tcPr>
          <w:p w14:paraId="50BD226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NF</w:t>
            </w:r>
          </w:p>
        </w:tc>
        <w:tc>
          <w:tcPr>
            <w:tcW w:w="1170" w:type="dxa"/>
            <w:gridSpan w:val="3"/>
            <w:vAlign w:val="center"/>
          </w:tcPr>
          <w:p w14:paraId="02DEE28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37</w:t>
            </w:r>
          </w:p>
        </w:tc>
        <w:tc>
          <w:tcPr>
            <w:tcW w:w="667" w:type="dxa"/>
            <w:gridSpan w:val="3"/>
            <w:vAlign w:val="center"/>
          </w:tcPr>
          <w:p w14:paraId="3BA52597"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187</w:t>
            </w:r>
          </w:p>
        </w:tc>
        <w:tc>
          <w:tcPr>
            <w:tcW w:w="1080" w:type="dxa"/>
            <w:gridSpan w:val="3"/>
            <w:vAlign w:val="center"/>
          </w:tcPr>
          <w:p w14:paraId="499FF5D0"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159.3</w:t>
            </w:r>
          </w:p>
        </w:tc>
        <w:tc>
          <w:tcPr>
            <w:tcW w:w="270" w:type="dxa"/>
            <w:gridSpan w:val="3"/>
          </w:tcPr>
          <w:p w14:paraId="18A602E2"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33C9552B"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CA 10 mA.cm</w:t>
            </w:r>
            <w:r w:rsidRPr="000B06A4">
              <w:rPr>
                <w:rFonts w:ascii="Times" w:hAnsi="Times"/>
                <w:sz w:val="20"/>
                <w:szCs w:val="20"/>
                <w:vertAlign w:val="superscript"/>
              </w:rPr>
              <w:t>-2</w:t>
            </w:r>
          </w:p>
        </w:tc>
        <w:tc>
          <w:tcPr>
            <w:tcW w:w="814" w:type="dxa"/>
            <w:gridSpan w:val="3"/>
            <w:vAlign w:val="center"/>
          </w:tcPr>
          <w:p w14:paraId="4DD52DE2"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10</w:t>
            </w:r>
          </w:p>
        </w:tc>
        <w:tc>
          <w:tcPr>
            <w:tcW w:w="2766" w:type="dxa"/>
            <w:gridSpan w:val="4"/>
            <w:vAlign w:val="center"/>
          </w:tcPr>
          <w:p w14:paraId="064E1A16" w14:textId="4800FAEE"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Ener. Env. Sci., 2013 </w:t>
            </w:r>
            <w:r w:rsidRPr="000B06A4">
              <w:rPr>
                <w:rFonts w:ascii="Times" w:hAnsi="Times"/>
                <w:sz w:val="20"/>
                <w:szCs w:val="20"/>
              </w:rPr>
              <w:fldChar w:fldCharType="begin" w:fldLock="1"/>
            </w:r>
            <w:r w:rsidR="00125386">
              <w:rPr>
                <w:rFonts w:ascii="Times" w:hAnsi="Times"/>
                <w:sz w:val="20"/>
                <w:szCs w:val="20"/>
              </w:rPr>
              <w:instrText xml:space="preserve">ADDIN CSL_CITATION {"citationItems":[{"id":"ITEM-1","itemData":{"DOI":"10.1039/c3ee41572d","ISSN":"17545692","abstract":"A Ni3S2 nanorods/Ni foam composite electrode is prepared as a high-performance catalyst for the oxygen evolution reaction (OER), which exhibits excellent OER activity with a small overpotential of </w:instrText>
            </w:r>
            <w:r w:rsidR="00125386">
              <w:rPr>
                <w:rFonts w:ascii="Cambria Math" w:hAnsi="Cambria Math" w:cs="Cambria Math"/>
                <w:sz w:val="20"/>
                <w:szCs w:val="20"/>
              </w:rPr>
              <w:instrText>∼</w:instrText>
            </w:r>
            <w:r w:rsidR="00125386">
              <w:rPr>
                <w:rFonts w:ascii="Times" w:hAnsi="Times"/>
                <w:sz w:val="20"/>
                <w:szCs w:val="20"/>
              </w:rPr>
              <w:instrText>157 mV based on the onset of catalytic current. © The Royal Society of Chemistry 2013.","author":[{"dropping-particle":"","family":"Zhou","given":"Weijia","non-dropping-particle":"","parse-names":false,"suffix":""},{"dropping-particle":"","family":"Wu","given":"Xue Jun","non-dropping-particle":"","parse-names":false,"suffix":""},{"dropping-particle":"","family":"Cao","given":"Xiehong","non-dropping-particle":"","parse-names":false,"suffix":""},{"dropping-particle":"","family":"Huang","given":"Xiao","non-dropping-particle":"","parse-names":false,"suffix":""},{"dropping-particle":"","family":"Tan","given":"Chaoliang","non-dropping-particle":"","parse-names":false,"suffix":""},{"dropping-particle":"","family":"Tian","given":"Jian","non-dropping-particle":"","parse-names":false,"suffix":""},{"dropping-particle":"","family":"Liu","given":"Hong","non-dropping-particle":"","parse-names":false,"suffix":""},{"dropping-particle":"","family":"Wang","given":"Jiyang","non-dropping-particle":"","parse-names":false,"suffix":""},{"dropping-particle":"","family":"Zhang","given":"Hua","non-dropping-particle":"","parse-names":false,"suffix":""}],"container-title":"Energy and Environmental Science","id":"ITEM-1","issue":"10","issued":{"date-parts":[["2013"]]},"page":"2921-2924","title":"Ni3S2 nanorods/Ni foam composite electrode with low overpotential for electrocatalytic oxygen evolution","type":"article-journal","volume":"6"},"uris":["http://www.mendeley.com/documents/?uuid=1f6866f5-aedc-4b0d-b02b-2b7c5f59542c"]}],"mendeley":{"formattedCitation":"&lt;sup&gt;21&lt;/sup&gt;","plainTextFormattedCitation":"21","previouslyFormattedCitation":"&lt;sup&gt;20&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21</w:t>
            </w:r>
            <w:r w:rsidRPr="000B06A4">
              <w:rPr>
                <w:rFonts w:ascii="Times" w:hAnsi="Times"/>
                <w:sz w:val="20"/>
                <w:szCs w:val="20"/>
              </w:rPr>
              <w:fldChar w:fldCharType="end"/>
            </w:r>
          </w:p>
        </w:tc>
      </w:tr>
      <w:tr w:rsidR="00F35D51" w:rsidRPr="000B06A4" w14:paraId="319D73DE" w14:textId="77777777" w:rsidTr="00B05959">
        <w:trPr>
          <w:trHeight w:val="432"/>
        </w:trPr>
        <w:tc>
          <w:tcPr>
            <w:tcW w:w="554" w:type="dxa"/>
            <w:vAlign w:val="center"/>
          </w:tcPr>
          <w:p w14:paraId="51FF3DC2"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5</w:t>
            </w:r>
          </w:p>
        </w:tc>
        <w:tc>
          <w:tcPr>
            <w:tcW w:w="2250" w:type="dxa"/>
            <w:vAlign w:val="center"/>
          </w:tcPr>
          <w:p w14:paraId="47F1111F"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Co(OH)</w:t>
            </w:r>
            <w:r w:rsidRPr="000B06A4">
              <w:rPr>
                <w:rFonts w:ascii="Times" w:hAnsi="Times"/>
                <w:sz w:val="20"/>
                <w:szCs w:val="20"/>
                <w:vertAlign w:val="subscript"/>
              </w:rPr>
              <w:t>2</w:t>
            </w:r>
            <w:r w:rsidRPr="000B06A4">
              <w:rPr>
                <w:rFonts w:ascii="Times" w:hAnsi="Times"/>
                <w:sz w:val="20"/>
                <w:szCs w:val="20"/>
              </w:rPr>
              <w:t xml:space="preserve"> TCNQ</w:t>
            </w:r>
            <w:r w:rsidRPr="000B06A4">
              <w:rPr>
                <w:rFonts w:ascii="Times" w:hAnsi="Times"/>
                <w:sz w:val="20"/>
                <w:szCs w:val="20"/>
                <w:vertAlign w:val="superscript"/>
              </w:rPr>
              <w:t>(d)</w:t>
            </w:r>
          </w:p>
        </w:tc>
        <w:tc>
          <w:tcPr>
            <w:tcW w:w="1133" w:type="dxa"/>
            <w:vAlign w:val="center"/>
          </w:tcPr>
          <w:p w14:paraId="062A9D5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2BE2EC99"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Cu Foam</w:t>
            </w:r>
          </w:p>
        </w:tc>
        <w:tc>
          <w:tcPr>
            <w:tcW w:w="1170" w:type="dxa"/>
            <w:gridSpan w:val="3"/>
            <w:vAlign w:val="center"/>
          </w:tcPr>
          <w:p w14:paraId="3B9B62D4"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667" w:type="dxa"/>
            <w:gridSpan w:val="3"/>
            <w:vAlign w:val="center"/>
          </w:tcPr>
          <w:p w14:paraId="532B302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200</w:t>
            </w:r>
          </w:p>
        </w:tc>
        <w:tc>
          <w:tcPr>
            <w:tcW w:w="1080" w:type="dxa"/>
            <w:gridSpan w:val="3"/>
            <w:vAlign w:val="center"/>
          </w:tcPr>
          <w:p w14:paraId="3AE38A3C"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188</w:t>
            </w:r>
          </w:p>
        </w:tc>
        <w:tc>
          <w:tcPr>
            <w:tcW w:w="270" w:type="dxa"/>
            <w:gridSpan w:val="3"/>
          </w:tcPr>
          <w:p w14:paraId="463AE482"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5C5D185B"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CA @450 mV</w:t>
            </w:r>
          </w:p>
        </w:tc>
        <w:tc>
          <w:tcPr>
            <w:tcW w:w="814" w:type="dxa"/>
            <w:gridSpan w:val="3"/>
            <w:vAlign w:val="center"/>
          </w:tcPr>
          <w:p w14:paraId="7A7C3FA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25</w:t>
            </w:r>
          </w:p>
        </w:tc>
        <w:tc>
          <w:tcPr>
            <w:tcW w:w="2766" w:type="dxa"/>
            <w:gridSpan w:val="4"/>
            <w:vAlign w:val="center"/>
          </w:tcPr>
          <w:p w14:paraId="0BA41A9B" w14:textId="6A39AE63"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Adv. Mat., 2018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{"citationItems":[{"id":"ITEM-1","itemData":{"DOI":"10.1002/adma.201705366","ISSN":"15214095","abstract":"© 2018 WILEY-VCH Verlag GmbH  &amp;  Co. KGaA, Weinheim. It is highly desired but still remains challenging to design and develop a Co-based nanoparticle-encapsulated conductive nanoarray at room temperature for high-performance water oxidation electrocatalysis. Here, it is reported that room-temperature anodization of a Co(TCNQ) 2 (TCNQ = tetracyanoquinodimethane) nanowire array on copper foam at alkaline pH leads to in situ electrochemcial oxidation of TCNQ - into water-insoluable TCNQ nanoarray embedding Co(OH) 2 nanoparticles. Such Co(OH) 2 -TCNQ/CF shows superior catalytic activity for water oxidation and demands only a low overpotential of 276 mV to drive a geometrical current density of 25 mA cm -2 in 1.0 m KOH. Notably, it also demonstrates strong long-term electrochemical durability with its activity being retrained for at least 25 h, a high turnover frequency of 0.97 s -1 at an overpotential of 450 mV and 100% Faradic efficiency. This study provides an exciting new method for the rational design and development of a conductive TCNQ-based nanoarray as an interesting 3D material for advanced electrochemical applications.","author":[{"dropping-particle":"","family":"Wu","given":"Dan","non-dropping-particle":"","parse-names":false,"suffix":""},{"dropping-particle":"","family":"Wei","given":"Yicheng","non-dropping-particle":"","parse-names":false,"suffix":""},{"dropping-particle":"","family":"Ren","given":"Xiang","non-dropping-particle":"","parse-names":false,"suffix":""},{"dropping-particle":"","family":"Ji","given":"Xuqiang","non-dropping-particle":"","parse-names":false,"suffix":""},{"dropping-particle":"","family":"Liu","given":"Yiwei","non-dropping-particle":"","parse-names":false,"suffix":""},{"dropping-particle":"","family":"Guo","given":"Xiaodong","non-dropping-particle":"","parse-names":false,"suffix":""},{"dropping-particle":"","family":"Liu","given":"Zhiang","non-dropping-particle":"","parse-names":false,"suffix":""},{"dropping-particle":"","family":"Asiri","given":"Abdullah M.","non-dropping-particle":"","parse-names":false,"suffix":""},{"dropping-particle":"","family":"Wei","given":"Qin","non-dropping-particle":"","parse-names":false,"suffix":""},{"dropping-particle":"","family":"Sun","given":"Xuping","non-dropping-particle":"","parse-names":false,"suffix":""}],"container-title":"Advanced Materials","id":"ITEM-1","issue":"9","issued":{"date-parts":[["2018"]]},"page":"1-7","title":"Co(OH)2 Nanoparticle-Encapsulating Conductive Nanowires Array: Room-Temperature Electrochemical Preparation for High-Performance Water Oxidation Electrocatalysis","type":"article-journal","volume":"30"},"uris":["http://www.mendeley.com/documents/?uuid=96a19236-80d3-4be4-b620-87aecd0fb0f1"]}],"mendeley":{"formattedCitation":"&lt;sup&gt;22&lt;/sup&gt;","plainTextFormattedCitation":"22","previouslyFormattedCitation":"&lt;sup&gt;21&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22</w:t>
            </w:r>
            <w:r w:rsidRPr="000B06A4">
              <w:rPr>
                <w:rFonts w:ascii="Times" w:hAnsi="Times"/>
                <w:sz w:val="20"/>
                <w:szCs w:val="20"/>
              </w:rPr>
              <w:fldChar w:fldCharType="end"/>
            </w:r>
          </w:p>
        </w:tc>
      </w:tr>
      <w:tr w:rsidR="00F35D51" w:rsidRPr="000B06A4" w14:paraId="4EEDD4DF" w14:textId="77777777" w:rsidTr="00B05959">
        <w:trPr>
          <w:trHeight w:val="432"/>
        </w:trPr>
        <w:tc>
          <w:tcPr>
            <w:tcW w:w="554" w:type="dxa"/>
            <w:vAlign w:val="center"/>
          </w:tcPr>
          <w:p w14:paraId="0072D109"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6</w:t>
            </w:r>
          </w:p>
        </w:tc>
        <w:tc>
          <w:tcPr>
            <w:tcW w:w="2250" w:type="dxa"/>
            <w:vAlign w:val="center"/>
          </w:tcPr>
          <w:p w14:paraId="4FCA0163"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NiFe nanosheets</w:t>
            </w:r>
          </w:p>
        </w:tc>
        <w:tc>
          <w:tcPr>
            <w:tcW w:w="1133" w:type="dxa"/>
            <w:vAlign w:val="center"/>
          </w:tcPr>
          <w:p w14:paraId="13A418D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195AE327"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NF</w:t>
            </w:r>
          </w:p>
        </w:tc>
        <w:tc>
          <w:tcPr>
            <w:tcW w:w="1170" w:type="dxa"/>
            <w:gridSpan w:val="3"/>
            <w:vAlign w:val="center"/>
          </w:tcPr>
          <w:p w14:paraId="4EC9153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667" w:type="dxa"/>
            <w:gridSpan w:val="3"/>
            <w:vAlign w:val="center"/>
          </w:tcPr>
          <w:p w14:paraId="1340258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215</w:t>
            </w:r>
          </w:p>
        </w:tc>
        <w:tc>
          <w:tcPr>
            <w:tcW w:w="1080" w:type="dxa"/>
            <w:gridSpan w:val="3"/>
            <w:vAlign w:val="center"/>
          </w:tcPr>
          <w:p w14:paraId="1EED0650"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32</w:t>
            </w:r>
          </w:p>
        </w:tc>
        <w:tc>
          <w:tcPr>
            <w:tcW w:w="270" w:type="dxa"/>
            <w:gridSpan w:val="3"/>
          </w:tcPr>
          <w:p w14:paraId="0617E31D"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5D707DEA"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CP @100mA.cm</w:t>
            </w:r>
            <w:r w:rsidRPr="000B06A4">
              <w:rPr>
                <w:rFonts w:ascii="Times" w:hAnsi="Times"/>
                <w:sz w:val="20"/>
                <w:szCs w:val="20"/>
                <w:vertAlign w:val="superscript"/>
              </w:rPr>
              <w:t xml:space="preserve">-2 </w:t>
            </w:r>
            <w:r w:rsidRPr="000B06A4">
              <w:rPr>
                <w:rFonts w:ascii="Times" w:hAnsi="Times"/>
                <w:sz w:val="20"/>
                <w:szCs w:val="20"/>
              </w:rPr>
              <w:br/>
              <w:t>CP @500mA.cm</w:t>
            </w:r>
            <w:r w:rsidRPr="000B06A4">
              <w:rPr>
                <w:rFonts w:ascii="Times" w:hAnsi="Times"/>
                <w:sz w:val="20"/>
                <w:szCs w:val="20"/>
                <w:vertAlign w:val="superscript"/>
              </w:rPr>
              <w:t>-2</w:t>
            </w:r>
          </w:p>
        </w:tc>
        <w:tc>
          <w:tcPr>
            <w:tcW w:w="814" w:type="dxa"/>
            <w:gridSpan w:val="3"/>
            <w:vAlign w:val="center"/>
          </w:tcPr>
          <w:p w14:paraId="3F9B648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10</w:t>
            </w:r>
            <w:r w:rsidRPr="000B06A4">
              <w:rPr>
                <w:rFonts w:ascii="Times" w:hAnsi="Times"/>
                <w:sz w:val="20"/>
                <w:szCs w:val="20"/>
              </w:rPr>
              <w:br/>
              <w:t>2</w:t>
            </w:r>
          </w:p>
        </w:tc>
        <w:tc>
          <w:tcPr>
            <w:tcW w:w="2766" w:type="dxa"/>
            <w:gridSpan w:val="4"/>
            <w:vAlign w:val="center"/>
          </w:tcPr>
          <w:p w14:paraId="476D80AA" w14:textId="25B85E1E"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Nat. Comm., 2015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{"citationItems":[{"id":"ITEM-1","itemData":{"DOI":"10.1038/ncomms7616","ISSN":"01793187","abstract":"3D S-PGHS frameworks are used as efficient metal-free electrocatalysts for ORR and as high performance supercapacitor electrode materials.","author":[{"dropping-particle":"","family":"Lu","given":"Xunyu","non-dropping-particle":"","parse-names":false,"suffix":""},{"dropping-particle":"","family":"Zhao","given":"Chuan","non-dropping-particle":"","parse-names":false,"suffix":""}],"container-title":"Nature Communiations","id":"ITEM-1","issue":"4","issued":{"date-parts":[["2015"]]},"page":"128-136","publisher":"Nature Publishing Group","title":"Electrodeposition of hierarchically structured three-dimensional nickel–iron electrodes for efficient oxygen evolution at high current densities","type":"article-journal","volume":"122"},"uris":["http://www.mendeley.com/documents/?uuid=5c9ecbe3-4ea3-4a8e-9c7a-ca815b40e878"]}],"mendeley":{"formattedCitation":"&lt;sup&gt;23&lt;/sup&gt;","plainTextFormattedCitation":"23","previouslyFormattedCitation":"&lt;sup&gt;22&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23</w:t>
            </w:r>
            <w:r w:rsidRPr="000B06A4">
              <w:rPr>
                <w:rFonts w:ascii="Times" w:hAnsi="Times"/>
                <w:sz w:val="20"/>
                <w:szCs w:val="20"/>
              </w:rPr>
              <w:fldChar w:fldCharType="end"/>
            </w:r>
          </w:p>
        </w:tc>
      </w:tr>
      <w:tr w:rsidR="00F35D51" w:rsidRPr="000B06A4" w14:paraId="1CC36772" w14:textId="77777777" w:rsidTr="00B05959">
        <w:trPr>
          <w:trHeight w:val="432"/>
        </w:trPr>
        <w:tc>
          <w:tcPr>
            <w:tcW w:w="554" w:type="dxa"/>
            <w:vAlign w:val="center"/>
          </w:tcPr>
          <w:p w14:paraId="150C440F"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7</w:t>
            </w:r>
          </w:p>
        </w:tc>
        <w:tc>
          <w:tcPr>
            <w:tcW w:w="2250" w:type="dxa"/>
            <w:vAlign w:val="center"/>
          </w:tcPr>
          <w:p w14:paraId="129BAD26"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(Ni, Co)</w:t>
            </w:r>
            <w:r w:rsidRPr="000B06A4">
              <w:rPr>
                <w:rFonts w:ascii="Times" w:hAnsi="Times"/>
                <w:sz w:val="20"/>
                <w:szCs w:val="20"/>
                <w:vertAlign w:val="subscript"/>
              </w:rPr>
              <w:t>0.85</w:t>
            </w:r>
            <w:r w:rsidRPr="000B06A4">
              <w:rPr>
                <w:rFonts w:ascii="Times" w:hAnsi="Times"/>
                <w:sz w:val="20"/>
                <w:szCs w:val="20"/>
              </w:rPr>
              <w:t>Se@NiCo</w:t>
            </w:r>
            <w:r w:rsidRPr="000B06A4">
              <w:rPr>
                <w:rFonts w:ascii="Cambria Math" w:hAnsi="Cambria Math" w:cs="Cambria Math"/>
                <w:sz w:val="20"/>
                <w:szCs w:val="20"/>
              </w:rPr>
              <w:t>‐</w:t>
            </w:r>
            <w:r w:rsidRPr="000B06A4">
              <w:rPr>
                <w:rFonts w:ascii="Times" w:hAnsi="Times"/>
                <w:sz w:val="20"/>
                <w:szCs w:val="20"/>
              </w:rPr>
              <w:t>LDH</w:t>
            </w:r>
          </w:p>
        </w:tc>
        <w:tc>
          <w:tcPr>
            <w:tcW w:w="1133" w:type="dxa"/>
            <w:vAlign w:val="center"/>
          </w:tcPr>
          <w:p w14:paraId="794E390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48EEEAE1"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CC</w:t>
            </w:r>
          </w:p>
        </w:tc>
        <w:tc>
          <w:tcPr>
            <w:tcW w:w="1170" w:type="dxa"/>
            <w:gridSpan w:val="3"/>
            <w:vAlign w:val="center"/>
          </w:tcPr>
          <w:p w14:paraId="10B5A710"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6</w:t>
            </w:r>
          </w:p>
        </w:tc>
        <w:tc>
          <w:tcPr>
            <w:tcW w:w="667" w:type="dxa"/>
            <w:gridSpan w:val="3"/>
            <w:vAlign w:val="center"/>
          </w:tcPr>
          <w:p w14:paraId="23D6C4D1"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216</w:t>
            </w:r>
          </w:p>
        </w:tc>
        <w:tc>
          <w:tcPr>
            <w:tcW w:w="1080" w:type="dxa"/>
            <w:gridSpan w:val="3"/>
            <w:vAlign w:val="center"/>
          </w:tcPr>
          <w:p w14:paraId="01493BA7"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77</w:t>
            </w:r>
          </w:p>
        </w:tc>
        <w:tc>
          <w:tcPr>
            <w:tcW w:w="270" w:type="dxa"/>
            <w:gridSpan w:val="3"/>
          </w:tcPr>
          <w:p w14:paraId="71823235"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2ACD1278" w14:textId="77777777" w:rsidR="00F35D51" w:rsidRPr="000B06A4" w:rsidRDefault="00F35D51" w:rsidP="00B05959">
            <w:pPr>
              <w:spacing w:line="276" w:lineRule="auto"/>
              <w:rPr>
                <w:rFonts w:ascii="Times" w:hAnsi="Times"/>
                <w:sz w:val="20"/>
                <w:szCs w:val="20"/>
                <w:vertAlign w:val="subscript"/>
              </w:rPr>
            </w:pPr>
            <w:r w:rsidRPr="000B06A4">
              <w:rPr>
                <w:rFonts w:ascii="Times" w:hAnsi="Times"/>
                <w:sz w:val="20"/>
                <w:szCs w:val="20"/>
              </w:rPr>
              <w:t>CP @10mA.cm</w:t>
            </w:r>
            <w:r w:rsidRPr="000B06A4">
              <w:rPr>
                <w:rFonts w:ascii="Times" w:hAnsi="Times"/>
                <w:sz w:val="20"/>
                <w:szCs w:val="20"/>
                <w:vertAlign w:val="superscript"/>
              </w:rPr>
              <w:t>-2</w:t>
            </w:r>
          </w:p>
          <w:p w14:paraId="184A4450"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η=+11%</w:t>
            </w:r>
          </w:p>
        </w:tc>
        <w:tc>
          <w:tcPr>
            <w:tcW w:w="814" w:type="dxa"/>
            <w:gridSpan w:val="3"/>
            <w:vAlign w:val="center"/>
          </w:tcPr>
          <w:p w14:paraId="742B65C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24</w:t>
            </w:r>
          </w:p>
        </w:tc>
        <w:tc>
          <w:tcPr>
            <w:tcW w:w="2766" w:type="dxa"/>
            <w:gridSpan w:val="4"/>
            <w:vAlign w:val="center"/>
          </w:tcPr>
          <w:p w14:paraId="3FEDB19B" w14:textId="095E8DC2"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Adv. Mat., 2015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{"citationItems":[{"id":"ITEM-1","itemData":{"DOI":"10.1002/adma.201503906","ISSN":"15214095","abstract":"Selenide-based electrocatalysts and scaffolds on carbon cloth are successfully fabricated and demonstrated for enhanced water oxidation applications. A max-imum current density of 97.5 mA cm(-2) at an overpotential of a mere 300 mV and a small Tafel slope of 77 mV dec(-1) are achieved, suggesting the potential of these materials to serve as advanced oxygen evolution reaction catalysts.","author":[{"dropping-particle":"","family":"Xia","given":"Chuan","non-dropping-particle":"","parse-names":false,"suffix":""},{"dropping-particle":"","family":"Jiang","given":"Qiu","non-dropping-particle":"","parse-names":false,"suffix":""},{"dropping-particle":"","family":"Zhao","given":"Chao","non-dropping-particle":"","parse-names":false,"suffix":""},{"dropping-particle":"","family":"Hedhili","given":"Mohamed N.","non-dropping-particle":"","parse-names":false,"suffix":""},{"dropping-particle":"","family":"Alshareef","given":"Husam N.","non-dropping-particle":"","parse-names":false,"suffix":""}],"container-title":"Advanced Materials","id":"ITEM-1","issue":"1","issued":{"date-parts":[["2016"]]},"page":"77-85","title":"Selenide-Based Electrocatalysts and Scaffolds for Water Oxidation Applications","type":"article-journal","volume":"28"},"uris":["http://www.mendeley.com/documents/?uuid=64485392-e193-4ba0-b79f-9b3ce4851c75"]}],"mendeley":{"formattedCitation":"&lt;sup&gt;24&lt;/sup&gt;","plainTextFormattedCitation":"24","previouslyFormattedCitation":"&lt;sup&gt;23&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24</w:t>
            </w:r>
            <w:r w:rsidRPr="000B06A4">
              <w:rPr>
                <w:rFonts w:ascii="Times" w:hAnsi="Times"/>
                <w:sz w:val="20"/>
                <w:szCs w:val="20"/>
              </w:rPr>
              <w:fldChar w:fldCharType="end"/>
            </w:r>
          </w:p>
        </w:tc>
      </w:tr>
      <w:tr w:rsidR="00F35D51" w:rsidRPr="000B06A4" w14:paraId="7511BA85" w14:textId="77777777" w:rsidTr="00B05959">
        <w:trPr>
          <w:trHeight w:val="432"/>
        </w:trPr>
        <w:tc>
          <w:tcPr>
            <w:tcW w:w="554" w:type="dxa"/>
            <w:vAlign w:val="center"/>
          </w:tcPr>
          <w:p w14:paraId="0F64359E"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8</w:t>
            </w:r>
          </w:p>
        </w:tc>
        <w:tc>
          <w:tcPr>
            <w:tcW w:w="2250" w:type="dxa"/>
            <w:vAlign w:val="center"/>
          </w:tcPr>
          <w:p w14:paraId="1269A087"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G-</w:t>
            </w:r>
            <w:proofErr w:type="spellStart"/>
            <w:r w:rsidRPr="000B06A4">
              <w:rPr>
                <w:rFonts w:ascii="Times" w:hAnsi="Times"/>
                <w:sz w:val="20"/>
                <w:szCs w:val="20"/>
              </w:rPr>
              <w:t>FeCoW</w:t>
            </w:r>
            <w:proofErr w:type="spellEnd"/>
          </w:p>
        </w:tc>
        <w:tc>
          <w:tcPr>
            <w:tcW w:w="1133" w:type="dxa"/>
            <w:vAlign w:val="center"/>
          </w:tcPr>
          <w:p w14:paraId="7940225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2C7393B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68F6C166"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0.21</w:t>
            </w:r>
          </w:p>
        </w:tc>
        <w:tc>
          <w:tcPr>
            <w:tcW w:w="667" w:type="dxa"/>
            <w:gridSpan w:val="3"/>
            <w:vAlign w:val="center"/>
          </w:tcPr>
          <w:p w14:paraId="5D6651CD"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223</w:t>
            </w:r>
          </w:p>
        </w:tc>
        <w:tc>
          <w:tcPr>
            <w:tcW w:w="1080" w:type="dxa"/>
            <w:gridSpan w:val="3"/>
            <w:vAlign w:val="center"/>
          </w:tcPr>
          <w:p w14:paraId="395D06F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37</w:t>
            </w:r>
          </w:p>
        </w:tc>
        <w:tc>
          <w:tcPr>
            <w:tcW w:w="270" w:type="dxa"/>
            <w:gridSpan w:val="3"/>
          </w:tcPr>
          <w:p w14:paraId="40E0A48B"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0515438A"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(NF/Au) CP @10 mA.cm</w:t>
            </w:r>
            <w:r w:rsidRPr="000B06A4">
              <w:rPr>
                <w:rFonts w:ascii="Times" w:hAnsi="Times"/>
                <w:sz w:val="20"/>
                <w:szCs w:val="20"/>
                <w:vertAlign w:val="superscript"/>
              </w:rPr>
              <w:t>-2</w:t>
            </w:r>
          </w:p>
        </w:tc>
        <w:tc>
          <w:tcPr>
            <w:tcW w:w="814" w:type="dxa"/>
            <w:gridSpan w:val="3"/>
            <w:vAlign w:val="center"/>
          </w:tcPr>
          <w:p w14:paraId="1BCCACD9"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500</w:t>
            </w:r>
          </w:p>
        </w:tc>
        <w:tc>
          <w:tcPr>
            <w:tcW w:w="2766" w:type="dxa"/>
            <w:gridSpan w:val="4"/>
            <w:vAlign w:val="center"/>
          </w:tcPr>
          <w:p w14:paraId="160FBEA7" w14:textId="11460285"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Science, 2016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{"citationItems":[{"id":"ITEM-1","itemData":{"DOI":"10.1126/science.aaf1525","ISSN":"1095-9203","PMID":"27013427","abstract":"Earth-abundant first-row (3d) transition metal–based catalysts have been developed for the oxygen-evolution reaction (OER); however, they operate at overpotentials substantially above thermodynamic requirements. Density functional theory suggested that non-3d high-valency metals such as tungsten can modulate 3d metal oxides, providing near- optimal adsorption energies for OER intermediates.We developed a room-temperature synthesis to produce gelled oxyhydroxides materials with an atomically homogeneous metal distribution.These gelled FeCoWoxyhydroxides exhibit the lowest overpotential (191 millivolts) reported at 10 milliamperes per square centimeter in alkaline electrolyte. The catalyst shows no evidence of degradation after more than 500 hours of operation. X-ray absorption and computational studies reveal a synergistic interplay between tungsten, iron, and cobalt in producing a favorable local coordination environment and electronic structure that enhance the energetics for OER.","author":[{"dropping-particle":"","family":"Zhang","given":"B","non-dropping-particle":"","parse-names":false,"suffix":""},{"dropping-particle":"","family":"Zhang","given":"Bo","non-dropping-particle":"","parse-names":false,"suffix":""},{"dropping-particle":"","family":"Zheng","given":"Xueli","non-dropping-particle":"","parse-names":false,"suffix":""},{"dropping-particle":"","family":"Voznyy","given":"Oleksandr","non-dropping-particle":"","parse-names":false,"suffix":""},{"dropping-particle":"","family":"Comin","given":"Riccardo","non-dropping-particle":"","parse-names":false,"suffix":""},{"dropping-particle":"","family":"Bajdich","given":"Michal","non-dropping-particle":"","parse-names":false,"suffix":""},{"dropping-particle":"","family":"García-melchor","given":"Max","non-dropping-particle":"","parse-names":false,"suffix":""},{"dropping-particle":"","family":"Han","given":"Lili","non-dropping-particle":"","parse-names":false,"suffix":""},{"dropping-particle":"","family":"Xu","given":"Jixian","non-dropping-particle":"","parse-names":false,"suffix":""},{"dropping-particle":"","family":"Liu","given":"Min","non-dropping-particle":"","parse-names":false,"suffix":""},{"dropping-particle":"","family":"Zheng","given":"Lirong","non-dropping-particle":"","parse-names":false,"suffix":""},{"dropping-particle":"De","family":"Arquer","given":"F Pelayo García","non-dropping-particle":"","parse-names":false,"suffix":""},{"dropping-particle":"","family":"Dinh","given":"Cao Thang","non-dropping-particle":"","parse-names":false,"suffix":""},{"dropping-particle":"","family":"Fan","given":"Fengjia","non-dropping-particle":"","parse-names":false,"suffix":""},{"dropping-particle":"","family":"Yuan","given":"Mingjian","non-dropping-particle":"","parse-names":false,"suffix":""},{"dropping-particle":"","family":"Yassitepe","given":"Emre","non-dropping-particle":"","parse-names":false,"suffix":""},{"dropping-particle":"","family":"Chen","given":"Ning","non-dropping-particle":"","parse-names":false,"suffix":""},{"dropping-particle":"","family":"Regier","given":"Tom","non-dropping-particle":"","parse-names":false,"suffix":""},{"dropping-particle":"","family":"Liu","given":"Pengfei","non-dropping-particle":"","parse-names":false,"suffix":""},{"dropping-particle":"","family":"Li","given":"Yuhang","non-dropping-particle":"","parse-names":false,"suffix":""},{"dropping-particle":"De","family":"Luna","given":"Phil","non-dropping-particle":"","parse-names":false,"suffix":""},{"dropping-particle":"","family":"Xin","given":"Huolin L","non-dropping-particle":"","parse-names":false,"suffix":""},{"dropping-particle":"","family":"Yang","given":"Huagui","non-dropping-particle":"","parse-names":false,"suffix":""},{"dropping-particle":"","family":"Vojvodic","given":"Aleksandra","non-dropping-particle":"","parse-names":false,"suffix":""},{"dropping-particle":"","family":"Sargent","given":"Edward H","non-dropping-particle":"","parse-names":false,"suffix":""}],"container-title":"Science","id":"ITEM-1","issue":"6283","issued":{"date-parts":[["2016"]]},"page":"333","title":"Homogeneously dispersed , multimetal oxygen-evolving catalysts","type":"article-journal","volume":"352"},"uris":["http://www.mendeley.com/documents/?uuid=239b4072-e4c5-432d-a294-7ede7e3f0aaf"]}],"mendeley":{"formattedCitation":"&lt;sup&gt;25&lt;/sup&gt;","plainTextFormattedCitation":"25","previouslyFormattedCitation":"&lt;sup&gt;24&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25</w:t>
            </w:r>
            <w:r w:rsidRPr="000B06A4">
              <w:rPr>
                <w:rFonts w:ascii="Times" w:hAnsi="Times"/>
                <w:sz w:val="20"/>
                <w:szCs w:val="20"/>
              </w:rPr>
              <w:fldChar w:fldCharType="end"/>
            </w:r>
          </w:p>
        </w:tc>
      </w:tr>
      <w:tr w:rsidR="00F35D51" w:rsidRPr="000B06A4" w14:paraId="5CF0FD3B" w14:textId="77777777" w:rsidTr="00B05959">
        <w:trPr>
          <w:trHeight w:val="432"/>
        </w:trPr>
        <w:tc>
          <w:tcPr>
            <w:tcW w:w="554" w:type="dxa"/>
            <w:vAlign w:val="center"/>
          </w:tcPr>
          <w:p w14:paraId="442D86D0"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9</w:t>
            </w:r>
          </w:p>
        </w:tc>
        <w:tc>
          <w:tcPr>
            <w:tcW w:w="2250" w:type="dxa"/>
            <w:vAlign w:val="center"/>
          </w:tcPr>
          <w:p w14:paraId="2199B534"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Co-NiSe</w:t>
            </w:r>
            <w:r w:rsidRPr="000B06A4">
              <w:rPr>
                <w:rFonts w:ascii="Times" w:hAnsi="Times"/>
                <w:sz w:val="20"/>
                <w:szCs w:val="20"/>
                <w:vertAlign w:val="subscript"/>
              </w:rPr>
              <w:t>2</w:t>
            </w:r>
          </w:p>
        </w:tc>
        <w:tc>
          <w:tcPr>
            <w:tcW w:w="1133" w:type="dxa"/>
            <w:vAlign w:val="center"/>
          </w:tcPr>
          <w:p w14:paraId="20C944FD"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6468611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Ti plate</w:t>
            </w:r>
          </w:p>
        </w:tc>
        <w:tc>
          <w:tcPr>
            <w:tcW w:w="1170" w:type="dxa"/>
            <w:gridSpan w:val="3"/>
            <w:vAlign w:val="center"/>
          </w:tcPr>
          <w:p w14:paraId="1362B97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1.67</w:t>
            </w:r>
          </w:p>
        </w:tc>
        <w:tc>
          <w:tcPr>
            <w:tcW w:w="667" w:type="dxa"/>
            <w:gridSpan w:val="3"/>
            <w:vAlign w:val="center"/>
          </w:tcPr>
          <w:p w14:paraId="4D7267A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226</w:t>
            </w:r>
          </w:p>
        </w:tc>
        <w:tc>
          <w:tcPr>
            <w:tcW w:w="1080" w:type="dxa"/>
            <w:gridSpan w:val="3"/>
            <w:vAlign w:val="center"/>
          </w:tcPr>
          <w:p w14:paraId="38FEF51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94</w:t>
            </w:r>
          </w:p>
        </w:tc>
        <w:tc>
          <w:tcPr>
            <w:tcW w:w="270" w:type="dxa"/>
            <w:gridSpan w:val="3"/>
          </w:tcPr>
          <w:p w14:paraId="280E4103"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45E0E402"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CP @10 mA.cm</w:t>
            </w:r>
            <w:r w:rsidRPr="000B06A4">
              <w:rPr>
                <w:rFonts w:ascii="Times" w:hAnsi="Times"/>
                <w:sz w:val="20"/>
                <w:szCs w:val="20"/>
                <w:vertAlign w:val="superscript"/>
              </w:rPr>
              <w:t>-2</w:t>
            </w:r>
          </w:p>
        </w:tc>
        <w:tc>
          <w:tcPr>
            <w:tcW w:w="814" w:type="dxa"/>
            <w:gridSpan w:val="3"/>
            <w:vAlign w:val="center"/>
          </w:tcPr>
          <w:p w14:paraId="5F980B59"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10</w:t>
            </w:r>
          </w:p>
        </w:tc>
        <w:tc>
          <w:tcPr>
            <w:tcW w:w="2766" w:type="dxa"/>
            <w:gridSpan w:val="4"/>
            <w:vAlign w:val="center"/>
          </w:tcPr>
          <w:p w14:paraId="66F84160" w14:textId="7D71712B"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Nanoscale, 2016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{"citationItems":[{"id":"ITEM-1","itemData":{"DOI":"10.1039/c5nr07170d","ISSN":"20403372","abstract":"© The Royal Society of Chemistry 2016. In this communication, we report that a Co-doped NiSe2 nanoparticles film electrodeposited on a conductive Ti plate (Co0.13Ni0.87Se2/Ti) behaves as a robust electrocatalyst for both HER and OER in strongly basic media, with good activity over a NiSe2/Ti counterpart. This Co0.13Ni0.87Se2/Ti catalytic electrode delivers 10 mA cm-2 at an overpotential of 64 mV for HER and 100 mA cm-2 at an overpotential of 320 mV for OER in 1.0 M KOH. A voltage of only 1.62 V is required to drive 10 mA cm-2 for the two-electrode alkaline water electrolyzer using Co0.13Ni0.87Se2/Ti as an anode and cathode.","author":[{"dropping-particle":"","family":"Liu","given":"Tingting","non-dropping-particle":"","parse-names":false,"suffix":""},{"dropping-particle":"","family":"Asiri","given":"Abdullah M.","non-dropping-particle":"","parse-names":false,"suffix":""},{"dropping-particle":"","family":"Sun","given":"Xuping","non-dropping-particle":"","parse-names":false,"suffix":""}],"container-title":"Nanoscale","id":"ITEM-1","issue":"7","issued":{"date-parts":[["2016"]]},"page":"3911-3915","title":"Electrodeposited Co-doped NiSe2 nanoparticles film: A good electrocatalyst for efficient water splitting","type":"article-journal","volume":"8"},"uris":["http://www.mendeley.com/documents/?uuid=0d0087b0-ec56-4fa1-a2ad-643df4e70811"]}],"mendeley":{"formattedCitation":"&lt;sup&gt;26&lt;/sup&gt;","plainTextFormattedCitation":"26","previouslyFormattedCitation":"&lt;sup&gt;25&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26</w:t>
            </w:r>
            <w:r w:rsidRPr="000B06A4">
              <w:rPr>
                <w:rFonts w:ascii="Times" w:hAnsi="Times"/>
                <w:sz w:val="20"/>
                <w:szCs w:val="20"/>
              </w:rPr>
              <w:fldChar w:fldCharType="end"/>
            </w:r>
          </w:p>
        </w:tc>
      </w:tr>
      <w:tr w:rsidR="00F35D51" w:rsidRPr="000B06A4" w14:paraId="55D620AC" w14:textId="77777777" w:rsidTr="00B05959">
        <w:trPr>
          <w:trHeight w:val="432"/>
        </w:trPr>
        <w:tc>
          <w:tcPr>
            <w:tcW w:w="554" w:type="dxa"/>
            <w:vAlign w:val="center"/>
          </w:tcPr>
          <w:p w14:paraId="242F95DB"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10</w:t>
            </w:r>
          </w:p>
        </w:tc>
        <w:tc>
          <w:tcPr>
            <w:tcW w:w="2250" w:type="dxa"/>
            <w:vAlign w:val="center"/>
          </w:tcPr>
          <w:p w14:paraId="5094A8BB"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(Ni</w:t>
            </w:r>
            <w:r w:rsidRPr="000B06A4">
              <w:rPr>
                <w:rFonts w:ascii="Times" w:hAnsi="Times"/>
                <w:sz w:val="20"/>
                <w:szCs w:val="20"/>
                <w:vertAlign w:val="subscript"/>
              </w:rPr>
              <w:t>0.75</w:t>
            </w:r>
            <w:r w:rsidRPr="000B06A4">
              <w:rPr>
                <w:rFonts w:ascii="Times" w:hAnsi="Times"/>
                <w:sz w:val="20"/>
                <w:szCs w:val="20"/>
              </w:rPr>
              <w:t>Fe</w:t>
            </w:r>
            <w:r w:rsidRPr="000B06A4">
              <w:rPr>
                <w:rFonts w:ascii="Times" w:hAnsi="Times"/>
                <w:sz w:val="20"/>
                <w:szCs w:val="20"/>
                <w:vertAlign w:val="subscript"/>
              </w:rPr>
              <w:t>0.25</w:t>
            </w:r>
            <w:r w:rsidRPr="000B06A4">
              <w:rPr>
                <w:rFonts w:ascii="Times" w:hAnsi="Times"/>
                <w:sz w:val="20"/>
                <w:szCs w:val="20"/>
              </w:rPr>
              <w:t>)Se</w:t>
            </w:r>
            <w:r w:rsidRPr="000B06A4">
              <w:rPr>
                <w:rFonts w:ascii="Times" w:hAnsi="Times"/>
                <w:sz w:val="20"/>
                <w:szCs w:val="20"/>
                <w:vertAlign w:val="subscript"/>
              </w:rPr>
              <w:t xml:space="preserve">2 </w:t>
            </w:r>
            <w:r w:rsidRPr="000B06A4">
              <w:rPr>
                <w:rFonts w:ascii="Times" w:hAnsi="Times"/>
                <w:sz w:val="20"/>
                <w:szCs w:val="20"/>
                <w:vertAlign w:val="superscript"/>
              </w:rPr>
              <w:t>(d)</w:t>
            </w:r>
          </w:p>
        </w:tc>
        <w:tc>
          <w:tcPr>
            <w:tcW w:w="1133" w:type="dxa"/>
            <w:vAlign w:val="center"/>
          </w:tcPr>
          <w:p w14:paraId="7219F44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68BD7301"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CC</w:t>
            </w:r>
          </w:p>
        </w:tc>
        <w:tc>
          <w:tcPr>
            <w:tcW w:w="1170" w:type="dxa"/>
            <w:gridSpan w:val="3"/>
            <w:vAlign w:val="center"/>
          </w:tcPr>
          <w:p w14:paraId="46F1C926"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667" w:type="dxa"/>
            <w:gridSpan w:val="3"/>
            <w:vAlign w:val="center"/>
          </w:tcPr>
          <w:p w14:paraId="44BEA433"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230</w:t>
            </w:r>
          </w:p>
        </w:tc>
        <w:tc>
          <w:tcPr>
            <w:tcW w:w="1080" w:type="dxa"/>
            <w:gridSpan w:val="3"/>
            <w:vAlign w:val="center"/>
          </w:tcPr>
          <w:p w14:paraId="60AE19DC"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47.2</w:t>
            </w:r>
          </w:p>
        </w:tc>
        <w:tc>
          <w:tcPr>
            <w:tcW w:w="270" w:type="dxa"/>
            <w:gridSpan w:val="3"/>
          </w:tcPr>
          <w:p w14:paraId="1222E4E4"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5FB3BBBE"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CP @35 mA.cm</w:t>
            </w:r>
            <w:r w:rsidRPr="000B06A4">
              <w:rPr>
                <w:rFonts w:ascii="Times" w:hAnsi="Times"/>
                <w:sz w:val="20"/>
                <w:szCs w:val="20"/>
                <w:vertAlign w:val="superscript"/>
              </w:rPr>
              <w:t>-2</w:t>
            </w:r>
          </w:p>
        </w:tc>
        <w:tc>
          <w:tcPr>
            <w:tcW w:w="814" w:type="dxa"/>
            <w:gridSpan w:val="3"/>
            <w:vAlign w:val="center"/>
          </w:tcPr>
          <w:p w14:paraId="0D365BB7"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28</w:t>
            </w:r>
          </w:p>
        </w:tc>
        <w:tc>
          <w:tcPr>
            <w:tcW w:w="2766" w:type="dxa"/>
            <w:gridSpan w:val="4"/>
            <w:vAlign w:val="center"/>
          </w:tcPr>
          <w:p w14:paraId="79694056" w14:textId="2EBC2D38"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ACS App. Mat. &amp; Int., 2016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{"citationItems":[{"id":"ITEM-1","itemData":{"DOI":"10.1021/acsami.6b03392","ISSN":"19448252","abstract":"© 2016 American Chemical Society. Exploring non-noble and high-efficiency electrocatalysts is critical to large-scale industrial applications of electrochemical water splitting. Currently, nickel-based selenide materials are promising candidates for oxygen evolution reaction due to their low cost and excellent performance. In this work, we report the porous nickel-iron bimetallic selenide nanosheets ((Ni0.75Fe0.25)Se2) on carbon fiber cloth (CFC) by selenization of the ultrathin NiFe-based nanosheet precursor. The as-prepared three-dimensional oxygen evolution electrode exhibits a small overpotential of 255 mV at 35 mA cm-2and a low Tafel slope of 47.2 mV dec-1and keeps high stability during a 28 h measurement in alkaline solution. The outstanding catalytic performance and strong durability, in comparison to the advanced non-noble metal catalysts, are derived from the porous nanostructure fabrication, Fe incorporation, and selenization, which result in fast charge transportation and large electrochemically active surface area and enhance the release of oxygen bubbles from the electrode surface.","author":[{"dropping-particle":"","family":"Wang","given":"Zhaoyang","non-dropping-particle":"","parse-names":false,"suffix":""},{"dropping-particle":"","family":"Li","given":"Jiantao","non-dropping-particle":"","parse-names":false,"suffix":""},{"dropping-particle":"","family":"Tian","given":"Xiaocong","non-dropping-particle":"","parse-names":false,"suffix":""},{"dropping-particle":"","family":"Wang","given":"Xuanpeng","non-dropping-particle":"","parse-names":false,"suffix":""},{"dropping-particle":"","family":"Yu","given":"Yang","non-dropping-particle":"","parse-names":false,"suffix":""},{"dropping-particle":"","family":"Owusu","given":"Kwadwo Asare","non-dropping-particle":"","parse-names":false,"suffix":""},{"dropping-particle":"","family":"He","given":"Liang","non-dropping-particle":"","parse-names":false,"suffix":""},{"dropping-particle":"","family":"Mai","given":"Liqiang","non-dropping-particle":"","parse-names":false,"suffix":""}],"container-title":"ACS Applied Materials and Interfaces","id":"ITEM-1","issue":"30","issued":{"date-parts":[["2016"]]},"page":"19386-19392","title":"Porous Nickel-Iron Selenide Nanosheets as Highly Efficient Electrocatalysts for Oxygen Evolution Reaction","type":"article-journal","volume":"8"},"uris":["http://www.mendeley.com/documents/?uuid=b3245f56-145a-4e4a-b4a9-4003b19e0da1"]}],"mendeley":{"formattedCitation":"&lt;sup&gt;27&lt;/sup&gt;","plainTextFormattedCitation":"27","previouslyFormattedCitation":"&lt;sup&gt;26&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27</w:t>
            </w:r>
            <w:r w:rsidRPr="000B06A4">
              <w:rPr>
                <w:rFonts w:ascii="Times" w:hAnsi="Times"/>
                <w:sz w:val="20"/>
                <w:szCs w:val="20"/>
              </w:rPr>
              <w:fldChar w:fldCharType="end"/>
            </w:r>
          </w:p>
        </w:tc>
      </w:tr>
      <w:tr w:rsidR="00F35D51" w:rsidRPr="000B06A4" w14:paraId="1E9387D9" w14:textId="77777777" w:rsidTr="00B05959">
        <w:trPr>
          <w:trHeight w:val="432"/>
        </w:trPr>
        <w:tc>
          <w:tcPr>
            <w:tcW w:w="554" w:type="dxa"/>
            <w:vAlign w:val="center"/>
          </w:tcPr>
          <w:p w14:paraId="12B04306"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11</w:t>
            </w:r>
          </w:p>
        </w:tc>
        <w:tc>
          <w:tcPr>
            <w:tcW w:w="2250" w:type="dxa"/>
            <w:vAlign w:val="center"/>
          </w:tcPr>
          <w:p w14:paraId="0F07FD2C" w14:textId="77777777" w:rsidR="00F35D51" w:rsidRPr="000B06A4" w:rsidRDefault="00F35D51" w:rsidP="00B05959">
            <w:pPr>
              <w:spacing w:line="276" w:lineRule="auto"/>
              <w:rPr>
                <w:rFonts w:ascii="Times" w:hAnsi="Times"/>
                <w:sz w:val="20"/>
                <w:szCs w:val="20"/>
              </w:rPr>
            </w:pPr>
            <w:proofErr w:type="spellStart"/>
            <w:r w:rsidRPr="000B06A4">
              <w:rPr>
                <w:rFonts w:ascii="Times" w:hAnsi="Times"/>
                <w:sz w:val="20"/>
                <w:szCs w:val="20"/>
              </w:rPr>
              <w:t>FeOOH</w:t>
            </w:r>
            <w:proofErr w:type="spellEnd"/>
            <w:r w:rsidRPr="000B06A4">
              <w:rPr>
                <w:rFonts w:ascii="Times" w:hAnsi="Times"/>
                <w:sz w:val="20"/>
                <w:szCs w:val="20"/>
              </w:rPr>
              <w:t>/Co/</w:t>
            </w:r>
            <w:proofErr w:type="spellStart"/>
            <w:r w:rsidRPr="000B06A4">
              <w:rPr>
                <w:rFonts w:ascii="Times" w:hAnsi="Times"/>
                <w:sz w:val="20"/>
                <w:szCs w:val="20"/>
              </w:rPr>
              <w:t>FeOOH</w:t>
            </w:r>
            <w:proofErr w:type="spellEnd"/>
            <w:r w:rsidRPr="000B06A4">
              <w:rPr>
                <w:rFonts w:ascii="Times" w:hAnsi="Times"/>
                <w:sz w:val="20"/>
                <w:szCs w:val="20"/>
              </w:rPr>
              <w:t xml:space="preserve"> </w:t>
            </w:r>
            <w:r w:rsidRPr="000B06A4">
              <w:rPr>
                <w:rFonts w:ascii="Times" w:hAnsi="Times"/>
                <w:sz w:val="20"/>
                <w:szCs w:val="20"/>
                <w:vertAlign w:val="superscript"/>
              </w:rPr>
              <w:t>(d)</w:t>
            </w:r>
          </w:p>
        </w:tc>
        <w:tc>
          <w:tcPr>
            <w:tcW w:w="1133" w:type="dxa"/>
            <w:vAlign w:val="center"/>
          </w:tcPr>
          <w:p w14:paraId="4088391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NaOH</w:t>
            </w:r>
          </w:p>
        </w:tc>
        <w:tc>
          <w:tcPr>
            <w:tcW w:w="1260" w:type="dxa"/>
            <w:gridSpan w:val="3"/>
            <w:vAlign w:val="center"/>
          </w:tcPr>
          <w:p w14:paraId="45039C8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NF</w:t>
            </w:r>
          </w:p>
        </w:tc>
        <w:tc>
          <w:tcPr>
            <w:tcW w:w="1170" w:type="dxa"/>
            <w:gridSpan w:val="3"/>
            <w:vAlign w:val="center"/>
          </w:tcPr>
          <w:p w14:paraId="369880B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0.5</w:t>
            </w:r>
          </w:p>
        </w:tc>
        <w:tc>
          <w:tcPr>
            <w:tcW w:w="667" w:type="dxa"/>
            <w:gridSpan w:val="3"/>
            <w:vAlign w:val="center"/>
          </w:tcPr>
          <w:p w14:paraId="138FDE7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237</w:t>
            </w:r>
          </w:p>
        </w:tc>
        <w:tc>
          <w:tcPr>
            <w:tcW w:w="1080" w:type="dxa"/>
            <w:gridSpan w:val="3"/>
            <w:vAlign w:val="center"/>
          </w:tcPr>
          <w:p w14:paraId="1156C5E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32</w:t>
            </w:r>
          </w:p>
        </w:tc>
        <w:tc>
          <w:tcPr>
            <w:tcW w:w="270" w:type="dxa"/>
            <w:gridSpan w:val="3"/>
          </w:tcPr>
          <w:p w14:paraId="48F36272"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3C149159"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CP @200 mA.cm</w:t>
            </w:r>
            <w:r w:rsidRPr="000B06A4">
              <w:rPr>
                <w:rFonts w:ascii="Times" w:hAnsi="Times"/>
                <w:sz w:val="20"/>
                <w:szCs w:val="20"/>
                <w:vertAlign w:val="subscript"/>
              </w:rPr>
              <w:t>-2</w:t>
            </w:r>
          </w:p>
        </w:tc>
        <w:tc>
          <w:tcPr>
            <w:tcW w:w="814" w:type="dxa"/>
            <w:gridSpan w:val="3"/>
            <w:vAlign w:val="center"/>
          </w:tcPr>
          <w:p w14:paraId="7C18C651"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50</w:t>
            </w:r>
          </w:p>
        </w:tc>
        <w:tc>
          <w:tcPr>
            <w:tcW w:w="2766" w:type="dxa"/>
            <w:gridSpan w:val="4"/>
            <w:vAlign w:val="center"/>
          </w:tcPr>
          <w:p w14:paraId="5D7CFA19" w14:textId="5A79B40F" w:rsidR="00F35D51" w:rsidRPr="000B06A4" w:rsidRDefault="00F35D51" w:rsidP="00B05959">
            <w:pPr>
              <w:spacing w:line="276" w:lineRule="auto"/>
              <w:rPr>
                <w:rFonts w:ascii="Times" w:hAnsi="Times"/>
                <w:sz w:val="20"/>
                <w:szCs w:val="20"/>
              </w:rPr>
            </w:pPr>
            <w:proofErr w:type="spellStart"/>
            <w:r w:rsidRPr="000B06A4">
              <w:rPr>
                <w:rFonts w:ascii="Times" w:hAnsi="Times"/>
                <w:sz w:val="20"/>
                <w:szCs w:val="20"/>
              </w:rPr>
              <w:t>Angew</w:t>
            </w:r>
            <w:proofErr w:type="spellEnd"/>
            <w:r w:rsidRPr="000B06A4">
              <w:rPr>
                <w:rFonts w:ascii="Times" w:hAnsi="Times"/>
                <w:sz w:val="20"/>
                <w:szCs w:val="20"/>
              </w:rPr>
              <w:t xml:space="preserve">. Chem.,2016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{"citationItems":[{"id":"ITEM-1","itemData":{"DOI":"10.1002/anie.201511447","ISSN":"15213773","abstract":"Â© 2016 Wiley-VCH Verlag GmbH  &amp;  Co. KGaA, Weinheim. Herein, we developed FeOOH/Co/FeOOH hybrid nanotube arrays (HNTAs) supported on Ni foams for oxygen evolution reaction (OER). The inner Co metal cores serve as highly conductive layers to provide reliable electronic transmission, and can overcome the poor electrical conductivity of FeOOH efficiently. DFT calculations demonstrate the strong electronic interactions between Co and FeOOH in the FeOOH/Co/FeOOH HNTAs, and the hybrid structure can lower the energy barriers of intermediates and thus promote the catalytic reactions. The FeOOH/Co/FeOOH HNTAs exhibit high electrocatalytic performance for OER, such as low onset potential, sma ll Tafel slope, and excellent long-term durability, and they are promising electrocatalysts for OER in alkaline solution. FeOOH/Co/FeOOH hybrid nanotube arrays (HNTAs) supported on Ni foams were developed for the oxygen evolution reaction (OER). The FeOOH/Co/FeOOH HNTAs exhibit high electrocatalytic performance for OER, such as low onset potential, small Tafel slope, and excellent long-term durability, and are promising electrocatalysts for OER in alkaline solution.","author":[{"dropping-particle":"","family":"Feng","given":"Jin Xian","non-dropping-particle":"","parse-names":false,"suffix":""},{"dropping-particle":"","family":"Xu","given":"Han","non-dropping-particle":"","parse-names":false,"suffix":""},{"dropping-particle":"","family":"Dong","given":"Yu Tao","non-dropping-particle":"","parse-names":false,"suffix":""},{"dropping-particle":"","family":"Ye","given":"Sheng Hua","non-dropping-particle":"","parse-names":false,"suffix":""},{"dropping-particle":"","family":"Tong","given":"Ye Xiang","non-dropping-particle":"","parse-names":false,"suffix":""},{"dropping-particle":"","family":"Li","given":"Gao Ren","non-dropping-particle":"","parse-names":false,"suffix":""}],"container-title":"Angewandte Chemie - International Edition","id":"ITEM-1","issue":"11","issued":{"date-parts":[["2016"]]},"page":"3694-3698","title":"FeOOH/Co/FeOOH Hybrid Nanotube Arrays as High-Performance Electrocatalysts for the Oxygen Evolution Reaction","type":"article-journal","volume":"55"},"uris":["http://www.mendeley.com/documents/?uuid=a99f2b0e-f227-413d-9735-4679b287b301"]}],"mendeley":{"formattedCitation":"&lt;sup&gt;28&lt;/sup&gt;","plainTextFormattedCitation":"28","previouslyFormattedCitation":"&lt;sup&gt;27&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28</w:t>
            </w:r>
            <w:r w:rsidRPr="000B06A4">
              <w:rPr>
                <w:rFonts w:ascii="Times" w:hAnsi="Times"/>
                <w:sz w:val="20"/>
                <w:szCs w:val="20"/>
              </w:rPr>
              <w:fldChar w:fldCharType="end"/>
            </w:r>
          </w:p>
        </w:tc>
      </w:tr>
      <w:tr w:rsidR="00F35D51" w:rsidRPr="000B06A4" w14:paraId="5E038796" w14:textId="77777777" w:rsidTr="00B05959">
        <w:trPr>
          <w:trHeight w:val="432"/>
        </w:trPr>
        <w:tc>
          <w:tcPr>
            <w:tcW w:w="554" w:type="dxa"/>
            <w:vAlign w:val="center"/>
          </w:tcPr>
          <w:p w14:paraId="1CCF3F7D"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lastRenderedPageBreak/>
              <w:t>12</w:t>
            </w:r>
          </w:p>
        </w:tc>
        <w:tc>
          <w:tcPr>
            <w:tcW w:w="2250" w:type="dxa"/>
            <w:vAlign w:val="center"/>
          </w:tcPr>
          <w:p w14:paraId="55C365F7"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P-Co</w:t>
            </w:r>
            <w:r w:rsidRPr="000B06A4">
              <w:rPr>
                <w:rFonts w:ascii="Times" w:hAnsi="Times"/>
                <w:sz w:val="20"/>
                <w:szCs w:val="20"/>
                <w:vertAlign w:val="subscript"/>
              </w:rPr>
              <w:t>3</w:t>
            </w:r>
            <w:r w:rsidRPr="000B06A4">
              <w:rPr>
                <w:rFonts w:ascii="Times" w:hAnsi="Times"/>
                <w:sz w:val="20"/>
                <w:szCs w:val="20"/>
              </w:rPr>
              <w:t>O</w:t>
            </w:r>
            <w:r w:rsidRPr="000B06A4">
              <w:rPr>
                <w:rFonts w:ascii="Times" w:hAnsi="Times"/>
                <w:sz w:val="20"/>
                <w:szCs w:val="20"/>
                <w:vertAlign w:val="subscript"/>
              </w:rPr>
              <w:t>4</w:t>
            </w:r>
            <w:r w:rsidRPr="000B06A4">
              <w:rPr>
                <w:rFonts w:ascii="Times" w:hAnsi="Times"/>
                <w:sz w:val="20"/>
                <w:szCs w:val="20"/>
                <w:vertAlign w:val="superscript"/>
              </w:rPr>
              <w:t>(d)</w:t>
            </w:r>
          </w:p>
        </w:tc>
        <w:tc>
          <w:tcPr>
            <w:tcW w:w="1133" w:type="dxa"/>
            <w:vAlign w:val="center"/>
          </w:tcPr>
          <w:p w14:paraId="442BA07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58B849CD"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NF</w:t>
            </w:r>
          </w:p>
        </w:tc>
        <w:tc>
          <w:tcPr>
            <w:tcW w:w="1170" w:type="dxa"/>
            <w:gridSpan w:val="3"/>
            <w:vAlign w:val="center"/>
          </w:tcPr>
          <w:p w14:paraId="30F42360"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667" w:type="dxa"/>
            <w:gridSpan w:val="3"/>
            <w:vAlign w:val="center"/>
          </w:tcPr>
          <w:p w14:paraId="20FDF4E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240</w:t>
            </w:r>
          </w:p>
        </w:tc>
        <w:tc>
          <w:tcPr>
            <w:tcW w:w="1080" w:type="dxa"/>
            <w:gridSpan w:val="3"/>
            <w:vAlign w:val="center"/>
          </w:tcPr>
          <w:p w14:paraId="49A9831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60</w:t>
            </w:r>
          </w:p>
        </w:tc>
        <w:tc>
          <w:tcPr>
            <w:tcW w:w="270" w:type="dxa"/>
            <w:gridSpan w:val="3"/>
          </w:tcPr>
          <w:p w14:paraId="0716A0D0"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0A23F96C"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CA @300 mV</w:t>
            </w:r>
          </w:p>
        </w:tc>
        <w:tc>
          <w:tcPr>
            <w:tcW w:w="814" w:type="dxa"/>
            <w:gridSpan w:val="3"/>
            <w:vAlign w:val="center"/>
          </w:tcPr>
          <w:p w14:paraId="21245E02"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25</w:t>
            </w:r>
          </w:p>
        </w:tc>
        <w:tc>
          <w:tcPr>
            <w:tcW w:w="2766" w:type="dxa"/>
            <w:gridSpan w:val="4"/>
            <w:vAlign w:val="center"/>
          </w:tcPr>
          <w:p w14:paraId="0B3727EE" w14:textId="759222C6"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ACS Catalysis, 2018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{"citationItems":[{"id":"ITEM-1","itemData":{"DOI":"10.1021/acscatal.7b03594","ISSN":"21555435","abstract":"© 2018 American Chemical Society. It is vitally essential to design highly efficient and cost-effective bifunctional electrocatalysts toward water splitting. Herein, we report the development of P-doped Co 3 O 4 nanowire array on nickel foam (P-Co 3 O 4 /NF) from Co 3 O 4 nanowire array through low-temperature annealing, using NaH 2 PO 2 as the P source. As a 3D catalyst, such P-Co 3 O 4 /NF demonstrates superior performance for oxygen evolution reaction with a low overpotential (260 mV at 20 mA cm -2 ), a small Tafel slope (60 mV dec -1 ), and a satisfying durability in 1.0 M KOH. Density functional theory calculations indicate that P-Co 3 O 4 has a reaction free-energy value that is much smaller than that of pristine Co 3 O 4 for the potential determining step of the oxygen evolution reaction. Such P-Co 3 O 4 /NF also performs efficiently for hydrogen evolution reaction, and a two-electrode alkaline electrolyzer assembled by P 8.6 -Co 3 O 4 /NF as both anode and cathode needs only 1.63 V to reach a water-splitting current of 10 mA cm -2 .","author":[{"dropping-particle":"","family":"Wang","given":"Zhichao","non-dropping-particle":"","parse-names":false,"suffix":""},{"dropping-particle":"","family":"Liu","given":"Hongli","non-dropping-particle":"","parse-names":false,"suffix":""},{"dropping-particle":"","family":"Ge","given":"Ruixiang","non-dropping-particle":"","parse-names":false,"suffix":""},{"dropping-particle":"","family":"Ren","given":"Xiang","non-dropping-particle":"","parse-names":false,"suffix":""},{"dropping-particle":"","family":"Ren","given":"Jun","non-dropping-particle":"","parse-names":false,"suffix":""},{"dropping-particle":"","family":"Yang","given":"Dongjiang","non-dropping-particle":"","parse-names":false,"suffix":""},{"dropping-particle":"","family":"Zhang","given":"Lixue","non-dropping-particle":"","parse-names":false,"suffix":""},{"dropping-particle":"","family":"Sun","given":"Xuping","non-dropping-particle":"","parse-names":false,"suffix":""}],"container-title":"ACS Catalysis","id":"ITEM-1","issue":"3","issued":{"date-parts":[["2018"]]},"page":"2236-2241","title":"Phosphorus-Doped Co3O4 Nanowire Array: A Highly Efficient Bifunctional Electrocatalyst for Overall Water Splitting","type":"article-journal","volume":"8"},"uris":["http://www.mendeley.com/documents/?uuid=8f0340dc-7aee-473a-94af-21f13bb72c42"]}],"mendeley":{"formattedCitation":"&lt;sup&gt;29&lt;/sup&gt;","plainTextFormattedCitation":"29","previouslyFormattedCitation":"&lt;sup&gt;28&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29</w:t>
            </w:r>
            <w:r w:rsidRPr="000B06A4">
              <w:rPr>
                <w:rFonts w:ascii="Times" w:hAnsi="Times"/>
                <w:sz w:val="20"/>
                <w:szCs w:val="20"/>
              </w:rPr>
              <w:fldChar w:fldCharType="end"/>
            </w:r>
          </w:p>
        </w:tc>
      </w:tr>
      <w:tr w:rsidR="00F35D51" w:rsidRPr="000B06A4" w14:paraId="4C98F4C5" w14:textId="77777777" w:rsidTr="00B05959">
        <w:trPr>
          <w:trHeight w:val="432"/>
        </w:trPr>
        <w:tc>
          <w:tcPr>
            <w:tcW w:w="554" w:type="dxa"/>
            <w:vAlign w:val="center"/>
          </w:tcPr>
          <w:p w14:paraId="48757330"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13</w:t>
            </w:r>
          </w:p>
        </w:tc>
        <w:tc>
          <w:tcPr>
            <w:tcW w:w="2250" w:type="dxa"/>
            <w:vAlign w:val="center"/>
          </w:tcPr>
          <w:p w14:paraId="5CD0CF47"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NiSe Nanowires</w:t>
            </w:r>
            <w:r w:rsidRPr="000B06A4">
              <w:rPr>
                <w:rFonts w:ascii="Times" w:hAnsi="Times"/>
                <w:sz w:val="20"/>
                <w:szCs w:val="20"/>
                <w:vertAlign w:val="superscript"/>
              </w:rPr>
              <w:t>(d)</w:t>
            </w:r>
          </w:p>
        </w:tc>
        <w:tc>
          <w:tcPr>
            <w:tcW w:w="1133" w:type="dxa"/>
            <w:vAlign w:val="center"/>
          </w:tcPr>
          <w:p w14:paraId="51ACC4A3"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6C0085F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NF</w:t>
            </w:r>
          </w:p>
        </w:tc>
        <w:tc>
          <w:tcPr>
            <w:tcW w:w="1170" w:type="dxa"/>
            <w:gridSpan w:val="3"/>
            <w:vAlign w:val="center"/>
          </w:tcPr>
          <w:p w14:paraId="6B2146E0"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2.77</w:t>
            </w:r>
          </w:p>
        </w:tc>
        <w:tc>
          <w:tcPr>
            <w:tcW w:w="667" w:type="dxa"/>
            <w:gridSpan w:val="3"/>
            <w:vAlign w:val="center"/>
          </w:tcPr>
          <w:p w14:paraId="76A8E4E6"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250</w:t>
            </w:r>
          </w:p>
        </w:tc>
        <w:tc>
          <w:tcPr>
            <w:tcW w:w="1080" w:type="dxa"/>
            <w:gridSpan w:val="3"/>
            <w:vAlign w:val="center"/>
          </w:tcPr>
          <w:p w14:paraId="4862508D"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64</w:t>
            </w:r>
          </w:p>
        </w:tc>
        <w:tc>
          <w:tcPr>
            <w:tcW w:w="270" w:type="dxa"/>
            <w:gridSpan w:val="3"/>
          </w:tcPr>
          <w:p w14:paraId="7EB91AF1"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1E4B9B12" w14:textId="77777777" w:rsidR="00F35D51" w:rsidRPr="000B06A4" w:rsidRDefault="00F35D51" w:rsidP="00B05959">
            <w:pPr>
              <w:spacing w:line="276" w:lineRule="auto"/>
              <w:rPr>
                <w:rFonts w:ascii="Times" w:hAnsi="Times"/>
                <w:sz w:val="20"/>
                <w:szCs w:val="20"/>
                <w:vertAlign w:val="subscript"/>
              </w:rPr>
            </w:pPr>
            <w:r w:rsidRPr="000B06A4">
              <w:rPr>
                <w:rFonts w:ascii="Times" w:hAnsi="Times"/>
                <w:sz w:val="20"/>
                <w:szCs w:val="20"/>
              </w:rPr>
              <w:t>CP @100 mA.cm</w:t>
            </w:r>
            <w:r w:rsidRPr="000B06A4">
              <w:rPr>
                <w:rFonts w:ascii="Times" w:hAnsi="Times"/>
                <w:sz w:val="20"/>
                <w:szCs w:val="20"/>
                <w:vertAlign w:val="superscript"/>
              </w:rPr>
              <w:t>-2</w:t>
            </w:r>
          </w:p>
        </w:tc>
        <w:tc>
          <w:tcPr>
            <w:tcW w:w="814" w:type="dxa"/>
            <w:gridSpan w:val="3"/>
            <w:vAlign w:val="center"/>
          </w:tcPr>
          <w:p w14:paraId="5588BD6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12</w:t>
            </w:r>
          </w:p>
        </w:tc>
        <w:tc>
          <w:tcPr>
            <w:tcW w:w="2766" w:type="dxa"/>
            <w:gridSpan w:val="4"/>
            <w:vAlign w:val="center"/>
          </w:tcPr>
          <w:p w14:paraId="79D71DA3" w14:textId="5E4E3F8E" w:rsidR="00F35D51" w:rsidRPr="000B06A4" w:rsidRDefault="00F35D51" w:rsidP="00B05959">
            <w:pPr>
              <w:spacing w:line="276" w:lineRule="auto"/>
              <w:rPr>
                <w:rFonts w:ascii="Times" w:hAnsi="Times"/>
                <w:sz w:val="20"/>
                <w:szCs w:val="20"/>
              </w:rPr>
            </w:pPr>
            <w:proofErr w:type="spellStart"/>
            <w:r w:rsidRPr="000B06A4">
              <w:rPr>
                <w:rFonts w:ascii="Times" w:hAnsi="Times"/>
                <w:sz w:val="20"/>
                <w:szCs w:val="20"/>
              </w:rPr>
              <w:t>Angew</w:t>
            </w:r>
            <w:proofErr w:type="spellEnd"/>
            <w:r w:rsidRPr="000B06A4">
              <w:rPr>
                <w:rFonts w:ascii="Times" w:hAnsi="Times"/>
                <w:sz w:val="20"/>
                <w:szCs w:val="20"/>
              </w:rPr>
              <w:t xml:space="preserve">. Chem., 2015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{"citationItems":[{"id":"ITEM-1","itemData":{"DOI":"10.1002/anie.201503407","ISSN":"15213773","abstract":"© 2015 WILEY-VCH Verlag GmbH  &amp;  Co. KGaA, Weinheim. Active and stable electrocatalysts made from earth-abundant elements are key to water splitting for hydrogen production through electrolysis. The growth of NiSe nanowire film on nickel foam (NiSe/NF) in situ by hydrothermal treatment of NF using NaHSe as Se source is presented. When used as a 3D oxygen evolution electrode, the NiSe/NF exhibits high activity with an overpotential of 270 mV required to achieve 20 mAcm&lt;sup&gt;-2&lt;/sup&gt; and strong durability in 1.0M KOH, and the NiOOH species formed at the NiSe surface serves as the actual catalytic site. The system is also highly efficient for catalyzing the hydrogen evolution reaction in basic media. This bifunctional electrode enables a high-performance alkaline water electrolyzer with 10 mAcm&lt;sup&gt;-2&lt;/sup&gt; at a cell voltage of 1.63 V. NiSe nanowire films grown hydrothermally in situ on nickel foam (NiSe/NF) were used as a 3D bifunctional electrode for both the oxygen evolution reaction and hydrogen evolution reaction in a strongly alkaline electrolyte. The films exhibit high catalytic activity and superior stability, and a cell voltage of only 1.63 V is required for the alkaline water electrolyzer to deliver 10 mAcm&lt;sup&gt;-2&lt;/sup&gt; water-splitting current.","author":[{"dropping-particle":"","family":"Tang","given":"Chun","non-dropping-particle":"","parse-names":false,"suffix":""},{"dropping-particle":"","family":"Cheng","given":"Ningyan","non-dropping-particle":"","parse-names":false,"suffix":""},{"dropping-particle":"","family":"Pu","given":"Zonghua","non-dropping-particle":"","parse-names":false,"suffix":""},{"dropping-particle":"","family":"Xing","given":"Wei","non-dropping-particle":"","parse-names":false,"suffix":""},{"dropping-particle":"","family":"Sun","given":"Xuping","non-dropping-particle":"","parse-names":false,"suffix":""}],"container-title":"Angewandte Chemie - International Edition","id":"ITEM-1","issue":"32","issued":{"date-parts":[["2015"]]},"page":"9351-9355","title":"NiSe Nanowire Film Supported on Nickel Foam: An Efficient and Stable 3D Bifunctional Electrode for Full Water Splitting","type":"article-journal","volume":"54"},"uris":["http://www.mendeley.com/documents/?uuid=ac34e8c9-c68b-4bf2-87dc-763a41e04560"]}],"mendeley":{"formattedCitation":"&lt;sup&gt;30&lt;/sup&gt;","plainTextFormattedCitation":"30","previouslyFormattedCitation":"&lt;sup&gt;29&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30</w:t>
            </w:r>
            <w:r w:rsidRPr="000B06A4">
              <w:rPr>
                <w:rFonts w:ascii="Times" w:hAnsi="Times"/>
                <w:sz w:val="20"/>
                <w:szCs w:val="20"/>
              </w:rPr>
              <w:fldChar w:fldCharType="end"/>
            </w:r>
          </w:p>
        </w:tc>
      </w:tr>
      <w:tr w:rsidR="00F35D51" w:rsidRPr="000B06A4" w14:paraId="2364090E" w14:textId="77777777" w:rsidTr="00B05959">
        <w:trPr>
          <w:trHeight w:val="432"/>
        </w:trPr>
        <w:tc>
          <w:tcPr>
            <w:tcW w:w="554" w:type="dxa"/>
            <w:vAlign w:val="center"/>
          </w:tcPr>
          <w:p w14:paraId="22F2FB77"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14</w:t>
            </w:r>
          </w:p>
        </w:tc>
        <w:tc>
          <w:tcPr>
            <w:tcW w:w="2250" w:type="dxa"/>
            <w:vAlign w:val="center"/>
          </w:tcPr>
          <w:p w14:paraId="5EA5CC29" w14:textId="77777777" w:rsidR="00F35D51" w:rsidRPr="000B06A4" w:rsidRDefault="00F35D51" w:rsidP="00B05959">
            <w:pPr>
              <w:spacing w:line="276" w:lineRule="auto"/>
              <w:rPr>
                <w:rFonts w:ascii="Times" w:hAnsi="Times"/>
                <w:sz w:val="20"/>
                <w:szCs w:val="20"/>
              </w:rPr>
            </w:pPr>
            <w:proofErr w:type="spellStart"/>
            <w:r w:rsidRPr="000B06A4">
              <w:rPr>
                <w:rFonts w:ascii="Times" w:hAnsi="Times"/>
                <w:sz w:val="20"/>
                <w:szCs w:val="20"/>
              </w:rPr>
              <w:t>CoAl</w:t>
            </w:r>
            <w:proofErr w:type="spellEnd"/>
            <w:r w:rsidRPr="000B06A4">
              <w:rPr>
                <w:rFonts w:ascii="Times" w:hAnsi="Times"/>
                <w:sz w:val="20"/>
                <w:szCs w:val="20"/>
              </w:rPr>
              <w:t>-NS</w:t>
            </w:r>
          </w:p>
        </w:tc>
        <w:tc>
          <w:tcPr>
            <w:tcW w:w="1133" w:type="dxa"/>
            <w:vAlign w:val="center"/>
          </w:tcPr>
          <w:p w14:paraId="1996291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30B45724"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Graphene</w:t>
            </w:r>
          </w:p>
        </w:tc>
        <w:tc>
          <w:tcPr>
            <w:tcW w:w="1170" w:type="dxa"/>
            <w:gridSpan w:val="3"/>
            <w:vAlign w:val="center"/>
          </w:tcPr>
          <w:p w14:paraId="117FC17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0.05</w:t>
            </w:r>
          </w:p>
        </w:tc>
        <w:tc>
          <w:tcPr>
            <w:tcW w:w="667" w:type="dxa"/>
            <w:gridSpan w:val="3"/>
            <w:vAlign w:val="center"/>
          </w:tcPr>
          <w:p w14:paraId="6D2EC833"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252</w:t>
            </w:r>
          </w:p>
        </w:tc>
        <w:tc>
          <w:tcPr>
            <w:tcW w:w="1080" w:type="dxa"/>
            <w:gridSpan w:val="3"/>
            <w:vAlign w:val="center"/>
          </w:tcPr>
          <w:p w14:paraId="36C34D0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36</w:t>
            </w:r>
          </w:p>
        </w:tc>
        <w:tc>
          <w:tcPr>
            <w:tcW w:w="270" w:type="dxa"/>
            <w:gridSpan w:val="3"/>
          </w:tcPr>
          <w:p w14:paraId="7D6EF329"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24736222"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CP @70mA.cm</w:t>
            </w:r>
            <w:r w:rsidRPr="000B06A4">
              <w:rPr>
                <w:rFonts w:ascii="Times" w:hAnsi="Times"/>
                <w:sz w:val="20"/>
                <w:szCs w:val="20"/>
                <w:vertAlign w:val="superscript"/>
              </w:rPr>
              <w:t>-2</w:t>
            </w:r>
          </w:p>
        </w:tc>
        <w:tc>
          <w:tcPr>
            <w:tcW w:w="814" w:type="dxa"/>
            <w:gridSpan w:val="3"/>
            <w:vAlign w:val="center"/>
          </w:tcPr>
          <w:p w14:paraId="79887E1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30</w:t>
            </w:r>
          </w:p>
        </w:tc>
        <w:tc>
          <w:tcPr>
            <w:tcW w:w="2766" w:type="dxa"/>
            <w:gridSpan w:val="4"/>
            <w:vAlign w:val="center"/>
          </w:tcPr>
          <w:p w14:paraId="045A9DCA" w14:textId="387E8BD2"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Adv. Mat., 2016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{"citationItems":[{"id":"ITEM-1","itemData":{"DOI":"10.1002/adma.201601019","ISSN":"15214095","abstract":"A novel 3D porous OER (oxygen evolution reaction) electrocatalyst was prepared by the electrostatic self-assembly of single-layer CoAl-LDH nanosheets (CoAl-NSs) onto 3D graphene network (3DGN), referred to as 3DGN/CoAl-NS. In a typical experiment, the bulk CoAl-LDH (CO32-) crystal was prepared by a hydrothermal process. The morphology of the exfoliated CoAl-NSs was examined by transmission electron microscopy (TEM) and atomic force microscopy (AFM). TEM image of the exfoliated nanosheet gives low contrast, indicating its ultrathin nature. The tapping-mode AFM image reveals that the thickness of the obtained CoAl-NSs is about 0.8 nm, which is consistent with that of single-layer LDH nanosheets. After the successful exfoliation, the obtained single-layer CoAl-NSs were self-assembled onto the acid-treated 3DGN. The results reveal the high catalytic activity and excellent stability of the 3DGN/CoAl-NS when it is used as electrocatalyst for OER. Based on the experiment, the obtained 3DGN/CoAl-NS exhibits excellent catalytic activity and stability for OER in alkaline solution, which is comparable or even better than the state-of-art LDHrelated OER electrocatalysts, making it a promising candidate for next-generation OER electrocatalyst.","author":[{"dropping-particle":"","family":"Ping","given":"Jianfeng","non-dropping-particle":"","parse-names":false,"suffix":""},{"dropping-particle":"","family":"Wang","given":"Yixian","non-dropping-particle":"","parse-names":false,"suffix":""},{"dropping-particle":"","family":"Lu","given":"Qipeng","non-dropping-particle":"","parse-names":false,"suffix":""},{"dropping-particle":"","family":"Chen","given":"Bo","non-dropping-particle":"","parse-names":false,"suffix":""},{"dropping-particle":"","family":"Chen","given":"Junze","non-dropping-particle":"","parse-names":false,"suffix":""},{"dropping-particle":"","family":"Huang","given":"Ying","non-dropping-particle":"","parse-names":false,"suffix":""},{"dropping-particle":"","family":"Ma","given":"Qinglang","non-dropping-particle":"","parse-names":false,"suffix":""},{"dropping-particle":"","family":"Tan","given":"Chaoliang","non-dropping-particle":"","parse-names":false,"suffix":""},{"dropping-particle":"","family":"Yang","given":"Jian","non-dropping-particle":"","parse-names":false,"suffix":""},{"dropping-particle":"","family":"Cao","given":"Xiehong","non-dropping-particle":"","parse-names":false,"suffix":""},{"dropping-particle":"","family":"Wang","given":"Zhijuan","non-dropping-particle":"","parse-names":false,"suffix":""},{"dropping-particle":"","family":"Wu","given":"Jian","non-dropping-particle":"","parse-names":false,"suffix":""},{"dropping-particle":"","family":"Ying","given":"Yibin","non-dropping-particle":"","parse-names":false,"suffix":""},{"dropping-particle":"","family":"Zhang","given":"Hua","non-dropping-particle":"","parse-names":false,"suffix":""}],"container-title":"Advanced Materials","id":"ITEM-1","issue":"35","issued":{"date-parts":[["2016"]]},"page":"7640-7645","title":"Self-Assembly of Single-Layer CoAl-Layered Double Hydroxide Nanosheets on 3D Graphene Network Used as Highly Efficient Electrocatalyst for Oxygen Evolution Reaction","type":"article-journal","volume":"28"},"uris":["http://www.mendeley.com/documents/?uuid=29612930-581e-468c-b49c-cb8d0fa5fbb7"]}],"mendeley":{"formattedCitation":"&lt;sup&gt;31&lt;/sup&gt;","plainTextFormattedCitation":"31","previouslyFormattedCitation":"&lt;sup&gt;30&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31</w:t>
            </w:r>
            <w:r w:rsidRPr="000B06A4">
              <w:rPr>
                <w:rFonts w:ascii="Times" w:hAnsi="Times"/>
                <w:sz w:val="20"/>
                <w:szCs w:val="20"/>
              </w:rPr>
              <w:fldChar w:fldCharType="end"/>
            </w:r>
          </w:p>
        </w:tc>
      </w:tr>
      <w:tr w:rsidR="00F35D51" w:rsidRPr="000B06A4" w14:paraId="79190EBD" w14:textId="77777777" w:rsidTr="00B05959">
        <w:trPr>
          <w:trHeight w:val="432"/>
        </w:trPr>
        <w:tc>
          <w:tcPr>
            <w:tcW w:w="554" w:type="dxa"/>
            <w:vAlign w:val="center"/>
          </w:tcPr>
          <w:p w14:paraId="4FBC1A2E"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15</w:t>
            </w:r>
          </w:p>
        </w:tc>
        <w:tc>
          <w:tcPr>
            <w:tcW w:w="2250" w:type="dxa"/>
            <w:vAlign w:val="center"/>
          </w:tcPr>
          <w:p w14:paraId="7E45241C"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a-</w:t>
            </w:r>
            <w:proofErr w:type="spellStart"/>
            <w:r w:rsidRPr="000B06A4">
              <w:rPr>
                <w:rFonts w:ascii="Times" w:hAnsi="Times"/>
                <w:sz w:val="20"/>
                <w:szCs w:val="20"/>
              </w:rPr>
              <w:t>CoVO</w:t>
            </w:r>
            <w:r w:rsidRPr="000B06A4">
              <w:rPr>
                <w:rFonts w:ascii="Times" w:hAnsi="Times"/>
                <w:sz w:val="20"/>
                <w:szCs w:val="20"/>
                <w:vertAlign w:val="subscript"/>
              </w:rPr>
              <w:t>x</w:t>
            </w:r>
            <w:proofErr w:type="spellEnd"/>
            <w:r w:rsidRPr="000B06A4">
              <w:rPr>
                <w:rFonts w:ascii="Times" w:hAnsi="Times"/>
                <w:sz w:val="20"/>
                <w:szCs w:val="20"/>
              </w:rPr>
              <w:t>/NF</w:t>
            </w:r>
          </w:p>
        </w:tc>
        <w:tc>
          <w:tcPr>
            <w:tcW w:w="1133" w:type="dxa"/>
            <w:vAlign w:val="center"/>
          </w:tcPr>
          <w:p w14:paraId="3D87385D"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078A1ABC"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NF</w:t>
            </w:r>
          </w:p>
        </w:tc>
        <w:tc>
          <w:tcPr>
            <w:tcW w:w="1170" w:type="dxa"/>
            <w:gridSpan w:val="3"/>
            <w:vAlign w:val="center"/>
          </w:tcPr>
          <w:p w14:paraId="583054B2"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667" w:type="dxa"/>
            <w:gridSpan w:val="3"/>
            <w:vAlign w:val="center"/>
          </w:tcPr>
          <w:p w14:paraId="512E058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254</w:t>
            </w:r>
          </w:p>
        </w:tc>
        <w:tc>
          <w:tcPr>
            <w:tcW w:w="1080" w:type="dxa"/>
            <w:gridSpan w:val="3"/>
            <w:vAlign w:val="center"/>
          </w:tcPr>
          <w:p w14:paraId="6D981111"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35</w:t>
            </w:r>
          </w:p>
        </w:tc>
        <w:tc>
          <w:tcPr>
            <w:tcW w:w="270" w:type="dxa"/>
            <w:gridSpan w:val="3"/>
          </w:tcPr>
          <w:p w14:paraId="7DD3BC5F"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3EEE8AD0"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CP @10mA.cm</w:t>
            </w:r>
            <w:r w:rsidRPr="000B06A4">
              <w:rPr>
                <w:rFonts w:ascii="Times" w:hAnsi="Times"/>
                <w:sz w:val="20"/>
                <w:szCs w:val="20"/>
                <w:vertAlign w:val="superscript"/>
              </w:rPr>
              <w:t>-2</w:t>
            </w:r>
          </w:p>
        </w:tc>
        <w:tc>
          <w:tcPr>
            <w:tcW w:w="814" w:type="dxa"/>
            <w:gridSpan w:val="3"/>
            <w:vAlign w:val="center"/>
          </w:tcPr>
          <w:p w14:paraId="6050229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15</w:t>
            </w:r>
          </w:p>
        </w:tc>
        <w:tc>
          <w:tcPr>
            <w:tcW w:w="2766" w:type="dxa"/>
            <w:gridSpan w:val="4"/>
            <w:vAlign w:val="center"/>
          </w:tcPr>
          <w:p w14:paraId="7D4C745D" w14:textId="28213257"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ACS Catalysis, 2018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{"citationItems":[{"id":"ITEM-1","itemData":{"DOI":"10.1021/acscatal.7b03198","ISSN":"21555435","abstract":"The water-splitting reaction provides a promising mechanism to store renewable energies in the form of hydrogen fuel. The oxidation half-reaction, the oxygen evolution reaction (OER), is a complex four-electron process that constitutes an efficiency bottleneck in water splitting. Here we report a highly active OER catalyst, cobalt vanadium oxide. The catalyst is designed on the basis of a volcano plot of metal−OH bond strength and activity. The catalyst can be synthesized by a facile hydrothermal route. The most active pure-phase material (a-CoVO x) is X-ray amorphous and provides a 10 mA cm −2 current density at an overpotential of 347 mV in 1 M KOH electrolyte when immobilized on a flat substrate. The synthetic method can also be applied to coat a high-surface-area substrate such as nickel foam. On this three-dimensional substrate, the a-CoVO x catalyst is highly active, reaching 10 mA cm −2 at 254 mV overpotential, with a Tafel slope of only 35 mV dec −1 . This work demonstrates a-CoVO x as a promising electrocatalyst for oxygen evolution and validates M−OH bond strength as a practical descriptor in OER catalysis.","author":[{"dropping-particle":"","family":"Liardet","given":"Laurent","non-dropping-particle":"","parse-names":false,"suffix":""},{"dropping-particle":"","family":"Hu","given":"Xile","non-dropping-particle":"","parse-names":false,"suffix":""}],"container-title":"ACS Catalysis","id":"ITEM-1","issue":"1","issued":{"date-parts":[["2018"]]},"page":"644-650","title":"Amorphous Cobalt Vanadium Oxide as a Highly Active Electrocatalyst for Oxygen Evolution","type":"article-journal","volume":"8"},"uris":["http://www.mendeley.com/documents/?uuid=4221b64d-b358-421c-9961-6fa3eb9bebac"]}],"mendeley":{"formattedCitation":"&lt;sup&gt;32&lt;/sup&gt;","plainTextFormattedCitation":"32","previouslyFormattedCitation":"&lt;sup&gt;31&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32</w:t>
            </w:r>
            <w:r w:rsidRPr="000B06A4">
              <w:rPr>
                <w:rFonts w:ascii="Times" w:hAnsi="Times"/>
                <w:sz w:val="20"/>
                <w:szCs w:val="20"/>
              </w:rPr>
              <w:fldChar w:fldCharType="end"/>
            </w:r>
          </w:p>
        </w:tc>
      </w:tr>
      <w:tr w:rsidR="00F35D51" w:rsidRPr="000B06A4" w14:paraId="6AC1F5C8" w14:textId="77777777" w:rsidTr="00B05959">
        <w:trPr>
          <w:trHeight w:val="432"/>
        </w:trPr>
        <w:tc>
          <w:tcPr>
            <w:tcW w:w="554" w:type="dxa"/>
            <w:vAlign w:val="center"/>
          </w:tcPr>
          <w:p w14:paraId="51576BB6"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16</w:t>
            </w:r>
          </w:p>
        </w:tc>
        <w:tc>
          <w:tcPr>
            <w:tcW w:w="2250" w:type="dxa"/>
            <w:vAlign w:val="center"/>
          </w:tcPr>
          <w:p w14:paraId="21CBF31F"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(NiCo)</w:t>
            </w:r>
            <w:r w:rsidRPr="000B06A4">
              <w:rPr>
                <w:rFonts w:ascii="Times" w:hAnsi="Times"/>
                <w:sz w:val="20"/>
                <w:szCs w:val="20"/>
                <w:vertAlign w:val="subscript"/>
              </w:rPr>
              <w:t>0.85</w:t>
            </w:r>
            <w:r w:rsidRPr="000B06A4">
              <w:rPr>
                <w:rFonts w:ascii="Times" w:hAnsi="Times"/>
                <w:sz w:val="20"/>
                <w:szCs w:val="20"/>
              </w:rPr>
              <w:t>Se</w:t>
            </w:r>
          </w:p>
        </w:tc>
        <w:tc>
          <w:tcPr>
            <w:tcW w:w="1133" w:type="dxa"/>
            <w:vAlign w:val="center"/>
          </w:tcPr>
          <w:p w14:paraId="283AA31C"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6C904183"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CC</w:t>
            </w:r>
          </w:p>
        </w:tc>
        <w:tc>
          <w:tcPr>
            <w:tcW w:w="1170" w:type="dxa"/>
            <w:gridSpan w:val="3"/>
            <w:vAlign w:val="center"/>
          </w:tcPr>
          <w:p w14:paraId="752E1E5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5</w:t>
            </w:r>
          </w:p>
        </w:tc>
        <w:tc>
          <w:tcPr>
            <w:tcW w:w="667" w:type="dxa"/>
            <w:gridSpan w:val="3"/>
            <w:vAlign w:val="center"/>
          </w:tcPr>
          <w:p w14:paraId="054F1B92"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255</w:t>
            </w:r>
          </w:p>
        </w:tc>
        <w:tc>
          <w:tcPr>
            <w:tcW w:w="1080" w:type="dxa"/>
            <w:gridSpan w:val="3"/>
            <w:vAlign w:val="center"/>
          </w:tcPr>
          <w:p w14:paraId="46E15E6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79</w:t>
            </w:r>
          </w:p>
        </w:tc>
        <w:tc>
          <w:tcPr>
            <w:tcW w:w="270" w:type="dxa"/>
            <w:gridSpan w:val="3"/>
          </w:tcPr>
          <w:p w14:paraId="4EF0196B"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6C0C02F2" w14:textId="77777777" w:rsidR="00F35D51" w:rsidRPr="000B06A4" w:rsidRDefault="00F35D51" w:rsidP="00B05959">
            <w:pPr>
              <w:spacing w:line="276" w:lineRule="auto"/>
              <w:rPr>
                <w:rFonts w:ascii="Times" w:hAnsi="Times"/>
                <w:sz w:val="20"/>
                <w:szCs w:val="20"/>
                <w:vertAlign w:val="subscript"/>
              </w:rPr>
            </w:pPr>
            <w:r w:rsidRPr="000B06A4">
              <w:rPr>
                <w:rFonts w:ascii="Times" w:hAnsi="Times"/>
                <w:sz w:val="20"/>
                <w:szCs w:val="20"/>
              </w:rPr>
              <w:t>CP @10mA.cm</w:t>
            </w:r>
            <w:r w:rsidRPr="000B06A4">
              <w:rPr>
                <w:rFonts w:ascii="Times" w:hAnsi="Times"/>
                <w:sz w:val="20"/>
                <w:szCs w:val="20"/>
                <w:vertAlign w:val="superscript"/>
              </w:rPr>
              <w:t>-2</w:t>
            </w:r>
          </w:p>
          <w:p w14:paraId="23D9FF64"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η=+8%</w:t>
            </w:r>
          </w:p>
        </w:tc>
        <w:tc>
          <w:tcPr>
            <w:tcW w:w="814" w:type="dxa"/>
            <w:gridSpan w:val="3"/>
            <w:vAlign w:val="center"/>
          </w:tcPr>
          <w:p w14:paraId="7D27745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24</w:t>
            </w:r>
          </w:p>
        </w:tc>
        <w:tc>
          <w:tcPr>
            <w:tcW w:w="2766" w:type="dxa"/>
            <w:gridSpan w:val="4"/>
            <w:vAlign w:val="center"/>
          </w:tcPr>
          <w:p w14:paraId="6DA84091" w14:textId="4A4D9867"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Adv. Mat., 2015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{"citationItems":[{"id":"ITEM-1","itemData":{"DOI":"10.1002/adma.201503906","ISSN":"15214095","abstract":"Selenide-based electrocatalysts and scaffolds on carbon cloth are successfully fabricated and demonstrated for enhanced water oxidation applications. A max-imum current density of 97.5 mA cm(-2) at an overpotential of a mere 300 mV and a small Tafel slope of 77 mV dec(-1) are achieved, suggesting the potential of these materials to serve as advanced oxygen evolution reaction catalysts.","author":[{"dropping-particle":"","family":"Xia","given":"Chuan","non-dropping-particle":"","parse-names":false,"suffix":""},{"dropping-particle":"","family":"Jiang","given":"Qiu","non-dropping-particle":"","parse-names":false,"suffix":""},{"dropping-particle":"","family":"Zhao","given":"Chao","non-dropping-particle":"","parse-names":false,"suffix":""},{"dropping-particle":"","family":"Hedhili","given":"Mohamed N.","non-dropping-particle":"","parse-names":false,"suffix":""},{"dropping-particle":"","family":"Alshareef","given":"Husam N.","non-dropping-particle":"","parse-names":false,"suffix":""}],"container-title":"Advanced Materials","id":"ITEM-1","issue":"1","issued":{"date-parts":[["2016"]]},"page":"77-85","title":"Selenide-Based Electrocatalysts and Scaffolds for Water Oxidation Applications","type":"article-journal","volume":"28"},"uris":["http://www.mendeley.com/documents/?uuid=64485392-e193-4ba0-b79f-9b3ce4851c75"]}],"mendeley":{"formattedCitation":"&lt;sup&gt;24&lt;/sup&gt;","plainTextFormattedCitation":"24","previouslyFormattedCitation":"&lt;sup&gt;23&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24</w:t>
            </w:r>
            <w:r w:rsidRPr="000B06A4">
              <w:rPr>
                <w:rFonts w:ascii="Times" w:hAnsi="Times"/>
                <w:sz w:val="20"/>
                <w:szCs w:val="20"/>
              </w:rPr>
              <w:fldChar w:fldCharType="end"/>
            </w:r>
          </w:p>
        </w:tc>
      </w:tr>
      <w:tr w:rsidR="00F35D51" w:rsidRPr="000B06A4" w14:paraId="05E031C4" w14:textId="77777777" w:rsidTr="00B05959">
        <w:trPr>
          <w:trHeight w:val="432"/>
        </w:trPr>
        <w:tc>
          <w:tcPr>
            <w:tcW w:w="554" w:type="dxa"/>
            <w:vAlign w:val="center"/>
          </w:tcPr>
          <w:p w14:paraId="2DFEE448"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17</w:t>
            </w:r>
          </w:p>
        </w:tc>
        <w:tc>
          <w:tcPr>
            <w:tcW w:w="2250" w:type="dxa"/>
            <w:vAlign w:val="center"/>
          </w:tcPr>
          <w:p w14:paraId="268863D7"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Co</w:t>
            </w:r>
            <w:r w:rsidRPr="000B06A4">
              <w:rPr>
                <w:rFonts w:ascii="Times" w:hAnsi="Times"/>
                <w:sz w:val="20"/>
                <w:szCs w:val="20"/>
                <w:vertAlign w:val="subscript"/>
              </w:rPr>
              <w:t>4</w:t>
            </w:r>
            <w:r w:rsidRPr="000B06A4">
              <w:rPr>
                <w:rFonts w:ascii="Times" w:hAnsi="Times"/>
                <w:sz w:val="20"/>
                <w:szCs w:val="20"/>
              </w:rPr>
              <w:t>N nanowire</w:t>
            </w:r>
          </w:p>
        </w:tc>
        <w:tc>
          <w:tcPr>
            <w:tcW w:w="1133" w:type="dxa"/>
            <w:vAlign w:val="center"/>
          </w:tcPr>
          <w:p w14:paraId="596B0619"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79D5C27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CC</w:t>
            </w:r>
          </w:p>
        </w:tc>
        <w:tc>
          <w:tcPr>
            <w:tcW w:w="1170" w:type="dxa"/>
            <w:gridSpan w:val="3"/>
            <w:vAlign w:val="center"/>
          </w:tcPr>
          <w:p w14:paraId="1893850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0.82</w:t>
            </w:r>
          </w:p>
        </w:tc>
        <w:tc>
          <w:tcPr>
            <w:tcW w:w="667" w:type="dxa"/>
            <w:gridSpan w:val="3"/>
            <w:vAlign w:val="center"/>
          </w:tcPr>
          <w:p w14:paraId="6E6390B2"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257</w:t>
            </w:r>
          </w:p>
        </w:tc>
        <w:tc>
          <w:tcPr>
            <w:tcW w:w="1080" w:type="dxa"/>
            <w:gridSpan w:val="3"/>
            <w:vAlign w:val="center"/>
          </w:tcPr>
          <w:p w14:paraId="7CB2E21D"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44</w:t>
            </w:r>
          </w:p>
        </w:tc>
        <w:tc>
          <w:tcPr>
            <w:tcW w:w="270" w:type="dxa"/>
            <w:gridSpan w:val="3"/>
          </w:tcPr>
          <w:p w14:paraId="759970A3"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1A831208"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CA 75 mA.cm</w:t>
            </w:r>
            <w:r w:rsidRPr="000B06A4">
              <w:rPr>
                <w:rFonts w:ascii="Times" w:hAnsi="Times"/>
                <w:sz w:val="20"/>
                <w:szCs w:val="20"/>
                <w:vertAlign w:val="superscript"/>
              </w:rPr>
              <w:t>-2</w:t>
            </w:r>
          </w:p>
        </w:tc>
        <w:tc>
          <w:tcPr>
            <w:tcW w:w="814" w:type="dxa"/>
            <w:gridSpan w:val="3"/>
            <w:vAlign w:val="center"/>
          </w:tcPr>
          <w:p w14:paraId="31577747"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12</w:t>
            </w:r>
          </w:p>
        </w:tc>
        <w:tc>
          <w:tcPr>
            <w:tcW w:w="2766" w:type="dxa"/>
            <w:gridSpan w:val="4"/>
            <w:vAlign w:val="center"/>
          </w:tcPr>
          <w:p w14:paraId="0387A561" w14:textId="2DEA53FD" w:rsidR="00F35D51" w:rsidRPr="000B06A4" w:rsidRDefault="00F35D51" w:rsidP="00B05959">
            <w:pPr>
              <w:spacing w:line="276" w:lineRule="auto"/>
              <w:rPr>
                <w:rFonts w:ascii="Times" w:hAnsi="Times"/>
                <w:sz w:val="20"/>
                <w:szCs w:val="20"/>
              </w:rPr>
            </w:pPr>
            <w:proofErr w:type="spellStart"/>
            <w:r w:rsidRPr="000B06A4">
              <w:rPr>
                <w:rFonts w:ascii="Times" w:hAnsi="Times"/>
                <w:sz w:val="20"/>
                <w:szCs w:val="20"/>
              </w:rPr>
              <w:t>Angew</w:t>
            </w:r>
            <w:proofErr w:type="spellEnd"/>
            <w:r w:rsidRPr="000B06A4">
              <w:rPr>
                <w:rFonts w:ascii="Times" w:hAnsi="Times"/>
                <w:sz w:val="20"/>
                <w:szCs w:val="20"/>
              </w:rPr>
              <w:t xml:space="preserve">. Chem., 2015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{"citationItems":[{"id":"ITEM-1","itemData":{"DOI":"10.1002/anie.201506480","ISSN":"15213773","abstract":"Designing highly efficient electrocatalysts for oxygen evolution reaction (OER) plays a key role in the development of various renewable energy storage and conversion devices. In this work, we developed metallic Co4N porous nanowire arrays directly grown on flexible substrates as highly active OER electrocatalysts for the first time. Benefiting from the collaborative advantages of metallic character, 1D porous nanowire arrays, and unique 3D electrode configuration, surface oxidation activated Co4N porous nanowire arrays/carbon cloth achieved an extremely small overpotential of 257 mV at a current density of 10 mA cm(-2), and a low Tafel slope of 44 mV dec(-1) in an alkaline medium, which is the best OER performance among reported Co-based electrocatalysts to date. Moreover, in-depth mechanistic investigations demonstrate the active phases are the metallic Co4N core inside with a thin cobalt oxides/hydroxides shell during the OER process. Our finding introduces a new concept to explore the design of high-efficiency OER electrocatalysts.","author":[{"dropping-particle":"","family":"Chen","given":"Pengzuo","non-dropping-particle":"","parse-names":false,"suffix":""},{"dropping-particle":"","family":"Xu","given":"Kun","non-dropping-particle":"","parse-names":false,"suffix":""},{"dropping-particle":"","family":"Fang","given":"Zhiwei","non-dropping-particle":"","parse-names":false,"suffix":""},{"dropping-particle":"","family":"Tong","given":"Yun","non-dropping-particle":"","parse-names":false,"suffix":""},{"dropping-particle":"","family":"Wu","given":"Junchi","non-dropping-particle":"","parse-names":false,"suffix":""},{"dropping-particle":"","family":"Lu","given":"Xiuli","non-dropping-particle":"","parse-names":false,"suffix":""},{"dropping-particle":"","family":"Peng","given":"Xu","non-dropping-particle":"","parse-names":false,"suffix":""},{"dropping-particle":"","family":"Ding","given":"Hui","non-dropping-particle":"","parse-names":false,"suffix":""},{"dropping-particle":"","family":"Wu","given":"Changzheng","non-dropping-particle":"","parse-names":false,"suffix":""},{"dropping-particle":"","family":"Xie","given":"Yi","non-dropping-particle":"","parse-names":false,"suffix":""}],"container-title":"Angewandte Chemie - International Edition","id":"ITEM-1","issue":"49","issued":{"date-parts":[["2015"]]},"page":"14710-14714","title":"Metallic Co4N porous nanowire arrays activated by surface oxidation as electrocatalysts for the oxygen evolution reaction","type":"article-journal","volume":"54"},"uris":["http://www.mendeley.com/documents/?uuid=17e62075-f607-4547-9077-eabec4bf2574"]}],"mendeley":{"formattedCitation":"&lt;sup&gt;33&lt;/sup&gt;","plainTextFormattedCitation":"33","previouslyFormattedCitation":"&lt;sup&gt;32&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33</w:t>
            </w:r>
            <w:r w:rsidRPr="000B06A4">
              <w:rPr>
                <w:rFonts w:ascii="Times" w:hAnsi="Times"/>
                <w:sz w:val="20"/>
                <w:szCs w:val="20"/>
              </w:rPr>
              <w:fldChar w:fldCharType="end"/>
            </w:r>
          </w:p>
        </w:tc>
      </w:tr>
      <w:tr w:rsidR="00F35D51" w:rsidRPr="000B06A4" w14:paraId="578BC5E3" w14:textId="77777777" w:rsidTr="00B05959">
        <w:trPr>
          <w:trHeight w:val="432"/>
        </w:trPr>
        <w:tc>
          <w:tcPr>
            <w:tcW w:w="554" w:type="dxa"/>
            <w:vAlign w:val="center"/>
          </w:tcPr>
          <w:p w14:paraId="04E1D02C" w14:textId="77777777" w:rsidR="00F35D51" w:rsidRPr="000B06A4" w:rsidRDefault="00F35D51" w:rsidP="00B05959">
            <w:pPr>
              <w:jc w:val="center"/>
              <w:rPr>
                <w:rFonts w:ascii="Times" w:hAnsi="Times"/>
                <w:sz w:val="20"/>
                <w:szCs w:val="20"/>
              </w:rPr>
            </w:pPr>
            <w:r>
              <w:rPr>
                <w:rFonts w:ascii="Times" w:hAnsi="Times"/>
                <w:sz w:val="20"/>
                <w:szCs w:val="20"/>
              </w:rPr>
              <w:t>18</w:t>
            </w:r>
          </w:p>
        </w:tc>
        <w:tc>
          <w:tcPr>
            <w:tcW w:w="2250" w:type="dxa"/>
            <w:vAlign w:val="center"/>
          </w:tcPr>
          <w:p w14:paraId="65FBE2A7" w14:textId="77777777" w:rsidR="00F35D51" w:rsidRPr="000B06A4" w:rsidRDefault="00F35D51" w:rsidP="00B05959">
            <w:pPr>
              <w:rPr>
                <w:rFonts w:ascii="Times" w:hAnsi="Times"/>
                <w:sz w:val="20"/>
                <w:szCs w:val="20"/>
              </w:rPr>
            </w:pPr>
            <w:r w:rsidRPr="000B06A4">
              <w:rPr>
                <w:rFonts w:ascii="Times" w:hAnsi="Times"/>
                <w:sz w:val="20"/>
                <w:szCs w:val="20"/>
              </w:rPr>
              <w:t xml:space="preserve">NiFe-LDH/CNT </w:t>
            </w:r>
            <w:r w:rsidRPr="000B06A4">
              <w:rPr>
                <w:rFonts w:ascii="Times" w:hAnsi="Times"/>
                <w:sz w:val="20"/>
                <w:szCs w:val="20"/>
                <w:vertAlign w:val="superscript"/>
              </w:rPr>
              <w:t>(d)</w:t>
            </w:r>
          </w:p>
        </w:tc>
        <w:tc>
          <w:tcPr>
            <w:tcW w:w="1133" w:type="dxa"/>
            <w:vAlign w:val="center"/>
          </w:tcPr>
          <w:p w14:paraId="0B330321"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3F0BB007"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3E6CC85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w:t>
            </w:r>
          </w:p>
        </w:tc>
        <w:tc>
          <w:tcPr>
            <w:tcW w:w="667" w:type="dxa"/>
            <w:gridSpan w:val="3"/>
            <w:vAlign w:val="center"/>
          </w:tcPr>
          <w:p w14:paraId="6E4FB774"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264</w:t>
            </w:r>
          </w:p>
        </w:tc>
        <w:tc>
          <w:tcPr>
            <w:tcW w:w="1080" w:type="dxa"/>
            <w:gridSpan w:val="3"/>
            <w:vAlign w:val="center"/>
          </w:tcPr>
          <w:p w14:paraId="033DE04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31</w:t>
            </w:r>
          </w:p>
        </w:tc>
        <w:tc>
          <w:tcPr>
            <w:tcW w:w="270" w:type="dxa"/>
            <w:gridSpan w:val="3"/>
          </w:tcPr>
          <w:p w14:paraId="77D165BE"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37393073"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(GC) CP @10 mA.cm</w:t>
            </w:r>
            <w:r w:rsidRPr="000B06A4">
              <w:rPr>
                <w:rFonts w:ascii="Times" w:hAnsi="Times"/>
                <w:sz w:val="20"/>
                <w:szCs w:val="20"/>
                <w:vertAlign w:val="superscript"/>
              </w:rPr>
              <w:t>-2</w:t>
            </w:r>
            <w:r w:rsidRPr="000B06A4">
              <w:rPr>
                <w:rFonts w:ascii="Times" w:hAnsi="Times"/>
                <w:sz w:val="20"/>
                <w:szCs w:val="20"/>
                <w:vertAlign w:val="subscript"/>
              </w:rPr>
              <w:t xml:space="preserve"> </w:t>
            </w:r>
            <w:r w:rsidRPr="000B06A4">
              <w:rPr>
                <w:rFonts w:ascii="Times" w:hAnsi="Times"/>
                <w:sz w:val="20"/>
                <w:szCs w:val="20"/>
              </w:rPr>
              <w:br/>
              <w:t>(NF) CP @20 mA.cm</w:t>
            </w:r>
            <w:r w:rsidRPr="000B06A4">
              <w:rPr>
                <w:rFonts w:ascii="Times" w:hAnsi="Times"/>
                <w:sz w:val="20"/>
                <w:szCs w:val="20"/>
                <w:vertAlign w:val="superscript"/>
              </w:rPr>
              <w:t>-2</w:t>
            </w:r>
          </w:p>
        </w:tc>
        <w:tc>
          <w:tcPr>
            <w:tcW w:w="814" w:type="dxa"/>
            <w:gridSpan w:val="3"/>
            <w:vAlign w:val="center"/>
          </w:tcPr>
          <w:p w14:paraId="28047116"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w:t>
            </w:r>
            <w:r w:rsidRPr="000B06A4">
              <w:rPr>
                <w:rFonts w:ascii="Times" w:hAnsi="Times"/>
                <w:sz w:val="20"/>
                <w:szCs w:val="20"/>
              </w:rPr>
              <w:br/>
              <w:t>108</w:t>
            </w:r>
          </w:p>
        </w:tc>
        <w:tc>
          <w:tcPr>
            <w:tcW w:w="2766" w:type="dxa"/>
            <w:gridSpan w:val="4"/>
            <w:vAlign w:val="center"/>
          </w:tcPr>
          <w:p w14:paraId="4D733381" w14:textId="5DE4306E"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JACS, 2013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{"citationItems":[{"id":"ITEM-1","itemData":{"DOI":"10.1021/ja4027715","ISBN":"1520-5126 (Electronic)\\r0002-7863 (Linking)","ISSN":"00027863","PMID":"23701670","abstract":"Highly active, durable, and cost-effective electrocatalysts for water oxidation to evolve oxygen gas hold a key to a range of renewable energy solutions, including water-splitting and rechargeable metal–air batteries. Here, we report the synthesis of ultrathin nickel–iron layered double hydroxide (NiFe-LDH) nanoplates on mildly oxidized multiwalled carbon nanotubes (CNTs). Incorporation of Fe into the nickel hydroxide induced the formation of NiFe-LDH. The crystalline NiFe-LDH phase in nanoplate form is found to be highly active for oxygen evolution reaction in alkaline solutions. For NiFe-LDH grown on a network of CNTs, the resulting NiFe-LDH/CNT complex exhibits higher electrocatalytic activity and stability for oxygen evolution than commercial precious metal Ir catalysts.","author":[{"dropping-particle":"","family":"Gong","given":"Ming","non-dropping-particle":"","parse-names":false,"suffix":""},{"dropping-particle":"","family":"Li","given":"Yanguang","non-dropping-particle":"","parse-names":false,"suffix":""},{"dropping-particle":"","family":"Wang","given":"Hailiang","non-dropping-particle":"","parse-names":false,"suffix":""},{"dropping-particle":"","family":"Liang","given":"Yongye","non-dropping-particle":"","parse-names":false,"suffix":""},{"dropping-particle":"","family":"Wu","given":"Justin Z.","non-dropping-particle":"","parse-names":false,"suffix":""},{"dropping-particle":"","family":"Zhou","given":"Jigang","non-dropping-particle":"","parse-names":false,"suffix":""},{"dropping-particle":"","family":"Wang","given":"Jian","non-dropping-particle":"","parse-names":false,"suffix":""},{"dropping-particle":"","family":"Regier","given":"Tom","non-dropping-particle":"","parse-names":false,"suffix":""},{"dropping-particle":"","family":"Wei","given":"Fei","non-dropping-particle":"","parse-names":false,"suffix":""},{"dropping-particle":"","family":"Dai","given":"Hongjie","non-dropping-particle":"","parse-names":false,"suffix":""}],"container-title":"Journal of the American Chemical Society","id":"ITEM-1","issue":"23","issued":{"date-parts":[["2013","6"]]},"page":"8452-8455","publisher":"American Chemical Society","title":"An advanced Ni-Fe layered double hydroxide electrocatalyst for water oxidation","type":"article-journal","volume":"135"},"uris":["http://www.mendeley.com/documents/?uuid=c3b2b9d2-7ad7-4296-8187-6aea677bd5e7"]}],"mendeley":{"formattedCitation":"&lt;sup&gt;34&lt;/sup&gt;","plainTextFormattedCitation":"34","previouslyFormattedCitation":"&lt;sup&gt;33&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34</w:t>
            </w:r>
            <w:r w:rsidRPr="000B06A4">
              <w:rPr>
                <w:rFonts w:ascii="Times" w:hAnsi="Times"/>
                <w:sz w:val="20"/>
                <w:szCs w:val="20"/>
              </w:rPr>
              <w:fldChar w:fldCharType="end"/>
            </w:r>
          </w:p>
        </w:tc>
      </w:tr>
      <w:tr w:rsidR="00F35D51" w:rsidRPr="000B06A4" w14:paraId="5EF9121D" w14:textId="77777777" w:rsidTr="00B05959">
        <w:trPr>
          <w:trHeight w:val="432"/>
        </w:trPr>
        <w:tc>
          <w:tcPr>
            <w:tcW w:w="554" w:type="dxa"/>
            <w:vAlign w:val="center"/>
          </w:tcPr>
          <w:p w14:paraId="28337021"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19</w:t>
            </w:r>
          </w:p>
        </w:tc>
        <w:tc>
          <w:tcPr>
            <w:tcW w:w="2250" w:type="dxa"/>
            <w:vAlign w:val="center"/>
          </w:tcPr>
          <w:p w14:paraId="58617396"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NiFe LDH/Fe Plate</w:t>
            </w:r>
            <w:r w:rsidRPr="000B06A4">
              <w:rPr>
                <w:rFonts w:ascii="Times" w:hAnsi="Times"/>
                <w:sz w:val="20"/>
                <w:szCs w:val="20"/>
              </w:rPr>
              <w:br/>
              <w:t>Corrosion Engineering</w:t>
            </w:r>
          </w:p>
        </w:tc>
        <w:tc>
          <w:tcPr>
            <w:tcW w:w="1133" w:type="dxa"/>
            <w:vAlign w:val="center"/>
          </w:tcPr>
          <w:p w14:paraId="2D9C13E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57B4CA5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Fe Plate</w:t>
            </w:r>
          </w:p>
        </w:tc>
        <w:tc>
          <w:tcPr>
            <w:tcW w:w="1170" w:type="dxa"/>
            <w:gridSpan w:val="3"/>
            <w:vAlign w:val="center"/>
          </w:tcPr>
          <w:p w14:paraId="4DC3D070"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667" w:type="dxa"/>
            <w:gridSpan w:val="3"/>
            <w:vAlign w:val="center"/>
          </w:tcPr>
          <w:p w14:paraId="6C20282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269</w:t>
            </w:r>
          </w:p>
        </w:tc>
        <w:tc>
          <w:tcPr>
            <w:tcW w:w="1080" w:type="dxa"/>
            <w:gridSpan w:val="3"/>
            <w:vAlign w:val="center"/>
          </w:tcPr>
          <w:p w14:paraId="28B28890"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48.3</w:t>
            </w:r>
          </w:p>
        </w:tc>
        <w:tc>
          <w:tcPr>
            <w:tcW w:w="270" w:type="dxa"/>
            <w:gridSpan w:val="3"/>
          </w:tcPr>
          <w:p w14:paraId="642DCEF5"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4C697441"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CP @1000 mA.cm</w:t>
            </w:r>
            <w:r w:rsidRPr="000B06A4">
              <w:rPr>
                <w:rFonts w:ascii="Times" w:hAnsi="Times"/>
                <w:sz w:val="20"/>
                <w:szCs w:val="20"/>
                <w:vertAlign w:val="superscript"/>
              </w:rPr>
              <w:t>-2</w:t>
            </w:r>
          </w:p>
        </w:tc>
        <w:tc>
          <w:tcPr>
            <w:tcW w:w="814" w:type="dxa"/>
            <w:gridSpan w:val="3"/>
            <w:vAlign w:val="center"/>
          </w:tcPr>
          <w:p w14:paraId="049DC6F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5000</w:t>
            </w:r>
          </w:p>
        </w:tc>
        <w:tc>
          <w:tcPr>
            <w:tcW w:w="2766" w:type="dxa"/>
            <w:gridSpan w:val="4"/>
            <w:vAlign w:val="center"/>
          </w:tcPr>
          <w:p w14:paraId="33E7CEE6" w14:textId="77979504"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Nat. Comm., 2018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{"citationItems":[{"id":"ITEM-1","itemData":{"DOI":"10.1038/s41467-018-05019-5","ISBN":"4146701805","ISSN":"20411723","abstract":"Although a number of nonprecious materials can exhibit catalytic activity approaching (sometimes even outperforming) that of iridium oxide catalysts for the oxygen evolution reaction, their catalytic lifetimes rarely exceed more than several hundred hours under operating conditions. Here we develop an energy-efficient, cost-effective, scaled-up corrosion engineering method for transforming inexpensive iron substrates (e.g., iron plate and iron foam) into highly active and ultrastable electrodes for oxygen evolution reaction. This synthetic method is achieved via a desired corrosion reaction of iron substrates with oxygen in aqueous solutions containing divalent cations (e.g., nickel) at ambient temperature. This process results in the growth on iron substrates of thin film nanosheet arrays that consist of iron-containing layered double hydroxides, instead of rust. This inexpensive and simple manufacturing technique affords iron-substrate-derived electrodes possessing excellent catalytic activities and activity retention for over 6000 hours at 1000 mA cm-2 current densities.","author":[{"dropping-particle":"","family":"Liu","given":"Yipu","non-dropping-particle":"","parse-names":false,"suffix":""},{"dropping-particle":"","family":"Liang","given":"Xiao","non-dropping-particle":"","parse-names":false,"suffix":""},{"dropping-particle":"","family":"Gu","given":"Lin","non-dropping-particle":"","parse-names":false,"suffix":""},{"dropping-particle":"","family":"Zhang","given":"Yu","non-dropping-particle":"","parse-names":false,"suffix":""},{"dropping-particle":"","family":"Li","given":"Guo Dong","non-dropping-particle":"","parse-names":false,"suffix":""},{"dropping-particle":"","family":"Zou","given":"Xiaoxin","non-dropping-particle":"","parse-names":false,"suffix":""},{"dropping-particle":"","family":"Chen","given":"Jie Sheng","non-dropping-particle":"","parse-names":false,"suffix":""}],"container-title":"Nature Communications","id":"ITEM-1","issue":"1","issued":{"date-parts":[["2018"]]},"page":"1-10","publisher":"Springer US","title":"Corrosion engineering towards efficient oxygen evolution electrodes with stable catalytic activity for over 6000 hours","type":"article-journal","volume":"9"},"uris":["http://www.mendeley.com/documents/?uuid=4b6d9aed-3bf5-4aab-8500-1dd70c1df209"]}],"mendeley":{"formattedCitation":"&lt;sup&gt;35&lt;/sup&gt;","plainTextFormattedCitation":"35","previouslyFormattedCitation":"&lt;sup&gt;34&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35</w:t>
            </w:r>
            <w:r w:rsidRPr="000B06A4">
              <w:rPr>
                <w:rFonts w:ascii="Times" w:hAnsi="Times"/>
                <w:sz w:val="20"/>
                <w:szCs w:val="20"/>
              </w:rPr>
              <w:fldChar w:fldCharType="end"/>
            </w:r>
          </w:p>
        </w:tc>
      </w:tr>
      <w:tr w:rsidR="00F35D51" w:rsidRPr="000B06A4" w14:paraId="2DCB84DA" w14:textId="77777777" w:rsidTr="00B05959">
        <w:trPr>
          <w:trHeight w:val="432"/>
        </w:trPr>
        <w:tc>
          <w:tcPr>
            <w:tcW w:w="554" w:type="dxa"/>
            <w:vAlign w:val="center"/>
          </w:tcPr>
          <w:p w14:paraId="1438C418"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20</w:t>
            </w:r>
          </w:p>
        </w:tc>
        <w:tc>
          <w:tcPr>
            <w:tcW w:w="2250" w:type="dxa"/>
            <w:vAlign w:val="center"/>
          </w:tcPr>
          <w:p w14:paraId="60C79339" w14:textId="77777777" w:rsidR="00F35D51" w:rsidRPr="000B06A4" w:rsidRDefault="00F35D51" w:rsidP="00B05959">
            <w:pPr>
              <w:spacing w:line="276" w:lineRule="auto"/>
              <w:rPr>
                <w:rFonts w:ascii="Times" w:hAnsi="Times"/>
                <w:sz w:val="20"/>
                <w:szCs w:val="20"/>
              </w:rPr>
            </w:pPr>
            <w:proofErr w:type="spellStart"/>
            <w:r w:rsidRPr="000B06A4">
              <w:rPr>
                <w:rFonts w:ascii="Times" w:hAnsi="Times"/>
                <w:sz w:val="20"/>
                <w:szCs w:val="20"/>
              </w:rPr>
              <w:t>CoO</w:t>
            </w:r>
            <w:proofErr w:type="spellEnd"/>
            <w:r w:rsidRPr="000B06A4">
              <w:rPr>
                <w:rFonts w:ascii="Times" w:hAnsi="Times"/>
                <w:sz w:val="20"/>
                <w:szCs w:val="20"/>
              </w:rPr>
              <w:t xml:space="preserve"> hexagrams</w:t>
            </w:r>
          </w:p>
        </w:tc>
        <w:tc>
          <w:tcPr>
            <w:tcW w:w="1133" w:type="dxa"/>
            <w:vAlign w:val="center"/>
          </w:tcPr>
          <w:p w14:paraId="6367EEFC"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25482E5D"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5D276014"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0.28</w:t>
            </w:r>
          </w:p>
        </w:tc>
        <w:tc>
          <w:tcPr>
            <w:tcW w:w="667" w:type="dxa"/>
            <w:gridSpan w:val="3"/>
            <w:vAlign w:val="center"/>
          </w:tcPr>
          <w:p w14:paraId="4A9DC53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269</w:t>
            </w:r>
          </w:p>
        </w:tc>
        <w:tc>
          <w:tcPr>
            <w:tcW w:w="1080" w:type="dxa"/>
            <w:gridSpan w:val="3"/>
            <w:vAlign w:val="center"/>
          </w:tcPr>
          <w:p w14:paraId="21A4BD8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64.4</w:t>
            </w:r>
          </w:p>
        </w:tc>
        <w:tc>
          <w:tcPr>
            <w:tcW w:w="270" w:type="dxa"/>
            <w:gridSpan w:val="3"/>
          </w:tcPr>
          <w:p w14:paraId="4807D45C"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6F6AB1F9"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(ITO) CP @10 mA.cm</w:t>
            </w:r>
            <w:r w:rsidRPr="000B06A4">
              <w:rPr>
                <w:rFonts w:ascii="Times" w:hAnsi="Times"/>
                <w:sz w:val="20"/>
                <w:szCs w:val="20"/>
                <w:vertAlign w:val="superscript"/>
              </w:rPr>
              <w:t>-2</w:t>
            </w:r>
          </w:p>
        </w:tc>
        <w:tc>
          <w:tcPr>
            <w:tcW w:w="814" w:type="dxa"/>
            <w:gridSpan w:val="3"/>
            <w:vAlign w:val="center"/>
          </w:tcPr>
          <w:p w14:paraId="6B3A9484"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10</w:t>
            </w:r>
          </w:p>
        </w:tc>
        <w:tc>
          <w:tcPr>
            <w:tcW w:w="2766" w:type="dxa"/>
            <w:gridSpan w:val="4"/>
            <w:vAlign w:val="center"/>
          </w:tcPr>
          <w:p w14:paraId="41607DEB" w14:textId="1B92FAEE"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Chem. Sci., 2018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{"citationItems":[{"id":"ITEM-1","itemData":{"DOI":"10.1039/c8sc02294a","ISSN":"20416539","abstract":"Defects and structural long-range ordering have been recognized as two crucial characters for advanced electrocatalysts. Defects and structural long-range ordering have been recognized as two crucial characters for advanced electrocatalysts. However, these two features have rarely been achieved together. Herein, we report the preparation of single-crystalline CoO hexagrams and demonstrate their exceptional electrocatalytic properties for water oxidation. The quasi-single-crystalline CoO hexagrams, prepared at the critical phase transition point of β-Co(OH) 2 /Co(OH)F hexagrams, possess both abundant oxygen vacancies as defects and structural long-range ordering. The matching between the b -axis of Co(OH)F crystals and the a -axis of β-Co(OH) 2 crystals is critical for the formation of the CoO hexagram single crystals. The quasi-single-crystalline CoO hexagrams with abundant defects are highly efficient for water oxidation by delivering a 10 mA cm −2 current density at a low overpotential of 269 mV in a 1 M KOH aqueous solution. ","author":[{"dropping-particle":"","family":"Liang","given":"Zuozhong","non-dropping-particle":"","parse-names":false,"suffix":""},{"dropping-particle":"","family":"Huang","given":"Zhehao","non-dropping-particle":"","parse-names":false,"suffix":""},{"dropping-particle":"","family":"Yuan","given":"Haitao","non-dropping-particle":"","parse-names":false,"suffix":""},{"dropping-particle":"","family":"Yang","given":"Zhiyuan","non-dropping-particle":"","parse-names":false,"suffix":""},{"dropping-particle":"","family":"Zhang","given":"Chaochao","non-dropping-particle":"","parse-names":false,"suffix":""},{"dropping-particle":"","family":"Xu","given":"Yang","non-dropping-particle":"","parse-names":false,"suffix":""},{"dropping-particle":"","family":"Zhang","given":"Wei","non-dropping-particle":"","parse-names":false,"suffix":""},{"dropping-particle":"","family":"Zheng","given":"Haoquan","non-dropping-particle":"","parse-names":false,"suffix":""},{"dropping-particle":"","family":"Cao","given":"Rui","non-dropping-particle":"","parse-names":false,"suffix":""}],"container-title":"Chemical Science","id":"ITEM-1","issue":"34","issued":{"date-parts":[["2018"]]},"page":"6961-6968","publisher":"Royal Society of Chemistry","title":"Quasi-single-crystalline CoO hexagrams with abundant defects for highly efficient electrocatalytic water oxidation","type":"article-journal","volume":"9"},"uris":["http://www.mendeley.com/documents/?uuid=8379389d-11ec-405b-ba37-e48fbc39483d"]}],"mendeley":{"formattedCitation":"&lt;sup&gt;36&lt;/sup&gt;","plainTextFormattedCitation":"36","previouslyFormattedCitation":"&lt;sup&gt;35&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36</w:t>
            </w:r>
            <w:r w:rsidRPr="000B06A4">
              <w:rPr>
                <w:rFonts w:ascii="Times" w:hAnsi="Times"/>
                <w:sz w:val="20"/>
                <w:szCs w:val="20"/>
              </w:rPr>
              <w:fldChar w:fldCharType="end"/>
            </w:r>
          </w:p>
        </w:tc>
      </w:tr>
      <w:tr w:rsidR="00F35D51" w:rsidRPr="000B06A4" w14:paraId="7D5859F3" w14:textId="77777777" w:rsidTr="00B05959">
        <w:trPr>
          <w:trHeight w:val="432"/>
        </w:trPr>
        <w:tc>
          <w:tcPr>
            <w:tcW w:w="554" w:type="dxa"/>
            <w:vAlign w:val="center"/>
          </w:tcPr>
          <w:p w14:paraId="73B468EC"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21</w:t>
            </w:r>
          </w:p>
        </w:tc>
        <w:tc>
          <w:tcPr>
            <w:tcW w:w="2250" w:type="dxa"/>
            <w:vAlign w:val="center"/>
          </w:tcPr>
          <w:p w14:paraId="6B2A1BBE" w14:textId="77777777" w:rsidR="00F35D51" w:rsidRPr="000B06A4" w:rsidRDefault="00F35D51" w:rsidP="00B05959">
            <w:pPr>
              <w:spacing w:line="276" w:lineRule="auto"/>
              <w:rPr>
                <w:rFonts w:ascii="Times" w:hAnsi="Times"/>
                <w:sz w:val="20"/>
                <w:szCs w:val="20"/>
                <w:vertAlign w:val="subscript"/>
              </w:rPr>
            </w:pPr>
            <w:r w:rsidRPr="000B06A4">
              <w:rPr>
                <w:rFonts w:ascii="Times" w:hAnsi="Times"/>
                <w:sz w:val="20"/>
                <w:szCs w:val="20"/>
              </w:rPr>
              <w:t>CoO-MoO</w:t>
            </w:r>
            <w:r w:rsidRPr="000B06A4">
              <w:rPr>
                <w:rFonts w:ascii="Times" w:hAnsi="Times"/>
                <w:sz w:val="20"/>
                <w:szCs w:val="20"/>
                <w:vertAlign w:val="subscript"/>
              </w:rPr>
              <w:t>2</w:t>
            </w:r>
          </w:p>
        </w:tc>
        <w:tc>
          <w:tcPr>
            <w:tcW w:w="1133" w:type="dxa"/>
            <w:vAlign w:val="center"/>
          </w:tcPr>
          <w:p w14:paraId="49774B86"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00992522"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NF</w:t>
            </w:r>
          </w:p>
        </w:tc>
        <w:tc>
          <w:tcPr>
            <w:tcW w:w="1170" w:type="dxa"/>
            <w:gridSpan w:val="3"/>
            <w:vAlign w:val="center"/>
          </w:tcPr>
          <w:p w14:paraId="0E32277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667" w:type="dxa"/>
            <w:gridSpan w:val="3"/>
            <w:vAlign w:val="center"/>
          </w:tcPr>
          <w:p w14:paraId="3521278C"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270</w:t>
            </w:r>
          </w:p>
        </w:tc>
        <w:tc>
          <w:tcPr>
            <w:tcW w:w="1080" w:type="dxa"/>
            <w:gridSpan w:val="3"/>
            <w:vAlign w:val="center"/>
          </w:tcPr>
          <w:p w14:paraId="53F6FBFD"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36.7</w:t>
            </w:r>
          </w:p>
        </w:tc>
        <w:tc>
          <w:tcPr>
            <w:tcW w:w="270" w:type="dxa"/>
            <w:gridSpan w:val="3"/>
          </w:tcPr>
          <w:p w14:paraId="452DFE1A"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1079FDDF"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CP @20 mA.cm</w:t>
            </w:r>
            <w:r w:rsidRPr="000B06A4">
              <w:rPr>
                <w:rFonts w:ascii="Times" w:hAnsi="Times"/>
                <w:sz w:val="20"/>
                <w:szCs w:val="20"/>
                <w:vertAlign w:val="superscript"/>
              </w:rPr>
              <w:t>-2</w:t>
            </w:r>
          </w:p>
        </w:tc>
        <w:tc>
          <w:tcPr>
            <w:tcW w:w="814" w:type="dxa"/>
            <w:gridSpan w:val="3"/>
            <w:vAlign w:val="center"/>
          </w:tcPr>
          <w:p w14:paraId="330CFFF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10</w:t>
            </w:r>
          </w:p>
        </w:tc>
        <w:tc>
          <w:tcPr>
            <w:tcW w:w="2766" w:type="dxa"/>
            <w:gridSpan w:val="4"/>
            <w:vAlign w:val="center"/>
          </w:tcPr>
          <w:p w14:paraId="14C5A504" w14:textId="19F4F32E"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Nanoscale, 2015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{"citationItems":[{"id":"ITEM-1","itemData":{"DOI":"10.1039/c5nr04666a","ISSN":"20403372","abstract":"Cost-effective electrocatalysts for oxygen evolution reaction are attractive for energy conversion processes. Cost-effective electrocatalysts for oxygen evolution reactions are attractive for energy conversion and storage processes. A high-performance oxygen evolution reaction (OER) electrocatalyst composed of 3D ordered microporous carbon and a MoO 2 skeleton modified by cobalt oxide nanoparticles (MoO 2 –CoO–Carbon) is produced through a template method. This unique 3DOM structure finely combines the larger surface area of the 3D carbon skeleton and MoO 2 as well as stablizes anchoring sites for CoO nanocrystals on the skeleton. The synergistic effect between the catalytic activity between MoO 2 and CoO as well as the enhanced electron transport arising from the carbon skeleton contributed to superior electrocatalytic OER properties of MoO 2 –CoO–Carbon. The M200–C–Carbon hybrid with an overpotential as low as 0.24 V is among the best reported Mo-based OER catalysts. Moreover, the turnover frequency at an overpotential of 0.35 V is 6 times as high as that of commercial RuO 2 . ","author":[{"dropping-particle":"","family":"Li","given":"B. B.","non-dropping-particle":"","parse-names":false,"suffix":""},{"dropping-particle":"","family":"Liang","given":"Y. Q.","non-dropping-particle":"","parse-names":false,"suffix":""},{"dropping-particle":"","family":"Yang","given":"X. J.","non-dropping-particle":"","parse-names":false,"suffix":""},{"dropping-particle":"","family":"Cui","given":"Z. D.","non-dropping-particle":"","parse-names":false,"suffix":""},{"dropping-particle":"","family":"Qiao","given":"S. Z.","non-dropping-particle":"","parse-names":false,"suffix":""},{"dropping-particle":"","family":"Zhu","given":"S. L.","non-dropping-particle":"","parse-names":false,"suffix":""},{"dropping-particle":"","family":"Li","given":"Z. Y.","non-dropping-particle":"","parse-names":false,"suffix":""},{"dropping-particle":"","family":"Yin","given":"K.","non-dropping-particle":"","parse-names":false,"suffix":""}],"container-title":"Nanoscale","id":"ITEM-1","issue":"40","issued":{"date-parts":[["2015"]]},"page":"16704-16714","publisher":"Royal Society of Chemistry","title":"MoO2-CoO coupled with a macroporous carbon hybrid electrocatalyst for highly efficient oxygen evolution","type":"article-journal","volume":"7"},"uris":["http://www.mendeley.com/documents/?uuid=11c28c51-ead1-4c79-8a20-df02c72b9ac4"]}],"mendeley":{"formattedCitation":"&lt;sup&gt;37&lt;/sup&gt;","plainTextFormattedCitation":"37","previouslyFormattedCitation":"&lt;sup&gt;36&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37</w:t>
            </w:r>
            <w:r w:rsidRPr="000B06A4">
              <w:rPr>
                <w:rFonts w:ascii="Times" w:hAnsi="Times"/>
                <w:sz w:val="20"/>
                <w:szCs w:val="20"/>
              </w:rPr>
              <w:fldChar w:fldCharType="end"/>
            </w:r>
          </w:p>
        </w:tc>
      </w:tr>
      <w:tr w:rsidR="00F35D51" w:rsidRPr="000B06A4" w14:paraId="32127C37" w14:textId="77777777" w:rsidTr="00B05959">
        <w:trPr>
          <w:trHeight w:val="432"/>
        </w:trPr>
        <w:tc>
          <w:tcPr>
            <w:tcW w:w="554" w:type="dxa"/>
            <w:vAlign w:val="center"/>
          </w:tcPr>
          <w:p w14:paraId="417FB4C4"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22</w:t>
            </w:r>
          </w:p>
        </w:tc>
        <w:tc>
          <w:tcPr>
            <w:tcW w:w="2250" w:type="dxa"/>
            <w:vAlign w:val="center"/>
          </w:tcPr>
          <w:p w14:paraId="5B4695D9"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Fe</w:t>
            </w:r>
            <w:r w:rsidRPr="000B06A4">
              <w:rPr>
                <w:rFonts w:ascii="Times" w:hAnsi="Times"/>
                <w:sz w:val="20"/>
                <w:szCs w:val="20"/>
                <w:vertAlign w:val="subscript"/>
              </w:rPr>
              <w:t>7</w:t>
            </w:r>
            <w:r w:rsidRPr="000B06A4">
              <w:rPr>
                <w:rFonts w:ascii="Times" w:hAnsi="Times"/>
                <w:sz w:val="20"/>
                <w:szCs w:val="20"/>
              </w:rPr>
              <w:t>S</w:t>
            </w:r>
            <w:r w:rsidRPr="000B06A4">
              <w:rPr>
                <w:rFonts w:ascii="Times" w:hAnsi="Times"/>
                <w:sz w:val="20"/>
                <w:szCs w:val="20"/>
                <w:vertAlign w:val="subscript"/>
              </w:rPr>
              <w:t>8</w:t>
            </w:r>
            <w:r w:rsidRPr="000B06A4">
              <w:rPr>
                <w:rFonts w:ascii="Times" w:hAnsi="Times"/>
                <w:sz w:val="20"/>
                <w:szCs w:val="20"/>
              </w:rPr>
              <w:t xml:space="preserve"> nanosheets</w:t>
            </w:r>
          </w:p>
        </w:tc>
        <w:tc>
          <w:tcPr>
            <w:tcW w:w="1133" w:type="dxa"/>
            <w:vAlign w:val="center"/>
          </w:tcPr>
          <w:p w14:paraId="3DEF8D1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2A044402"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00B1D15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0.143</w:t>
            </w:r>
          </w:p>
        </w:tc>
        <w:tc>
          <w:tcPr>
            <w:tcW w:w="667" w:type="dxa"/>
            <w:gridSpan w:val="3"/>
            <w:vAlign w:val="center"/>
          </w:tcPr>
          <w:p w14:paraId="40B92E41"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270</w:t>
            </w:r>
          </w:p>
        </w:tc>
        <w:tc>
          <w:tcPr>
            <w:tcW w:w="1080" w:type="dxa"/>
            <w:gridSpan w:val="3"/>
            <w:vAlign w:val="center"/>
          </w:tcPr>
          <w:p w14:paraId="1B30552C"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43</w:t>
            </w:r>
          </w:p>
        </w:tc>
        <w:tc>
          <w:tcPr>
            <w:tcW w:w="270" w:type="dxa"/>
            <w:gridSpan w:val="3"/>
          </w:tcPr>
          <w:p w14:paraId="28404AF5"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458867E7"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CP @10 mA.cm</w:t>
            </w:r>
            <w:r w:rsidRPr="000B06A4">
              <w:rPr>
                <w:rFonts w:ascii="Times" w:hAnsi="Times"/>
                <w:sz w:val="20"/>
                <w:szCs w:val="20"/>
                <w:vertAlign w:val="superscript"/>
              </w:rPr>
              <w:t>-2</w:t>
            </w:r>
          </w:p>
        </w:tc>
        <w:tc>
          <w:tcPr>
            <w:tcW w:w="814" w:type="dxa"/>
            <w:gridSpan w:val="3"/>
            <w:vAlign w:val="center"/>
          </w:tcPr>
          <w:p w14:paraId="1D06ED06"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25</w:t>
            </w:r>
          </w:p>
        </w:tc>
        <w:tc>
          <w:tcPr>
            <w:tcW w:w="2766" w:type="dxa"/>
            <w:gridSpan w:val="4"/>
            <w:vAlign w:val="center"/>
          </w:tcPr>
          <w:p w14:paraId="2DBFCC6F" w14:textId="0214CD38"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ACS Cent. Sci., 2017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{"citationItems":[{"id":"ITEM-1","itemData":{"DOI":"10.1021/acscentsci.7b00424","ISSN":"23747951","abstract":"This paper deals with gait assisting rehabilitation robot which helps SCI patient walk again. We propose new concept of orthotic for robot considering motions of Hip and Knee Joints, and how to fit the robot to a user in terms of weight balance and comfortable standing. Then we describe our first engineering sample being designed based on the passive orthotic and show how to make the robot work for SCI patient in basic operation. © ICROS 2010.","author":[{"dropping-particle":"","family":"Chen","given":"Shichuan","non-dropping-particle":"","parse-names":false,"suffix":""},{"dropping-particle":"","family":"Kang","given":"Zhixiong","non-dropping-particle":"","parse-names":false,"suffix":""},{"dropping-particle":"","family":"Zhang","given":"Xiaodong","non-dropping-particle":"","parse-names":false,"suffix":""},{"dropping-particle":"","family":"Xie","given":"Junfeng","non-dropping-particle":"","parse-names":false,"suffix":""},{"dropping-particle":"","family":"Wang","given":"Hui","non-dropping-particle":"","parse-names":false,"suffix":""},{"dropping-particle":"","family":"Shao","given":"Wei","non-dropping-particle":"","parse-names":false,"suffix":""},{"dropping-particle":"","family":"Zheng","given":"Xusheng","non-dropping-particle":"","parse-names":false,"suffix":""},{"dropping-particle":"","family":"Yan","given":"Wensheng","non-dropping-particle":"","parse-names":false,"suffix":""},{"dropping-particle":"","family":"Pan","given":"Bicai","non-dropping-particle":"","parse-names":false,"suffix":""},{"dropping-particle":"","family":"Xie","given":"Yi","non-dropping-particle":"","parse-names":false,"suffix":""}],"container-title":"ACS Central Science","id":"ITEM-1","issue":"11","issued":{"date-parts":[["2017"]]},"page":"1221-1227","title":"Highly Active Fe Sites in Ultrathin Pyrrhotite Fe 7 S 8 Nanosheets Realizing Efficient Electrocatalytic Oxygen Evolution","type":"article-journal","volume":"3"},"uris":["http://www.mendeley.com/documents/?uuid=6896f17e-f832-479f-b370-6511ab8dfe58"]}],"mendeley":{"formattedCitation":"&lt;sup&gt;38&lt;/sup&gt;","plainTextFormattedCitation":"38","previouslyFormattedCitation":"&lt;sup&gt;37&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38</w:t>
            </w:r>
            <w:r w:rsidRPr="000B06A4">
              <w:rPr>
                <w:rFonts w:ascii="Times" w:hAnsi="Times"/>
                <w:sz w:val="20"/>
                <w:szCs w:val="20"/>
              </w:rPr>
              <w:fldChar w:fldCharType="end"/>
            </w:r>
          </w:p>
        </w:tc>
      </w:tr>
      <w:tr w:rsidR="00F35D51" w:rsidRPr="000B06A4" w14:paraId="0CC2F915" w14:textId="77777777" w:rsidTr="00B05959">
        <w:trPr>
          <w:trHeight w:val="432"/>
        </w:trPr>
        <w:tc>
          <w:tcPr>
            <w:tcW w:w="554" w:type="dxa"/>
            <w:vAlign w:val="center"/>
          </w:tcPr>
          <w:p w14:paraId="0A34252C"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23</w:t>
            </w:r>
          </w:p>
        </w:tc>
        <w:tc>
          <w:tcPr>
            <w:tcW w:w="2250" w:type="dxa"/>
            <w:vAlign w:val="center"/>
          </w:tcPr>
          <w:p w14:paraId="0D82BEA3"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Ni</w:t>
            </w:r>
            <w:r w:rsidRPr="000B06A4">
              <w:rPr>
                <w:rFonts w:ascii="Times" w:hAnsi="Times"/>
                <w:sz w:val="20"/>
                <w:szCs w:val="20"/>
                <w:vertAlign w:val="subscript"/>
              </w:rPr>
              <w:t>0.2</w:t>
            </w:r>
            <w:r w:rsidRPr="000B06A4">
              <w:rPr>
                <w:rFonts w:ascii="Times" w:hAnsi="Times"/>
                <w:sz w:val="20"/>
                <w:szCs w:val="20"/>
              </w:rPr>
              <w:t>Co</w:t>
            </w:r>
            <w:r w:rsidRPr="000B06A4">
              <w:rPr>
                <w:rFonts w:ascii="Times" w:hAnsi="Times"/>
                <w:sz w:val="20"/>
                <w:szCs w:val="20"/>
                <w:vertAlign w:val="subscript"/>
              </w:rPr>
              <w:t>0.8</w:t>
            </w:r>
            <w:r w:rsidRPr="000B06A4">
              <w:rPr>
                <w:rFonts w:ascii="Times" w:hAnsi="Times"/>
                <w:sz w:val="20"/>
                <w:szCs w:val="20"/>
              </w:rPr>
              <w:t>Se</w:t>
            </w:r>
          </w:p>
        </w:tc>
        <w:tc>
          <w:tcPr>
            <w:tcW w:w="1133" w:type="dxa"/>
            <w:vAlign w:val="center"/>
          </w:tcPr>
          <w:p w14:paraId="6BD828C9"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5EA1A25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CC</w:t>
            </w:r>
          </w:p>
        </w:tc>
        <w:tc>
          <w:tcPr>
            <w:tcW w:w="1170" w:type="dxa"/>
            <w:gridSpan w:val="3"/>
            <w:vAlign w:val="center"/>
          </w:tcPr>
          <w:p w14:paraId="79DE2FE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w:t>
            </w:r>
          </w:p>
        </w:tc>
        <w:tc>
          <w:tcPr>
            <w:tcW w:w="667" w:type="dxa"/>
            <w:gridSpan w:val="3"/>
            <w:vAlign w:val="center"/>
          </w:tcPr>
          <w:p w14:paraId="5BE1CA7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280</w:t>
            </w:r>
          </w:p>
        </w:tc>
        <w:tc>
          <w:tcPr>
            <w:tcW w:w="1080" w:type="dxa"/>
            <w:gridSpan w:val="3"/>
            <w:vAlign w:val="center"/>
          </w:tcPr>
          <w:p w14:paraId="00217E7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86.8</w:t>
            </w:r>
          </w:p>
        </w:tc>
        <w:tc>
          <w:tcPr>
            <w:tcW w:w="270" w:type="dxa"/>
            <w:gridSpan w:val="3"/>
          </w:tcPr>
          <w:p w14:paraId="1FFD7466"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59672660"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CA j=-17.44%</w:t>
            </w:r>
          </w:p>
        </w:tc>
        <w:tc>
          <w:tcPr>
            <w:tcW w:w="814" w:type="dxa"/>
            <w:gridSpan w:val="3"/>
            <w:vAlign w:val="center"/>
          </w:tcPr>
          <w:p w14:paraId="65381760"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10</w:t>
            </w:r>
          </w:p>
        </w:tc>
        <w:tc>
          <w:tcPr>
            <w:tcW w:w="2766" w:type="dxa"/>
            <w:gridSpan w:val="4"/>
            <w:vAlign w:val="center"/>
          </w:tcPr>
          <w:p w14:paraId="33E5AA4C" w14:textId="181EE907"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Nano-Micro Lett., 2019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10.1007/s40820-019-0258-0","ISBN":"0123456789","ISSN":"21505551","author":[{"dropping-particle":"","family":"Qian","given":"Zhengxin","non-dropping-particle":"","parse-names":false,"suffix":""},{"dropping-particle":"","family":"Chen","given":"Yinghuan","non-dropping-particle":"","parse-names":false,"suffix":""},{"dropping-particle":"","family":"Tang","given":"Zhenghua","non-dropping-particle":"","parse-names":false,"suffix":""},{"dropping-particle":"","family":"Liu","given":"Zhen","non-dropping-particle":"","parse-names":false,"suffix":""},{"dropping-particle":"","family":"Wang","given":"Xiufang","non-dropping-particle":"","parse-names":false,"suffix":""},{"dropping-particle":"","family":"Tian","given":"Yong","non-dropping-particle":"","parse-names":false,"suffix":""},{"dropping-particle":"","family":"Gao","given":"Wei","non-dropping-particle":"","parse-names":false,"suffix":""}],"container-title":"Nano-Micro Letters","id":"ITEM-1","issue":"1","issued":{"date-parts":[["2019"]]},"publisher":"Springer Singapore","title":"Hollow Nanocages of NixCo1−xSe for Efficient Zinc–Air Batteries and Overall Water Splitting","type":"article-journal","volume":"11"},"uris":["http://www.mendeley.com/documents/?uuid=4617eacf-677e-4276-8ff0-e2ca28d1c356"]}],"mendeley":{"formattedCitation":"&lt;sup&gt;39&lt;/sup&gt;","plainTextFormattedCitation":"39","previouslyFormattedCitation":"&lt;sup&gt;38&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39</w:t>
            </w:r>
            <w:r w:rsidRPr="000B06A4">
              <w:rPr>
                <w:rFonts w:ascii="Times" w:hAnsi="Times"/>
                <w:sz w:val="20"/>
                <w:szCs w:val="20"/>
              </w:rPr>
              <w:fldChar w:fldCharType="end"/>
            </w:r>
          </w:p>
        </w:tc>
      </w:tr>
      <w:tr w:rsidR="00F35D51" w:rsidRPr="000B06A4" w14:paraId="76C778B9" w14:textId="77777777" w:rsidTr="00B05959">
        <w:trPr>
          <w:trHeight w:val="432"/>
        </w:trPr>
        <w:tc>
          <w:tcPr>
            <w:tcW w:w="554" w:type="dxa"/>
            <w:vAlign w:val="center"/>
          </w:tcPr>
          <w:p w14:paraId="2EDA5B71"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24</w:t>
            </w:r>
          </w:p>
        </w:tc>
        <w:tc>
          <w:tcPr>
            <w:tcW w:w="2250" w:type="dxa"/>
            <w:vAlign w:val="center"/>
          </w:tcPr>
          <w:p w14:paraId="09F2DC77" w14:textId="77777777" w:rsidR="00F35D51" w:rsidRPr="000B06A4" w:rsidRDefault="00F35D51" w:rsidP="00B05959">
            <w:pPr>
              <w:spacing w:line="276" w:lineRule="auto"/>
              <w:rPr>
                <w:rFonts w:ascii="Times" w:hAnsi="Times"/>
                <w:sz w:val="20"/>
                <w:szCs w:val="20"/>
              </w:rPr>
            </w:pPr>
            <w:proofErr w:type="spellStart"/>
            <w:r w:rsidRPr="000B06A4">
              <w:rPr>
                <w:rFonts w:ascii="Times" w:hAnsi="Times"/>
                <w:sz w:val="20"/>
                <w:szCs w:val="20"/>
              </w:rPr>
              <w:t>S|NiN</w:t>
            </w:r>
            <w:r w:rsidRPr="000B06A4">
              <w:rPr>
                <w:rFonts w:ascii="Times" w:hAnsi="Times"/>
                <w:sz w:val="20"/>
                <w:szCs w:val="20"/>
                <w:vertAlign w:val="subscript"/>
              </w:rPr>
              <w:t>x</w:t>
            </w:r>
            <w:proofErr w:type="spellEnd"/>
          </w:p>
        </w:tc>
        <w:tc>
          <w:tcPr>
            <w:tcW w:w="1133" w:type="dxa"/>
            <w:vAlign w:val="center"/>
          </w:tcPr>
          <w:p w14:paraId="45006F9C"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3CC69E3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GF</w:t>
            </w:r>
          </w:p>
        </w:tc>
        <w:tc>
          <w:tcPr>
            <w:tcW w:w="1170" w:type="dxa"/>
            <w:gridSpan w:val="3"/>
            <w:vAlign w:val="center"/>
          </w:tcPr>
          <w:p w14:paraId="2AB0AF6C"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0.15</w:t>
            </w:r>
          </w:p>
        </w:tc>
        <w:tc>
          <w:tcPr>
            <w:tcW w:w="667" w:type="dxa"/>
            <w:gridSpan w:val="3"/>
            <w:vAlign w:val="center"/>
          </w:tcPr>
          <w:p w14:paraId="57469D59"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280</w:t>
            </w:r>
          </w:p>
        </w:tc>
        <w:tc>
          <w:tcPr>
            <w:tcW w:w="1080" w:type="dxa"/>
            <w:gridSpan w:val="3"/>
            <w:vAlign w:val="center"/>
          </w:tcPr>
          <w:p w14:paraId="4B0F3460"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45</w:t>
            </w:r>
          </w:p>
        </w:tc>
        <w:tc>
          <w:tcPr>
            <w:tcW w:w="270" w:type="dxa"/>
            <w:gridSpan w:val="3"/>
          </w:tcPr>
          <w:p w14:paraId="215926EF"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7437736A" w14:textId="77777777" w:rsidR="00F35D51" w:rsidRPr="000B06A4" w:rsidRDefault="00F35D51" w:rsidP="00B05959">
            <w:pPr>
              <w:spacing w:line="276" w:lineRule="auto"/>
              <w:rPr>
                <w:rFonts w:ascii="Times" w:hAnsi="Times"/>
                <w:sz w:val="20"/>
                <w:szCs w:val="20"/>
                <w:vertAlign w:val="subscript"/>
              </w:rPr>
            </w:pPr>
            <w:r w:rsidRPr="000B06A4">
              <w:rPr>
                <w:rFonts w:ascii="Times" w:hAnsi="Times"/>
                <w:sz w:val="20"/>
                <w:szCs w:val="20"/>
              </w:rPr>
              <w:t>CP @10 mA.cm</w:t>
            </w:r>
            <w:r w:rsidRPr="000B06A4">
              <w:rPr>
                <w:rFonts w:ascii="Times" w:hAnsi="Times"/>
                <w:sz w:val="20"/>
                <w:szCs w:val="20"/>
                <w:vertAlign w:val="superscript"/>
              </w:rPr>
              <w:t>-2</w:t>
            </w:r>
            <w:r w:rsidRPr="000B06A4">
              <w:rPr>
                <w:rFonts w:ascii="Times" w:hAnsi="Times"/>
                <w:sz w:val="20"/>
                <w:szCs w:val="20"/>
                <w:vertAlign w:val="subscript"/>
              </w:rPr>
              <w:t xml:space="preserve"> </w:t>
            </w:r>
          </w:p>
        </w:tc>
        <w:tc>
          <w:tcPr>
            <w:tcW w:w="814" w:type="dxa"/>
            <w:gridSpan w:val="3"/>
            <w:vAlign w:val="center"/>
          </w:tcPr>
          <w:p w14:paraId="0E53AC7C"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10</w:t>
            </w:r>
          </w:p>
        </w:tc>
        <w:tc>
          <w:tcPr>
            <w:tcW w:w="2766" w:type="dxa"/>
            <w:gridSpan w:val="4"/>
            <w:vAlign w:val="center"/>
          </w:tcPr>
          <w:p w14:paraId="3B0CD801" w14:textId="6BDF9D6C"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Nature Comm., 2019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{"citationItems":[{"id":"ITEM-1","itemData":{"DOI":"10.1038/s41467-019-09394-5","ISSN":"20411723","abstract":"Developing low-cost electrocatalysts to replace precious Ir-based materials is key for oxygen evolution reaction (OER). Here, we report atomically dispersed nickel coordinated with nitrogen and sulfur species in porous carbon nanosheets as an electrocatalyst exhibiting excellent activity and durability for OER with a low overpotential of 1.51</w:instrText>
            </w:r>
            <w:r w:rsidR="00125386">
              <w:rPr>
                <w:rFonts w:ascii="Times New Roman" w:hAnsi="Times New Roman" w:cs="Times New Roman"/>
                <w:sz w:val="20"/>
                <w:szCs w:val="20"/>
              </w:rPr>
              <w:instrText> </w:instrText>
            </w:r>
            <w:r w:rsidR="00125386">
              <w:rPr>
                <w:rFonts w:ascii="Times" w:hAnsi="Times"/>
                <w:sz w:val="20"/>
                <w:szCs w:val="20"/>
              </w:rPr>
              <w:instrText>V at 10</w:instrText>
            </w:r>
            <w:r w:rsidR="00125386">
              <w:rPr>
                <w:rFonts w:ascii="Times New Roman" w:hAnsi="Times New Roman" w:cs="Times New Roman"/>
                <w:sz w:val="20"/>
                <w:szCs w:val="20"/>
              </w:rPr>
              <w:instrText> </w:instrText>
            </w:r>
            <w:r w:rsidR="00125386">
              <w:rPr>
                <w:rFonts w:ascii="Times" w:hAnsi="Times"/>
                <w:sz w:val="20"/>
                <w:szCs w:val="20"/>
              </w:rPr>
              <w:instrText>mA</w:instrText>
            </w:r>
            <w:r w:rsidR="00125386">
              <w:rPr>
                <w:rFonts w:ascii="Times New Roman" w:hAnsi="Times New Roman" w:cs="Times New Roman"/>
                <w:sz w:val="20"/>
                <w:szCs w:val="20"/>
              </w:rPr>
              <w:instrText> </w:instrText>
            </w:r>
            <w:r w:rsidR="00125386">
              <w:rPr>
                <w:rFonts w:ascii="Times" w:hAnsi="Times"/>
                <w:sz w:val="20"/>
                <w:szCs w:val="20"/>
              </w:rPr>
              <w:instrText>cm−2 and a small Tafel slope of 45</w:instrText>
            </w:r>
            <w:r w:rsidR="00125386">
              <w:rPr>
                <w:rFonts w:ascii="Times New Roman" w:hAnsi="Times New Roman" w:cs="Times New Roman"/>
                <w:sz w:val="20"/>
                <w:szCs w:val="20"/>
              </w:rPr>
              <w:instrText> </w:instrText>
            </w:r>
            <w:r w:rsidR="00125386">
              <w:rPr>
                <w:rFonts w:ascii="Times" w:hAnsi="Times"/>
                <w:sz w:val="20"/>
                <w:szCs w:val="20"/>
              </w:rPr>
              <w:instrText>mV</w:instrText>
            </w:r>
            <w:r w:rsidR="00125386">
              <w:rPr>
                <w:rFonts w:ascii="Times New Roman" w:hAnsi="Times New Roman" w:cs="Times New Roman"/>
                <w:sz w:val="20"/>
                <w:szCs w:val="20"/>
              </w:rPr>
              <w:instrText> </w:instrText>
            </w:r>
            <w:r w:rsidR="00125386">
              <w:rPr>
                <w:rFonts w:ascii="Times" w:hAnsi="Times"/>
                <w:sz w:val="20"/>
                <w:szCs w:val="20"/>
              </w:rPr>
              <w:instrText>dec−1 in alkaline media. Such electrocatalyst represents the best among all reported transition metal- and/or heteroatom-doped carbon electrocatalysts and is even superior to benchmark Ir/C. Theoretical and experimental results demonstrate that the well-dispersed molecular S|NiNx species act as active sites for catalyzing OER. The atomic structure of S|NiNx centers in the carbon matrix is clearly disclosed by aberration-corrected scanning transmission electron microscopy and synchrotron radiation X-ray absorption spectroscopy together with computational simulations. An integrated photoanode of nanocarbon on a Fe2O3 nanosheet array enables highly active solar-driven oxygen production.","author":[{"dropping-particle":"","family":"Hou","given":"Yang","non-dropping-particle":"","parse-names":false,"suffix":""},{"dropping-particle":"","family":"Qiu","given":"Ming","non-dropping-particle":"","parse-names":false,"suffix":""},{"dropping-particle":"","family":"Kim","given":"Min Gyu","non-dropping-particle":"","parse-names":false,"suffix":""},{"dropping-particle":"","family":"Liu","given":"Pan","non-dropping-particle":"","parse-names":false,"suffix":""},{"dropping-particle":"","family":"Nam","given":"Gyutae","non-dropping-particle":"","parse-names":false,"suffix":""},{"dropping-particle":"","family":"Zhang","given":"Tao","non-dropping-particle":"","parse-names":false,"suffix":""},{"dropping-particle":"","family":"Zhuang","given":"Xiaodong","non-dropping-particle":"","parse-names":false,"suffix":""},{"dropping-particle":"","family":"Yang","given":"Bin","non-dropping-particle":"","parse-names":false,"suffix":""},{"dropping-particle":"","family":"Cho","given":"Jaephil","non-dropping-particle":"","parse-names":false,"suffix":""},{"dropping-particle":"","family":"Chen","given":"Mingwei","non-dropping-particle":"","parse-names":false,"suffix":""},{"dropping-particle":"","family":"Yuan","given":"Chris","non-dropping-particle":"","parse-names":false,"suffix":""},{"dropping-particle":"","family":"Lei","given":"Lecheng","non-dropping-particle":"","parse-names":false,"suffix":""},{"dropping-particle":"","family":"Feng","given":"Xinliang","non-dropping-particle":"","parse-names":false,"suffix":""}],"container-title":"Nature Communications","id":"ITEM-1","issue":"1","issued":{"date-parts":[["2019"]]},"page":"1-9","publisher":"Springer US","title":"Atomically dispersed nickel–nitrogen–sulfur species anchored on porous carbon nanosheets for efficient water oxidation","type":"article-journal","volume":"10"},"uris":["http://www.mendeley.com/documents/?uuid=8329d331-ce25-4cf9-b6cc-89d0a5656f6c"]}],"mendeley":{"formattedCitation":"&lt;sup&gt;40&lt;/sup&gt;","plainTextFormattedCitation":"40","previouslyFormattedCitation":"&lt;sup&gt;39&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40</w:t>
            </w:r>
            <w:r w:rsidRPr="000B06A4">
              <w:rPr>
                <w:rFonts w:ascii="Times" w:hAnsi="Times"/>
                <w:sz w:val="20"/>
                <w:szCs w:val="20"/>
              </w:rPr>
              <w:fldChar w:fldCharType="end"/>
            </w:r>
          </w:p>
        </w:tc>
      </w:tr>
      <w:tr w:rsidR="00F35D51" w:rsidRPr="000B06A4" w14:paraId="3EDBB35C" w14:textId="77777777" w:rsidTr="00B05959">
        <w:trPr>
          <w:trHeight w:val="432"/>
        </w:trPr>
        <w:tc>
          <w:tcPr>
            <w:tcW w:w="554" w:type="dxa"/>
            <w:vAlign w:val="center"/>
          </w:tcPr>
          <w:p w14:paraId="5D6F53A8"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25</w:t>
            </w:r>
          </w:p>
        </w:tc>
        <w:tc>
          <w:tcPr>
            <w:tcW w:w="2250" w:type="dxa"/>
            <w:vAlign w:val="center"/>
          </w:tcPr>
          <w:p w14:paraId="12E93704"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CoSe</w:t>
            </w:r>
            <w:r w:rsidRPr="000B06A4">
              <w:rPr>
                <w:rFonts w:ascii="Times" w:hAnsi="Times"/>
                <w:sz w:val="20"/>
                <w:szCs w:val="20"/>
                <w:vertAlign w:val="subscript"/>
              </w:rPr>
              <w:t>2</w:t>
            </w:r>
            <w:r w:rsidRPr="000B06A4">
              <w:rPr>
                <w:rFonts w:ascii="Times" w:hAnsi="Times"/>
                <w:sz w:val="20"/>
                <w:szCs w:val="20"/>
              </w:rPr>
              <w:t xml:space="preserve"> UNM</w:t>
            </w:r>
          </w:p>
        </w:tc>
        <w:tc>
          <w:tcPr>
            <w:tcW w:w="1133" w:type="dxa"/>
            <w:vAlign w:val="center"/>
          </w:tcPr>
          <w:p w14:paraId="17F045E9"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77B6AA9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35BC91B2"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0.28</w:t>
            </w:r>
          </w:p>
        </w:tc>
        <w:tc>
          <w:tcPr>
            <w:tcW w:w="667" w:type="dxa"/>
            <w:gridSpan w:val="3"/>
            <w:vAlign w:val="center"/>
          </w:tcPr>
          <w:p w14:paraId="1E2E1DED"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284</w:t>
            </w:r>
          </w:p>
        </w:tc>
        <w:tc>
          <w:tcPr>
            <w:tcW w:w="1080" w:type="dxa"/>
            <w:gridSpan w:val="3"/>
            <w:vAlign w:val="center"/>
          </w:tcPr>
          <w:p w14:paraId="6A3ED2C7"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46.3</w:t>
            </w:r>
          </w:p>
        </w:tc>
        <w:tc>
          <w:tcPr>
            <w:tcW w:w="270" w:type="dxa"/>
            <w:gridSpan w:val="3"/>
          </w:tcPr>
          <w:p w14:paraId="072919A7"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4EC9CAB9"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CP @10mA.cm</w:t>
            </w:r>
            <w:r w:rsidRPr="000B06A4">
              <w:rPr>
                <w:rFonts w:ascii="Times" w:hAnsi="Times"/>
                <w:sz w:val="20"/>
                <w:szCs w:val="20"/>
                <w:vertAlign w:val="superscript"/>
              </w:rPr>
              <w:t>-2</w:t>
            </w:r>
          </w:p>
        </w:tc>
        <w:tc>
          <w:tcPr>
            <w:tcW w:w="814" w:type="dxa"/>
            <w:gridSpan w:val="3"/>
            <w:vAlign w:val="center"/>
          </w:tcPr>
          <w:p w14:paraId="2E72F7B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20</w:t>
            </w:r>
          </w:p>
        </w:tc>
        <w:tc>
          <w:tcPr>
            <w:tcW w:w="2766" w:type="dxa"/>
            <w:gridSpan w:val="4"/>
            <w:vAlign w:val="center"/>
          </w:tcPr>
          <w:p w14:paraId="0B971A61" w14:textId="0E56AB26"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J. of Mat. Chem. A, 2019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10.1039/c8ta11407b","author":[{"dropping-particle":"","family":"Zhang","given":"Yixin","non-dropping-particle":"","parse-names":false,"suffix":""},{"dropping-particle":"","family":"Zhang","given":"Chao","non-dropping-particle":"","parse-names":false,"suffix":""},{"dropping-particle":"","family":"Guo","given":"Yamei","non-dropping-particle":"","parse-names":false,"suffix":""},{"dropping-particle":"","family":"Liu","given":"Dali","non-dropping-particle":"","parse-names":false,"suffix":""},{"dropping-particle":"","family":"Yu","given":"Yifu","non-dropping-particle":"","parse-names":false,"suffix":""},{"dropping-particle":"","family":"Zhang","given":"Bin","non-dropping-particle":"","parse-names":false,"suffix":""}],"id":"ITEM-1","issued":{"date-parts":[["2019"]]},"page":"2536-2540","publisher":"Royal Society of Chemistry","title":"Selenium vacancy-rich CoSe2 ultrathin nanomeshes with abundant active sites for electrocatalytic oxygen evolution","type":"article-journal"},"uris":["http://www.mendeley.com/documents/?uuid=c665a8d9-d4a0-4dec-8df7-8a157575a1f9"]}],"mendeley":{"formattedCitation":"&lt;sup&gt;41&lt;/sup&gt;","plainTextFormattedCitation":"41","previouslyFormattedCitation":"&lt;sup&gt;40&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41</w:t>
            </w:r>
            <w:r w:rsidRPr="000B06A4">
              <w:rPr>
                <w:rFonts w:ascii="Times" w:hAnsi="Times"/>
                <w:sz w:val="20"/>
                <w:szCs w:val="20"/>
              </w:rPr>
              <w:fldChar w:fldCharType="end"/>
            </w:r>
          </w:p>
        </w:tc>
      </w:tr>
      <w:tr w:rsidR="00F35D51" w:rsidRPr="000B06A4" w14:paraId="1283C85D" w14:textId="77777777" w:rsidTr="00B05959">
        <w:trPr>
          <w:trHeight w:val="432"/>
        </w:trPr>
        <w:tc>
          <w:tcPr>
            <w:tcW w:w="554" w:type="dxa"/>
            <w:vAlign w:val="center"/>
          </w:tcPr>
          <w:p w14:paraId="0D7CAC23"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26</w:t>
            </w:r>
          </w:p>
        </w:tc>
        <w:tc>
          <w:tcPr>
            <w:tcW w:w="2250" w:type="dxa"/>
            <w:vAlign w:val="center"/>
          </w:tcPr>
          <w:p w14:paraId="02E47AC8" w14:textId="77777777" w:rsidR="00F35D51" w:rsidRPr="000B06A4" w:rsidRDefault="00F35D51" w:rsidP="00B05959">
            <w:pPr>
              <w:spacing w:line="276" w:lineRule="auto"/>
              <w:rPr>
                <w:rFonts w:ascii="Times" w:hAnsi="Times"/>
                <w:sz w:val="20"/>
                <w:szCs w:val="20"/>
                <w:vertAlign w:val="subscript"/>
              </w:rPr>
            </w:pPr>
            <w:r w:rsidRPr="000B06A4">
              <w:rPr>
                <w:rFonts w:ascii="Times" w:hAnsi="Times"/>
                <w:sz w:val="20"/>
                <w:szCs w:val="20"/>
              </w:rPr>
              <w:t>Ni</w:t>
            </w:r>
            <w:r w:rsidRPr="000B06A4">
              <w:rPr>
                <w:rFonts w:ascii="Times" w:hAnsi="Times"/>
                <w:sz w:val="20"/>
                <w:szCs w:val="20"/>
                <w:vertAlign w:val="subscript"/>
              </w:rPr>
              <w:t>2</w:t>
            </w:r>
            <w:r w:rsidRPr="000B06A4">
              <w:rPr>
                <w:rFonts w:ascii="Times" w:hAnsi="Times"/>
                <w:sz w:val="20"/>
                <w:szCs w:val="20"/>
              </w:rPr>
              <w:t>P</w:t>
            </w:r>
            <w:r w:rsidRPr="000B06A4">
              <w:rPr>
                <w:rFonts w:ascii="Times" w:hAnsi="Times"/>
                <w:sz w:val="20"/>
                <w:szCs w:val="20"/>
                <w:vertAlign w:val="subscript"/>
              </w:rPr>
              <w:t xml:space="preserve"> </w:t>
            </w:r>
          </w:p>
        </w:tc>
        <w:tc>
          <w:tcPr>
            <w:tcW w:w="1133" w:type="dxa"/>
            <w:vAlign w:val="center"/>
          </w:tcPr>
          <w:p w14:paraId="124709C0"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4A4DBBF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233163A1"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0.14</w:t>
            </w:r>
          </w:p>
        </w:tc>
        <w:tc>
          <w:tcPr>
            <w:tcW w:w="667" w:type="dxa"/>
            <w:gridSpan w:val="3"/>
            <w:vAlign w:val="center"/>
          </w:tcPr>
          <w:p w14:paraId="38C7C9F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290</w:t>
            </w:r>
          </w:p>
        </w:tc>
        <w:tc>
          <w:tcPr>
            <w:tcW w:w="1080" w:type="dxa"/>
            <w:gridSpan w:val="3"/>
            <w:vAlign w:val="center"/>
          </w:tcPr>
          <w:p w14:paraId="639CD91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47</w:t>
            </w:r>
          </w:p>
        </w:tc>
        <w:tc>
          <w:tcPr>
            <w:tcW w:w="270" w:type="dxa"/>
            <w:gridSpan w:val="3"/>
          </w:tcPr>
          <w:p w14:paraId="1340E33B"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3B5A17CA"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CP @10 mA.cm</w:t>
            </w:r>
            <w:r w:rsidRPr="000B06A4">
              <w:rPr>
                <w:rFonts w:ascii="Times" w:hAnsi="Times"/>
                <w:sz w:val="20"/>
                <w:szCs w:val="20"/>
                <w:vertAlign w:val="superscript"/>
              </w:rPr>
              <w:t>-2</w:t>
            </w:r>
          </w:p>
        </w:tc>
        <w:tc>
          <w:tcPr>
            <w:tcW w:w="814" w:type="dxa"/>
            <w:gridSpan w:val="3"/>
            <w:vAlign w:val="center"/>
          </w:tcPr>
          <w:p w14:paraId="0A4F738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10</w:t>
            </w:r>
          </w:p>
        </w:tc>
        <w:tc>
          <w:tcPr>
            <w:tcW w:w="2766" w:type="dxa"/>
            <w:gridSpan w:val="4"/>
            <w:vAlign w:val="center"/>
          </w:tcPr>
          <w:p w14:paraId="2510D9E4" w14:textId="16D25699"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Ener. Env. Sci., 2015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{"citationItems":[{"id":"ITEM-1","itemData":{"DOI":"10.1039/c5ee01155h","ISSN":"17545706","abstract":" Ni 2 P is a bifunctional catalyst for both hydrogen and oxygen evolution reactions.  Electrochemical water splitting into hydrogen and oxygen is a promising method for solar energy storage. The development of efficient electrocatalysts for water splitting has drawn much attention. However, catalysts that are active for both the hydrogen evolution and oxygen evolution reactions are rare. Herein, we show for the first time that nickel phosphide (Ni 2 P), an excellent hydrogen evolving catalyst, is also highly active for oxygen evolution. A current density of 10 mA cm −2 is generated at an overpotential of only 290 mV in 1 M KOH. The high activity is attributed to the core–shell (Ni 2 P/NiO x ) structure that the material adopts under catalytic conditions. The Ni 2 P nanoparticles can serve as both cathode and anode catalysts for an alkaline electrolyzer, which generates 10 mA cm −2 at 1.63 V. ","author":[{"dropping-particle":"","family":"Stern","given":"Lucas Alexandre","non-dropping-particle":"","parse-names":false,"suffix":""},{"dropping-particle":"","family":"Feng","given":"Ligang","non-dropping-particle":"","parse-names":false,"suffix":""},{"dropping-particle":"","family":"Song","given":"Fang","non-dropping-particle":"","parse-names":false,"suffix":""},{"dropping-particle":"","family":"Hu","given":"Xile","non-dropping-particle":"","parse-names":false,"suffix":""}],"container-title":"Energy and Environmental Science","id":"ITEM-1","issue":"8","issued":{"date-parts":[["2015"]]},"page":"2347-2351","title":"Ni2P as a Janus catalyst for water splitting: The oxygen evolution activity of Ni2P nanoparticles","type":"article-journal","volume":"8"},"uris":["http://www.mendeley.com/documents/?uuid=b467c118-b5b6-41a5-b736-f3395f62ab16"]}],"mendeley":{"formattedCitation":"&lt;sup&gt;42&lt;/sup&gt;","plainTextFormattedCitation":"42","previouslyFormattedCitation":"&lt;sup&gt;41&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42</w:t>
            </w:r>
            <w:r w:rsidRPr="000B06A4">
              <w:rPr>
                <w:rFonts w:ascii="Times" w:hAnsi="Times"/>
                <w:sz w:val="20"/>
                <w:szCs w:val="20"/>
              </w:rPr>
              <w:fldChar w:fldCharType="end"/>
            </w:r>
          </w:p>
        </w:tc>
      </w:tr>
      <w:tr w:rsidR="00F35D51" w:rsidRPr="000B06A4" w14:paraId="3DC26EEA" w14:textId="77777777" w:rsidTr="00B05959">
        <w:trPr>
          <w:trHeight w:val="432"/>
        </w:trPr>
        <w:tc>
          <w:tcPr>
            <w:tcW w:w="554" w:type="dxa"/>
            <w:vAlign w:val="center"/>
          </w:tcPr>
          <w:p w14:paraId="64AA44AA"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27</w:t>
            </w:r>
          </w:p>
        </w:tc>
        <w:tc>
          <w:tcPr>
            <w:tcW w:w="2250" w:type="dxa"/>
            <w:vAlign w:val="center"/>
          </w:tcPr>
          <w:p w14:paraId="73192664"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A-CoS</w:t>
            </w:r>
            <w:r w:rsidRPr="000B06A4">
              <w:rPr>
                <w:rFonts w:ascii="Times" w:hAnsi="Times"/>
                <w:sz w:val="20"/>
                <w:szCs w:val="20"/>
                <w:vertAlign w:val="subscript"/>
              </w:rPr>
              <w:t>4.6</w:t>
            </w:r>
            <w:r w:rsidRPr="000B06A4">
              <w:rPr>
                <w:rFonts w:ascii="Times" w:hAnsi="Times"/>
                <w:sz w:val="20"/>
                <w:szCs w:val="20"/>
              </w:rPr>
              <w:t>O</w:t>
            </w:r>
            <w:r w:rsidRPr="000B06A4">
              <w:rPr>
                <w:rFonts w:ascii="Times" w:hAnsi="Times"/>
                <w:sz w:val="20"/>
                <w:szCs w:val="20"/>
                <w:vertAlign w:val="subscript"/>
              </w:rPr>
              <w:t>0.6</w:t>
            </w:r>
          </w:p>
        </w:tc>
        <w:tc>
          <w:tcPr>
            <w:tcW w:w="1133" w:type="dxa"/>
            <w:vAlign w:val="center"/>
          </w:tcPr>
          <w:p w14:paraId="26E2B51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624A7A23"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5E3C8CC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0.8</w:t>
            </w:r>
          </w:p>
        </w:tc>
        <w:tc>
          <w:tcPr>
            <w:tcW w:w="667" w:type="dxa"/>
            <w:gridSpan w:val="3"/>
            <w:vAlign w:val="center"/>
          </w:tcPr>
          <w:p w14:paraId="53F2402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290</w:t>
            </w:r>
          </w:p>
        </w:tc>
        <w:tc>
          <w:tcPr>
            <w:tcW w:w="1080" w:type="dxa"/>
            <w:gridSpan w:val="3"/>
            <w:vAlign w:val="center"/>
          </w:tcPr>
          <w:p w14:paraId="0F941467"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67</w:t>
            </w:r>
          </w:p>
        </w:tc>
        <w:tc>
          <w:tcPr>
            <w:tcW w:w="270" w:type="dxa"/>
            <w:gridSpan w:val="3"/>
          </w:tcPr>
          <w:p w14:paraId="3EDF6D0A"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1C66E643"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CP @10 mA.cm</w:t>
            </w:r>
            <w:r w:rsidRPr="000B06A4">
              <w:rPr>
                <w:rFonts w:ascii="Times" w:hAnsi="Times"/>
                <w:sz w:val="20"/>
                <w:szCs w:val="20"/>
                <w:vertAlign w:val="superscript"/>
              </w:rPr>
              <w:t>-2</w:t>
            </w:r>
          </w:p>
        </w:tc>
        <w:tc>
          <w:tcPr>
            <w:tcW w:w="814" w:type="dxa"/>
            <w:gridSpan w:val="3"/>
            <w:vAlign w:val="center"/>
          </w:tcPr>
          <w:p w14:paraId="329C52B6"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1.25</w:t>
            </w:r>
          </w:p>
        </w:tc>
        <w:tc>
          <w:tcPr>
            <w:tcW w:w="2766" w:type="dxa"/>
            <w:gridSpan w:val="4"/>
            <w:vAlign w:val="center"/>
          </w:tcPr>
          <w:p w14:paraId="321DD6B3" w14:textId="7C76441E" w:rsidR="00F35D51" w:rsidRPr="000B06A4" w:rsidRDefault="00F35D51" w:rsidP="00B05959">
            <w:pPr>
              <w:spacing w:line="276" w:lineRule="auto"/>
              <w:rPr>
                <w:rFonts w:ascii="Times" w:hAnsi="Times"/>
                <w:sz w:val="20"/>
                <w:szCs w:val="20"/>
              </w:rPr>
            </w:pPr>
            <w:proofErr w:type="spellStart"/>
            <w:r w:rsidRPr="000B06A4">
              <w:rPr>
                <w:rFonts w:ascii="Times" w:hAnsi="Times"/>
                <w:sz w:val="20"/>
                <w:szCs w:val="20"/>
              </w:rPr>
              <w:t>Angew</w:t>
            </w:r>
            <w:proofErr w:type="spellEnd"/>
            <w:r w:rsidRPr="000B06A4">
              <w:rPr>
                <w:rFonts w:ascii="Times" w:hAnsi="Times"/>
                <w:sz w:val="20"/>
                <w:szCs w:val="20"/>
              </w:rPr>
              <w:t xml:space="preserve">. Chem., 2017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{"citationItems":[{"id":"ITEM-1","itemData":{"DOI":"10.1002/anie.201701280","ISSN":"15213773","abstract":"© 2017 Wiley-VCH Verlag GmbH  &amp;  Co. KGaA, Weinheim A novel OER electrocatalyst, namely oxygen-incorporated amorphous cobalt sulfide porous nanocubes (A-CoS 4.6 O 0.6  PNCs), show advantages over the benchmark RuO 2  catalyst in alkaline/neutral medium. Experiments combining with calculation demonstrate that the desirable O* adsorption energy, associated with the distorted CoS 4.6 O 0.6  octahedron structure and the oxygen doping, contribute synergistically to the outstanding electrocatalytic activity.","author":[{"dropping-particle":"","family":"Cai","given":"Pingwei","non-dropping-particle":"","parse-names":false,"suffix":""},{"dropping-particle":"","family":"Huang","given":"Junheng","non-dropping-particle":"","parse-names":false,"suffix":""},{"dropping-particle":"","family":"Chen","given":"Junxiang","non-dropping-particle":"","parse-names":false,"suffix":""},{"dropping-particle":"","family":"Wen","given":"Zhenhai","non-dropping-particle":"","parse-names":false,"suffix":""}],"container-title":"Angewandte Chemie - International Edition","id":"ITEM-1","issue":"17","issued":{"date-parts":[["2017"]]},"page":"4858-4861","title":"Oxygen-Containing Amorphous Cobalt Sulfide Porous Nanocubes as High-Activity Electrocatalysts for the Oxygen Evolution Reaction in an Alkaline/Neutral Medium","type":"article-journal","volume":"56"},"uris":["http://www.mendeley.com/documents/?uuid=3d9e72e0-897d-4449-bfe0-e756b3d70d58"]}],"mendeley":{"formattedCitation":"&lt;sup&gt;43&lt;/sup&gt;","plainTextFormattedCitation":"43","previouslyFormattedCitation":"&lt;sup&gt;42&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43</w:t>
            </w:r>
            <w:r w:rsidRPr="000B06A4">
              <w:rPr>
                <w:rFonts w:ascii="Times" w:hAnsi="Times"/>
                <w:sz w:val="20"/>
                <w:szCs w:val="20"/>
              </w:rPr>
              <w:fldChar w:fldCharType="end"/>
            </w:r>
          </w:p>
        </w:tc>
      </w:tr>
      <w:tr w:rsidR="00F35D51" w:rsidRPr="000B06A4" w14:paraId="0F50740C" w14:textId="77777777" w:rsidTr="00B05959">
        <w:trPr>
          <w:trHeight w:val="432"/>
        </w:trPr>
        <w:tc>
          <w:tcPr>
            <w:tcW w:w="554" w:type="dxa"/>
            <w:vAlign w:val="center"/>
          </w:tcPr>
          <w:p w14:paraId="6725D156"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28</w:t>
            </w:r>
          </w:p>
        </w:tc>
        <w:tc>
          <w:tcPr>
            <w:tcW w:w="2250" w:type="dxa"/>
            <w:vAlign w:val="center"/>
          </w:tcPr>
          <w:p w14:paraId="30DCB147"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Co</w:t>
            </w:r>
            <w:r w:rsidRPr="000B06A4">
              <w:rPr>
                <w:rFonts w:ascii="Times" w:hAnsi="Times"/>
                <w:sz w:val="20"/>
                <w:szCs w:val="20"/>
                <w:vertAlign w:val="subscript"/>
              </w:rPr>
              <w:t>3</w:t>
            </w:r>
            <w:r w:rsidRPr="000B06A4">
              <w:rPr>
                <w:rFonts w:ascii="Times" w:hAnsi="Times"/>
                <w:sz w:val="20"/>
                <w:szCs w:val="20"/>
              </w:rPr>
              <w:t>O</w:t>
            </w:r>
            <w:r w:rsidRPr="000B06A4">
              <w:rPr>
                <w:rFonts w:ascii="Times" w:hAnsi="Times"/>
                <w:sz w:val="20"/>
                <w:szCs w:val="20"/>
                <w:vertAlign w:val="subscript"/>
              </w:rPr>
              <w:t>4</w:t>
            </w:r>
            <w:r w:rsidRPr="000B06A4">
              <w:rPr>
                <w:rFonts w:ascii="Times" w:hAnsi="Times"/>
                <w:sz w:val="20"/>
                <w:szCs w:val="20"/>
              </w:rPr>
              <w:t>C-NA</w:t>
            </w:r>
          </w:p>
        </w:tc>
        <w:tc>
          <w:tcPr>
            <w:tcW w:w="1133" w:type="dxa"/>
            <w:vAlign w:val="center"/>
          </w:tcPr>
          <w:p w14:paraId="1D89ACE3"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0.1 M KOH</w:t>
            </w:r>
          </w:p>
        </w:tc>
        <w:tc>
          <w:tcPr>
            <w:tcW w:w="1260" w:type="dxa"/>
            <w:gridSpan w:val="3"/>
            <w:vAlign w:val="center"/>
          </w:tcPr>
          <w:p w14:paraId="45BA4DD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Cu foil</w:t>
            </w:r>
          </w:p>
        </w:tc>
        <w:tc>
          <w:tcPr>
            <w:tcW w:w="1170" w:type="dxa"/>
            <w:gridSpan w:val="3"/>
            <w:vAlign w:val="center"/>
          </w:tcPr>
          <w:p w14:paraId="174A097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w:t>
            </w:r>
          </w:p>
        </w:tc>
        <w:tc>
          <w:tcPr>
            <w:tcW w:w="667" w:type="dxa"/>
            <w:gridSpan w:val="3"/>
            <w:vAlign w:val="center"/>
          </w:tcPr>
          <w:p w14:paraId="0E5A604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290</w:t>
            </w:r>
          </w:p>
        </w:tc>
        <w:tc>
          <w:tcPr>
            <w:tcW w:w="1080" w:type="dxa"/>
            <w:gridSpan w:val="3"/>
            <w:vAlign w:val="center"/>
          </w:tcPr>
          <w:p w14:paraId="3C2BED77"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70</w:t>
            </w:r>
          </w:p>
        </w:tc>
        <w:tc>
          <w:tcPr>
            <w:tcW w:w="270" w:type="dxa"/>
            <w:gridSpan w:val="3"/>
          </w:tcPr>
          <w:p w14:paraId="7C41C31F"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01E774C0" w14:textId="77777777" w:rsidR="00F35D51" w:rsidRPr="000B06A4" w:rsidRDefault="00F35D51" w:rsidP="00B05959">
            <w:pPr>
              <w:spacing w:line="276" w:lineRule="auto"/>
              <w:rPr>
                <w:rFonts w:ascii="Times" w:hAnsi="Times"/>
                <w:sz w:val="20"/>
                <w:szCs w:val="20"/>
                <w:vertAlign w:val="subscript"/>
              </w:rPr>
            </w:pPr>
            <w:r w:rsidRPr="000B06A4">
              <w:rPr>
                <w:rFonts w:ascii="Times" w:hAnsi="Times"/>
                <w:sz w:val="20"/>
                <w:szCs w:val="20"/>
              </w:rPr>
              <w:t>CP @10 mA.cm</w:t>
            </w:r>
            <w:r w:rsidRPr="000B06A4">
              <w:rPr>
                <w:rFonts w:ascii="Times" w:hAnsi="Times"/>
                <w:sz w:val="20"/>
                <w:szCs w:val="20"/>
                <w:vertAlign w:val="superscript"/>
              </w:rPr>
              <w:t>-2</w:t>
            </w:r>
          </w:p>
        </w:tc>
        <w:tc>
          <w:tcPr>
            <w:tcW w:w="814" w:type="dxa"/>
            <w:gridSpan w:val="3"/>
            <w:vAlign w:val="center"/>
          </w:tcPr>
          <w:p w14:paraId="2776A03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30</w:t>
            </w:r>
          </w:p>
        </w:tc>
        <w:tc>
          <w:tcPr>
            <w:tcW w:w="2766" w:type="dxa"/>
            <w:gridSpan w:val="4"/>
            <w:vAlign w:val="center"/>
          </w:tcPr>
          <w:p w14:paraId="0CED8693" w14:textId="0E2145EB"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JACS, 2014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{"citationItems":[{"id":"ITEM-1","itemData":{"DOI":"10.1021/ja5082553","ISSN":"15205126","abstract":"© 2014 American Chemical Society. Hybrid porous nanowire arrays composed of strongly interacting Co3O4and carbon were prepared by a facile carbonization of the metal-organic framework grown on Cu foil. The resulting material, possessing a high surface area of 251 m2g-1and a large carbon content of 52.1 wt %, can be directly used as the working electrode for oxygen evolution reaction without employing extra substrates or binders. This novel oxygen evolution electrode can smoothly operate in alkaline solutions (e.g., 0.1 and 1.0 M KOH), affording a low onset potential of 1.47 V (vs reversible hydrogen electrode) and a stable current density of 10.0 mA cm-2at 1.52 V in 0.1 M KOH solution for at least 30 h, associated with a high Faradaic efficiency of 99.3%. The achieved ultrahigh oxygen evolution activity and strong durability, with superior performance in comparison to the state-of-the-art noble-metal/transition-metal and nonmetal catalysts, originate from the unique nanowire array electrode configuration and in situ carbon incorporation, which lead to the large active surface area, enhanced mass/charge transport capability, easy release of oxygen gas bubbles, and strong structural stability. Furthermore, the hybrid Co3O4-carbon porous nanowire arrays can also efficiently catalyze oxygen reduction reaction, featuring a desirable four-electron pathway for reversible oxygen evolution and reduction, which is potentially useful for rechargeable metal-air batteries, regenerative fuel cells, and other important clean energy devices.","author":[{"dropping-particle":"","family":"Ma","given":"Tian Yi","non-dropping-particle":"","parse-names":false,"suffix":""},{"dropping-particle":"","family":"Dai","given":"Sheng","non-dropping-particle":"","parse-names":false,"suffix":""},{"dropping-particle":"","family":"Jaroniec","given":"Mietek","non-dropping-particle":"","parse-names":false,"suffix":""},{"dropping-particle":"","family":"Qiao","given":"Shi Zhang","non-dropping-particle":"","parse-names":false,"suffix":""}],"container-title":"Journal of the American Chemical Society","id":"ITEM-1","issue":"39","issued":{"date-parts":[["2014"]]},"page":"13925-13931","title":"Metal-organic framework derived hybrid Co3O4-carbon porous nanowire arrays as reversible oxygen evolution electrodes","type":"article-journal","volume":"136"},"uris":["http://www.mendeley.com/documents/?uuid=aeca1deb-2ba7-4e63-aa55-f3106d85863d"]}],"mendeley":{"formattedCitation":"&lt;sup&gt;44&lt;/sup&gt;","plainTextFormattedCitation":"44","previouslyFormattedCitation":"&lt;sup&gt;43&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44</w:t>
            </w:r>
            <w:r w:rsidRPr="000B06A4">
              <w:rPr>
                <w:rFonts w:ascii="Times" w:hAnsi="Times"/>
                <w:sz w:val="20"/>
                <w:szCs w:val="20"/>
              </w:rPr>
              <w:fldChar w:fldCharType="end"/>
            </w:r>
          </w:p>
        </w:tc>
      </w:tr>
      <w:tr w:rsidR="00F35D51" w:rsidRPr="000B06A4" w14:paraId="45594E0F" w14:textId="77777777" w:rsidTr="00B05959">
        <w:trPr>
          <w:trHeight w:val="432"/>
        </w:trPr>
        <w:tc>
          <w:tcPr>
            <w:tcW w:w="554" w:type="dxa"/>
            <w:vAlign w:val="center"/>
          </w:tcPr>
          <w:p w14:paraId="1C809E25"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29</w:t>
            </w:r>
          </w:p>
        </w:tc>
        <w:tc>
          <w:tcPr>
            <w:tcW w:w="2250" w:type="dxa"/>
            <w:vAlign w:val="center"/>
          </w:tcPr>
          <w:p w14:paraId="0D3FA43F"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NiCo</w:t>
            </w:r>
            <w:r w:rsidRPr="000B06A4">
              <w:rPr>
                <w:rFonts w:ascii="Times" w:hAnsi="Times"/>
                <w:sz w:val="20"/>
                <w:szCs w:val="20"/>
                <w:vertAlign w:val="subscript"/>
              </w:rPr>
              <w:t>2</w:t>
            </w:r>
            <w:r w:rsidRPr="000B06A4">
              <w:rPr>
                <w:rFonts w:ascii="Times" w:hAnsi="Times"/>
                <w:sz w:val="20"/>
                <w:szCs w:val="20"/>
              </w:rPr>
              <w:t>O</w:t>
            </w:r>
            <w:r w:rsidRPr="000B06A4">
              <w:rPr>
                <w:rFonts w:ascii="Times" w:hAnsi="Times"/>
                <w:sz w:val="20"/>
                <w:szCs w:val="20"/>
                <w:vertAlign w:val="subscript"/>
              </w:rPr>
              <w:t>4</w:t>
            </w:r>
          </w:p>
        </w:tc>
        <w:tc>
          <w:tcPr>
            <w:tcW w:w="1133" w:type="dxa"/>
            <w:vAlign w:val="center"/>
          </w:tcPr>
          <w:p w14:paraId="5D8CBE3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NaOH</w:t>
            </w:r>
          </w:p>
        </w:tc>
        <w:tc>
          <w:tcPr>
            <w:tcW w:w="1260" w:type="dxa"/>
            <w:gridSpan w:val="3"/>
            <w:vAlign w:val="center"/>
          </w:tcPr>
          <w:p w14:paraId="7B69CF5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NF</w:t>
            </w:r>
          </w:p>
        </w:tc>
        <w:tc>
          <w:tcPr>
            <w:tcW w:w="1170" w:type="dxa"/>
            <w:gridSpan w:val="3"/>
            <w:vAlign w:val="center"/>
          </w:tcPr>
          <w:p w14:paraId="25453A5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w:t>
            </w:r>
          </w:p>
        </w:tc>
        <w:tc>
          <w:tcPr>
            <w:tcW w:w="667" w:type="dxa"/>
            <w:gridSpan w:val="3"/>
            <w:vAlign w:val="center"/>
          </w:tcPr>
          <w:p w14:paraId="6BDCED4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290</w:t>
            </w:r>
          </w:p>
        </w:tc>
        <w:tc>
          <w:tcPr>
            <w:tcW w:w="1080" w:type="dxa"/>
            <w:gridSpan w:val="3"/>
            <w:vAlign w:val="center"/>
          </w:tcPr>
          <w:p w14:paraId="1588BC47"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53</w:t>
            </w:r>
          </w:p>
        </w:tc>
        <w:tc>
          <w:tcPr>
            <w:tcW w:w="270" w:type="dxa"/>
            <w:gridSpan w:val="3"/>
          </w:tcPr>
          <w:p w14:paraId="39ABBBD9"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0C523553"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CP @10 mA.cm</w:t>
            </w:r>
            <w:r w:rsidRPr="000B06A4">
              <w:rPr>
                <w:rFonts w:ascii="Times" w:hAnsi="Times"/>
                <w:sz w:val="20"/>
                <w:szCs w:val="20"/>
                <w:vertAlign w:val="superscript"/>
              </w:rPr>
              <w:t>-2</w:t>
            </w:r>
          </w:p>
        </w:tc>
        <w:tc>
          <w:tcPr>
            <w:tcW w:w="814" w:type="dxa"/>
            <w:gridSpan w:val="3"/>
            <w:vAlign w:val="center"/>
          </w:tcPr>
          <w:p w14:paraId="48D45B30"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32</w:t>
            </w:r>
          </w:p>
        </w:tc>
        <w:tc>
          <w:tcPr>
            <w:tcW w:w="2766" w:type="dxa"/>
            <w:gridSpan w:val="4"/>
            <w:vAlign w:val="center"/>
          </w:tcPr>
          <w:p w14:paraId="15BB1675" w14:textId="25462F7A" w:rsidR="00F35D51" w:rsidRPr="000B06A4" w:rsidRDefault="00F35D51" w:rsidP="00B05959">
            <w:pPr>
              <w:spacing w:line="276" w:lineRule="auto"/>
              <w:rPr>
                <w:rFonts w:ascii="Times" w:hAnsi="Times"/>
                <w:sz w:val="20"/>
                <w:szCs w:val="20"/>
              </w:rPr>
            </w:pPr>
            <w:proofErr w:type="spellStart"/>
            <w:r w:rsidRPr="000B06A4">
              <w:rPr>
                <w:rFonts w:ascii="Times" w:hAnsi="Times"/>
                <w:sz w:val="20"/>
                <w:szCs w:val="20"/>
              </w:rPr>
              <w:t>Angew</w:t>
            </w:r>
            <w:proofErr w:type="spellEnd"/>
            <w:r w:rsidRPr="000B06A4">
              <w:rPr>
                <w:rFonts w:ascii="Times" w:hAnsi="Times"/>
                <w:sz w:val="20"/>
                <w:szCs w:val="20"/>
              </w:rPr>
              <w:t xml:space="preserve">. Chem, 2016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{"citationItems":[{"id":"ITEM-1","itemData":{"DOI":"10.1002/anie.201600525","ISSN":"15213773","abstract":"Bifunctional electrocatalysts for the oxygen evolution reaction (OER) and hydrogen evolution reaction (HER) in alkaline electrolyte may improve the efficiency of overall water splitting. Nickel cobaltite (NiCo2 O4 ) has been considered a promising electrode material for the OER. However, NiCo2 O4 that can be used as an electrocatalyst in HER has not been studied yet. Herein, we report self-assembled hierarchical NiCo2 O4 hollow microcuboids for overall water splitting including both the HER and OER reactions. The NiCo2 O4 electrode shows excellent activity toward overall water splitting, with 10 mA cm(-2) water-splitting current reached by applying just 1.65 V and 20 mA cm(-2) by applying just 1.74 V across the two electrodes. The synthesis of NiCo2 O4 microflowers confirms the importance of structural features for high-performance overall water splitting.","author":[{"dropping-particle":"","family":"Gao","given":"Xuehui","non-dropping-particle":"","parse-names":false,"suffix":""},{"dropping-particle":"","family":"Zhang","given":"Hongxiu","non-dropping-particle":"","parse-names":false,"suffix":""},{"dropping-particle":"","family":"Li","given":"Quanguo","non-dropping-particle":"","parse-names":false,"suffix":""},{"dropping-particle":"","family":"Yu","given":"Xuegong","non-dropping-particle":"","parse-names":false,"suffix":""},{"dropping-particle":"","family":"Hong","given":"Zhanglian","non-dropping-particle":"","parse-names":false,"suffix":""},{"dropping-particle":"","family":"Zhang","given":"Xingwang","non-dropping-particle":"","parse-names":false,"suffix":""},{"dropping-particle":"","family":"Liang","given":"Chengdu","non-dropping-particle":"","parse-names":false,"suffix":""},{"dropping-particle":"","family":"Lin","given":"Zhan","non-dropping-particle":"","parse-names":false,"suffix":""}],"container-title":"Angewandte Chemie - International Edition","id":"ITEM-1","issue":"21","issued":{"date-parts":[["2016"]]},"page":"6290-6294","title":"Hierarchical NiCo 2 O 4 hollow microcuboids as bifunctional electrocatalysts for overall water-splitting","type":"article-journal","volume":"55"},"uris":["http://www.mendeley.com/documents/?uuid=a4812e90-0c56-4af2-af8d-bcf8e96edc66"]}],"mendeley":{"formattedCitation":"&lt;sup&gt;45&lt;/sup&gt;","plainTextFormattedCitation":"45","previouslyFormattedCitation":"&lt;sup&gt;44&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45</w:t>
            </w:r>
            <w:r w:rsidRPr="000B06A4">
              <w:rPr>
                <w:rFonts w:ascii="Times" w:hAnsi="Times"/>
                <w:sz w:val="20"/>
                <w:szCs w:val="20"/>
              </w:rPr>
              <w:fldChar w:fldCharType="end"/>
            </w:r>
          </w:p>
        </w:tc>
      </w:tr>
      <w:tr w:rsidR="00F35D51" w:rsidRPr="000B06A4" w14:paraId="560E51BE" w14:textId="77777777" w:rsidTr="00B05959">
        <w:trPr>
          <w:trHeight w:val="432"/>
        </w:trPr>
        <w:tc>
          <w:tcPr>
            <w:tcW w:w="554" w:type="dxa"/>
            <w:vAlign w:val="center"/>
          </w:tcPr>
          <w:p w14:paraId="0E148133" w14:textId="77777777" w:rsidR="00F35D51" w:rsidRPr="000B06A4" w:rsidRDefault="00F35D51" w:rsidP="00B05959">
            <w:pPr>
              <w:jc w:val="center"/>
              <w:rPr>
                <w:rFonts w:ascii="Times" w:hAnsi="Times"/>
                <w:sz w:val="20"/>
                <w:szCs w:val="20"/>
              </w:rPr>
            </w:pPr>
            <w:r>
              <w:rPr>
                <w:rFonts w:ascii="Times" w:hAnsi="Times"/>
                <w:sz w:val="20"/>
                <w:szCs w:val="20"/>
              </w:rPr>
              <w:lastRenderedPageBreak/>
              <w:t>30</w:t>
            </w:r>
          </w:p>
        </w:tc>
        <w:tc>
          <w:tcPr>
            <w:tcW w:w="2250" w:type="dxa"/>
            <w:vAlign w:val="center"/>
          </w:tcPr>
          <w:p w14:paraId="43AD3CA5" w14:textId="77777777" w:rsidR="00F35D51" w:rsidRPr="000B06A4" w:rsidRDefault="00F35D51" w:rsidP="00B05959">
            <w:pPr>
              <w:rPr>
                <w:rFonts w:ascii="Times" w:hAnsi="Times"/>
                <w:sz w:val="20"/>
                <w:szCs w:val="20"/>
              </w:rPr>
            </w:pPr>
            <w:r w:rsidRPr="000B06A4">
              <w:rPr>
                <w:rFonts w:ascii="Times" w:hAnsi="Times"/>
                <w:sz w:val="20"/>
                <w:szCs w:val="20"/>
              </w:rPr>
              <w:t>a-Co</w:t>
            </w:r>
            <w:r w:rsidRPr="000B06A4">
              <w:rPr>
                <w:rFonts w:ascii="Times" w:hAnsi="Times"/>
                <w:sz w:val="20"/>
                <w:szCs w:val="20"/>
                <w:vertAlign w:val="subscript"/>
              </w:rPr>
              <w:t>4</w:t>
            </w:r>
            <w:r w:rsidRPr="000B06A4">
              <w:rPr>
                <w:rFonts w:ascii="Times" w:hAnsi="Times"/>
                <w:sz w:val="20"/>
                <w:szCs w:val="20"/>
              </w:rPr>
              <w:t>Fe(OH)</w:t>
            </w:r>
            <w:r w:rsidRPr="000B06A4">
              <w:rPr>
                <w:rFonts w:ascii="Times" w:hAnsi="Times"/>
                <w:sz w:val="20"/>
                <w:szCs w:val="20"/>
                <w:vertAlign w:val="subscript"/>
              </w:rPr>
              <w:t>x</w:t>
            </w:r>
          </w:p>
        </w:tc>
        <w:tc>
          <w:tcPr>
            <w:tcW w:w="1133" w:type="dxa"/>
            <w:vAlign w:val="center"/>
          </w:tcPr>
          <w:p w14:paraId="67FC6BD7"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59C21881"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0633014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0.28</w:t>
            </w:r>
          </w:p>
        </w:tc>
        <w:tc>
          <w:tcPr>
            <w:tcW w:w="667" w:type="dxa"/>
            <w:gridSpan w:val="3"/>
            <w:vAlign w:val="center"/>
          </w:tcPr>
          <w:p w14:paraId="6DC5CB26"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295</w:t>
            </w:r>
          </w:p>
        </w:tc>
        <w:tc>
          <w:tcPr>
            <w:tcW w:w="1080" w:type="dxa"/>
            <w:gridSpan w:val="3"/>
            <w:vAlign w:val="center"/>
          </w:tcPr>
          <w:p w14:paraId="580F6B63"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52</w:t>
            </w:r>
          </w:p>
        </w:tc>
        <w:tc>
          <w:tcPr>
            <w:tcW w:w="270" w:type="dxa"/>
            <w:gridSpan w:val="3"/>
          </w:tcPr>
          <w:p w14:paraId="62979519"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6C3FBBA4"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CA 10 mA.cm</w:t>
            </w:r>
            <w:r w:rsidRPr="000B06A4">
              <w:rPr>
                <w:rFonts w:ascii="Times" w:hAnsi="Times"/>
                <w:sz w:val="20"/>
                <w:szCs w:val="20"/>
                <w:vertAlign w:val="superscript"/>
              </w:rPr>
              <w:t>-2</w:t>
            </w:r>
          </w:p>
        </w:tc>
        <w:tc>
          <w:tcPr>
            <w:tcW w:w="814" w:type="dxa"/>
            <w:gridSpan w:val="3"/>
            <w:vAlign w:val="center"/>
          </w:tcPr>
          <w:p w14:paraId="640E816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w:t>
            </w:r>
          </w:p>
        </w:tc>
        <w:tc>
          <w:tcPr>
            <w:tcW w:w="2766" w:type="dxa"/>
            <w:gridSpan w:val="4"/>
            <w:vAlign w:val="center"/>
          </w:tcPr>
          <w:p w14:paraId="1B8846BC" w14:textId="050FFD9F"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JACS, 2017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{"citationItems":[{"id":"ITEM-1","itemData":{"DOI":"10.1039/c6ta09959a","ISSN":"20507496","abstract":" The layered Fe-doped alpha-type cobalt hydroxide (α-Co 4 Fe(OH) x ) nanosheet exhibited superior activity towards the oxygen evolution reaction and the correlation between the Fe content and activity could be plotted as a volcano curve.  Cost-effective and highly active electrocatalysts for the oxygen evolution reaction (OER) are critical to energy conversion and storage processes. Herein, a superior OER catalyst of Fe substituted α-Co(OH) 2 (α-Co 1−m Fe m (OH) 2 ) has been synthesized by taking advantage of the large layered structure and good conductivity of α-Co(OH) 2 , in conjunction with the rich redox properties and abundance of Fe. The atomically layered α-Co 4 Fe(OH) x (Co/Fe = 4) nanoplates could effectively catalyze water oxidation at the onset potential of 0.26 V and its turnover frequency (TOF) was 11 and 5 times higher than those of α-Co(OH) 2 and IrO 2 , respectively. The increased activity could be attributed to strong electronic interactions between Co and Fe. Density functional theory (DFT) calculations also demonstrated that the theoretical overpotential of α-Co 1−m Fe m (OH) 2 is obviously lower than that of α-Co(OH) 2 and thus Fe doped α-Co(OH) 2 displays a better activity. Moreover, the correlation between the Fe content and activity could be plotted as a volcano curve. ","author":[{"dropping-particle":"","family":"Jin","given":"Haiyan","non-dropping-particle":"","parse-names":false,"suffix":""},{"dropping-particle":"","family":"Mao","given":"Shanjun","non-dropping-particle":"","parse-names":false,"suffix":""},{"dropping-particle":"","family":"Zhan","given":"Guopeng","non-dropping-particle":"","parse-names":false,"suffix":""},{"dropping-particle":"","family":"Xu","given":"Fan","non-dropping-particle":"","parse-names":false,"suffix":""},{"dropping-particle":"","family":"Bao","given":"Xiaobing","non-dropping-particle":"","parse-names":false,"suffix":""},{"dropping-particle":"","family":"Wang","given":"Yong","non-dropping-particle":"","parse-names":false,"suffix":""}],"container-title":"Journal of Materials Chemistry A","id":"ITEM-1","issue":"3","issued":{"date-parts":[["2017"]]},"page":"1078-1084","publisher":"Royal Society of Chemistry","title":"Fe incorporated α-Co(OH)2 nanosheets with remarkably improved activity towards the oxygen evolution reaction","type":"article-journal","volume":"5"},"uris":["http://www.mendeley.com/documents/?uuid=0967b347-c2cb-4e98-985d-47db83457a7d"]}],"mendeley":{"formattedCitation":"&lt;sup&gt;46&lt;/sup&gt;","plainTextFormattedCitation":"46","previouslyFormattedCitation":"&lt;sup&gt;45&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46</w:t>
            </w:r>
            <w:r w:rsidRPr="000B06A4">
              <w:rPr>
                <w:rFonts w:ascii="Times" w:hAnsi="Times"/>
                <w:sz w:val="20"/>
                <w:szCs w:val="20"/>
              </w:rPr>
              <w:fldChar w:fldCharType="end"/>
            </w:r>
          </w:p>
        </w:tc>
      </w:tr>
      <w:tr w:rsidR="00F35D51" w:rsidRPr="000B06A4" w14:paraId="10DE1582" w14:textId="77777777" w:rsidTr="00B05959">
        <w:trPr>
          <w:trHeight w:val="432"/>
        </w:trPr>
        <w:tc>
          <w:tcPr>
            <w:tcW w:w="554" w:type="dxa"/>
            <w:vAlign w:val="center"/>
          </w:tcPr>
          <w:p w14:paraId="7E62CFBE"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31</w:t>
            </w:r>
          </w:p>
        </w:tc>
        <w:tc>
          <w:tcPr>
            <w:tcW w:w="2250" w:type="dxa"/>
            <w:vAlign w:val="center"/>
          </w:tcPr>
          <w:p w14:paraId="2FC8B78B"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γ-CoOOH nanosheet</w:t>
            </w:r>
          </w:p>
        </w:tc>
        <w:tc>
          <w:tcPr>
            <w:tcW w:w="1133" w:type="dxa"/>
            <w:vAlign w:val="center"/>
          </w:tcPr>
          <w:p w14:paraId="42360B5D"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2E5ECDA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06040B23"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0.15</w:t>
            </w:r>
          </w:p>
        </w:tc>
        <w:tc>
          <w:tcPr>
            <w:tcW w:w="667" w:type="dxa"/>
            <w:gridSpan w:val="3"/>
            <w:vAlign w:val="center"/>
          </w:tcPr>
          <w:p w14:paraId="642BE92C"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300</w:t>
            </w:r>
          </w:p>
        </w:tc>
        <w:tc>
          <w:tcPr>
            <w:tcW w:w="1080" w:type="dxa"/>
            <w:gridSpan w:val="3"/>
            <w:vAlign w:val="center"/>
          </w:tcPr>
          <w:p w14:paraId="039D2451"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38</w:t>
            </w:r>
          </w:p>
        </w:tc>
        <w:tc>
          <w:tcPr>
            <w:tcW w:w="270" w:type="dxa"/>
            <w:gridSpan w:val="3"/>
          </w:tcPr>
          <w:p w14:paraId="3E86D70C"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55F4B3DC"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w:t>
            </w:r>
          </w:p>
        </w:tc>
        <w:tc>
          <w:tcPr>
            <w:tcW w:w="814" w:type="dxa"/>
            <w:gridSpan w:val="3"/>
            <w:vAlign w:val="center"/>
          </w:tcPr>
          <w:p w14:paraId="27A4EA39" w14:textId="77777777" w:rsidR="00F35D51" w:rsidRPr="000B06A4" w:rsidRDefault="00F35D51" w:rsidP="00B05959">
            <w:pPr>
              <w:spacing w:line="276" w:lineRule="auto"/>
              <w:jc w:val="center"/>
              <w:rPr>
                <w:rFonts w:ascii="Times" w:hAnsi="Times"/>
                <w:sz w:val="20"/>
                <w:szCs w:val="20"/>
              </w:rPr>
            </w:pPr>
          </w:p>
        </w:tc>
        <w:tc>
          <w:tcPr>
            <w:tcW w:w="2766" w:type="dxa"/>
            <w:gridSpan w:val="4"/>
            <w:vAlign w:val="center"/>
          </w:tcPr>
          <w:p w14:paraId="7CBA4460" w14:textId="4649EB97"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Science, 2017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{"citationItems":[{"id":"ITEM-1","itemData":{"DOI":"10.1126/science.aad4998","ISBN":"1095-9203 (Electronic)\\r0036-8075 (Linking)","ISSN":"0036-8075","PMID":"28082532","abstract":"BACKGROUND: With a rising global popula-tion, increasing energy demands, and impend-ing climate change, major concerns have been raised over the security of our energy future. Developing sustainable, fossil-free pathways to produce fuels and chemicals of global impor-tance could play a major role in reducing carbon dioxide emissions while providing the feed-stocks needed to make the products we use on a daily basis. One prospective goal is to develop electrochemical conversion processes that can convert molecules in the atmosphere (e.g., water, carbon dioxide, and nitrogen) into higher-value products (e.g., hydrogen, hydrocarbons, oxygen-ates, and ammonia) by coupling to renewable energy. Electrocatalysts play a key role in these energy conversion technologies because they increase the rate, efficiency, and selectivity of the chemical transformations involved. Today's electrocatalysts, however, are inadequate. The grand challenge is to develop advanced elec-trocatalysts with the enhanced performance needed to enable widespread penetration of clean energy technologies. ADVANCES: Over the past decade, substantial progress has been made in understanding sev-eral key electrochemical transformations,","author":[{"dropping-particle":"","family":"Seh","given":"Zhi Wei","non-dropping-particle":"","parse-names":false,"suffix":""},{"dropping-particle":"","family":"Kibsgaard","given":"Jakob","non-dropping-particle":"","parse-names":false,"suffix":""},{"dropping-particle":"","family":"Dickens","given":"Colin F","non-dropping-particle":"","parse-names":false,"suffix":""},{"dropping-particle":"","family":"Chorkendorff","given":"Ib","non-dropping-particle":"","parse-names":false,"suffix":""},{"dropping-particle":"","family":"Nørskov","given":"Jens K","non-dropping-particle":"","parse-names":false,"suffix":""},{"dropping-particle":"","family":"Jaramillo","given":"Thomas F.","non-dropping-particle":"","parse-names":false,"suffix":""}],"container-title":"Science","id":"ITEM-1","issue":"6321","issued":{"date-parts":[["2017"]]},"page":"4998","title":"Combining theory and experiment in electrocatalysis: Insights into materials design","type":"article-journal","volume":"355"},"uris":["http://www.mendeley.com/documents/?uuid=11cd31bc-a328-4d75-a397-e1c8df7f23e0"]}],"mendeley":{"formattedCitation":"&lt;sup&gt;47&lt;/sup&gt;","plainTextFormattedCitation":"47","previouslyFormattedCitation":"&lt;sup&gt;46&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47</w:t>
            </w:r>
            <w:r w:rsidRPr="000B06A4">
              <w:rPr>
                <w:rFonts w:ascii="Times" w:hAnsi="Times"/>
                <w:sz w:val="20"/>
                <w:szCs w:val="20"/>
              </w:rPr>
              <w:fldChar w:fldCharType="end"/>
            </w:r>
          </w:p>
        </w:tc>
      </w:tr>
      <w:tr w:rsidR="00F35D51" w:rsidRPr="000B06A4" w14:paraId="66D71443" w14:textId="77777777" w:rsidTr="00B05959">
        <w:trPr>
          <w:trHeight w:val="432"/>
        </w:trPr>
        <w:tc>
          <w:tcPr>
            <w:tcW w:w="554" w:type="dxa"/>
            <w:vAlign w:val="center"/>
          </w:tcPr>
          <w:p w14:paraId="32EBCECE"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32</w:t>
            </w:r>
          </w:p>
        </w:tc>
        <w:tc>
          <w:tcPr>
            <w:tcW w:w="2250" w:type="dxa"/>
            <w:vAlign w:val="center"/>
          </w:tcPr>
          <w:p w14:paraId="1B697F9E"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NiFe-nanosheet</w:t>
            </w:r>
          </w:p>
        </w:tc>
        <w:tc>
          <w:tcPr>
            <w:tcW w:w="1133" w:type="dxa"/>
            <w:vAlign w:val="center"/>
          </w:tcPr>
          <w:p w14:paraId="39518E84"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08D527B0"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7460343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0.07</w:t>
            </w:r>
          </w:p>
        </w:tc>
        <w:tc>
          <w:tcPr>
            <w:tcW w:w="667" w:type="dxa"/>
            <w:gridSpan w:val="3"/>
            <w:vAlign w:val="center"/>
          </w:tcPr>
          <w:p w14:paraId="29C04BC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300</w:t>
            </w:r>
          </w:p>
        </w:tc>
        <w:tc>
          <w:tcPr>
            <w:tcW w:w="1080" w:type="dxa"/>
            <w:gridSpan w:val="3"/>
            <w:vAlign w:val="center"/>
          </w:tcPr>
          <w:p w14:paraId="51278F1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40</w:t>
            </w:r>
          </w:p>
        </w:tc>
        <w:tc>
          <w:tcPr>
            <w:tcW w:w="270" w:type="dxa"/>
            <w:gridSpan w:val="3"/>
          </w:tcPr>
          <w:p w14:paraId="75AA67D5"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255E52D6"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w:t>
            </w:r>
          </w:p>
        </w:tc>
        <w:tc>
          <w:tcPr>
            <w:tcW w:w="814" w:type="dxa"/>
            <w:gridSpan w:val="3"/>
            <w:vAlign w:val="center"/>
          </w:tcPr>
          <w:p w14:paraId="2E9CAA5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2766" w:type="dxa"/>
            <w:gridSpan w:val="4"/>
            <w:vAlign w:val="center"/>
          </w:tcPr>
          <w:p w14:paraId="4B3FBA33" w14:textId="23D8976D"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JACS, 2005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{"citationItems":[{"id":"ITEM-1","itemData":{"DOI":"10.1021/ja0523338","ISSN":"00027863","abstract":"We report on the controlled synthesis of single-crystal platelets of alpha- and beta-Co(OH)2 via homogeneous precipitation using hexamethylenetetramine as a hydrolysis agent. The alpha- and beta-Co(OH)2 hexagonal platelets of several micrometers in width and about 15 nm in thickness were reproducibly yielded in rather dilute CoCl2 solutions in the presence and absence of NaCl at 90 degrees C, respectively. The phase and size control of the products were achieved by varying both CoCl2 and NaCl concentrations. Polarized optical microscope observations revealed clear liquid crystallinity of colloidal suspensions of these high aspect-ratio platelets. The as-prepared alpha-Co(OH)2 containing interlayer chloride ions was intercalated with various inorganic or organic anions, keeping its high crystallinity and hexagonal platelike morphology.","author":[{"dropping-particle":"","family":"Liu","given":"Zhaoping","non-dropping-particle":"","parse-names":false,"suffix":""},{"dropping-particle":"","family":"Ma","given":"Renzhi","non-dropping-particle":"","parse-names":false,"suffix":""},{"dropping-particle":"","family":"Osada","given":"Minoru","non-dropping-particle":"","parse-names":false,"suffix":""},{"dropping-particle":"","family":"Takada","given":"Kazunori","non-dropping-particle":"","parse-names":false,"suffix":""},{"dropping-particle":"","family":"Sasaki","given":"Takayoshi","non-dropping-particle":"","parse-names":false,"suffix":""}],"container-title":"Journal of the American Chemical Society","id":"ITEM-1","issue":"40","issued":{"date-parts":[["2005"]]},"page":"13869-13874","title":"Selective and controlled synthesis of α- and β-cobalt hydroxides in highly developed hexagonal platelets","type":"article-journal","volume":"127"},"uris":["http://www.mendeley.com/documents/?uuid=429ffaca-200d-4d7a-8de3-e5ec9d9b0709"]}],"mendeley":{"formattedCitation":"&lt;sup&gt;48&lt;/sup&gt;","plainTextFormattedCitation":"48","previouslyFormattedCitation":"&lt;sup&gt;47&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48</w:t>
            </w:r>
            <w:r w:rsidRPr="000B06A4">
              <w:rPr>
                <w:rFonts w:ascii="Times" w:hAnsi="Times"/>
                <w:sz w:val="20"/>
                <w:szCs w:val="20"/>
              </w:rPr>
              <w:fldChar w:fldCharType="end"/>
            </w:r>
          </w:p>
        </w:tc>
      </w:tr>
      <w:tr w:rsidR="00F35D51" w:rsidRPr="000B06A4" w14:paraId="34BFAF3E" w14:textId="77777777" w:rsidTr="00B05959">
        <w:trPr>
          <w:trHeight w:val="432"/>
        </w:trPr>
        <w:tc>
          <w:tcPr>
            <w:tcW w:w="554" w:type="dxa"/>
            <w:vAlign w:val="center"/>
          </w:tcPr>
          <w:p w14:paraId="64313118"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33</w:t>
            </w:r>
          </w:p>
        </w:tc>
        <w:tc>
          <w:tcPr>
            <w:tcW w:w="2250" w:type="dxa"/>
            <w:vAlign w:val="center"/>
          </w:tcPr>
          <w:p w14:paraId="4E354EFE"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IrO</w:t>
            </w:r>
            <w:r w:rsidRPr="000B06A4">
              <w:rPr>
                <w:rFonts w:ascii="Times" w:hAnsi="Times"/>
                <w:sz w:val="20"/>
                <w:szCs w:val="20"/>
                <w:vertAlign w:val="subscript"/>
              </w:rPr>
              <w:t>2</w:t>
            </w:r>
          </w:p>
        </w:tc>
        <w:tc>
          <w:tcPr>
            <w:tcW w:w="1133" w:type="dxa"/>
            <w:vAlign w:val="center"/>
          </w:tcPr>
          <w:p w14:paraId="6E2447F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00EA3CA2"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3524BB3D"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0.250</w:t>
            </w:r>
          </w:p>
        </w:tc>
        <w:tc>
          <w:tcPr>
            <w:tcW w:w="667" w:type="dxa"/>
            <w:gridSpan w:val="3"/>
            <w:vAlign w:val="center"/>
          </w:tcPr>
          <w:p w14:paraId="5D2FE954"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300</w:t>
            </w:r>
          </w:p>
        </w:tc>
        <w:tc>
          <w:tcPr>
            <w:tcW w:w="1080" w:type="dxa"/>
            <w:gridSpan w:val="3"/>
            <w:vAlign w:val="center"/>
          </w:tcPr>
          <w:p w14:paraId="12171C83"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48</w:t>
            </w:r>
          </w:p>
        </w:tc>
        <w:tc>
          <w:tcPr>
            <w:tcW w:w="270" w:type="dxa"/>
            <w:gridSpan w:val="3"/>
          </w:tcPr>
          <w:p w14:paraId="1BAD996B"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6DE370D0"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w:t>
            </w:r>
          </w:p>
        </w:tc>
        <w:tc>
          <w:tcPr>
            <w:tcW w:w="814" w:type="dxa"/>
            <w:gridSpan w:val="3"/>
            <w:vAlign w:val="center"/>
          </w:tcPr>
          <w:p w14:paraId="496BDEB0"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2766" w:type="dxa"/>
            <w:gridSpan w:val="4"/>
            <w:vAlign w:val="center"/>
          </w:tcPr>
          <w:p w14:paraId="4A4ADAFB" w14:textId="455EE1F9"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Sus. Ener. &amp; Fuels,2017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10.1039/C7SE00337D","author":[{"dropping-particle":"","family":"Li","given":"Guangfu","non-dropping-particle":"","parse-names":false,"suffix":""},{"dropping-particle":"","family":"Anderson","given":"Lawrence","non-dropping-particle":"","parse-names":false,"suffix":""},{"dropping-particle":"","family":"Chen","given":"Yanan","non-dropping-particle":"","parse-names":false,"suffix":""}],"container-title":"Sustainable Energy &amp; Fuels","id":"ITEM-1","issued":{"date-parts":[["2017"]]},"note":"Nafion use: 32,36,37\nZeta potential\nBest paper to explain electrochemical setup\nIrO2 standard results\nBenchmarking","page":"237-251","publisher":"Royal Society of Chemistry","title":"New insights into evaluating catalyst activity and stability for oxygen evolution reactions in alkaline media †","type":"article-journal","volume":"2"},"uris":["http://www.mendeley.com/documents/?uuid=de1c0574-a404-4a20-bc24-bfa5ef47eb7f"]}],"mendeley":{"formattedCitation":"&lt;sup&gt;49&lt;/sup&gt;","plainTextFormattedCitation":"49","previouslyFormattedCitation":"&lt;sup&gt;48&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49</w:t>
            </w:r>
            <w:r w:rsidRPr="000B06A4">
              <w:rPr>
                <w:rFonts w:ascii="Times" w:hAnsi="Times"/>
                <w:sz w:val="20"/>
                <w:szCs w:val="20"/>
              </w:rPr>
              <w:fldChar w:fldCharType="end"/>
            </w:r>
          </w:p>
        </w:tc>
      </w:tr>
      <w:tr w:rsidR="00F35D51" w:rsidRPr="000B06A4" w14:paraId="7189AE95" w14:textId="77777777" w:rsidTr="00B05959">
        <w:trPr>
          <w:trHeight w:val="432"/>
        </w:trPr>
        <w:tc>
          <w:tcPr>
            <w:tcW w:w="554" w:type="dxa"/>
            <w:vAlign w:val="center"/>
          </w:tcPr>
          <w:p w14:paraId="38B2B21E"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34</w:t>
            </w:r>
          </w:p>
        </w:tc>
        <w:tc>
          <w:tcPr>
            <w:tcW w:w="2250" w:type="dxa"/>
            <w:vAlign w:val="center"/>
          </w:tcPr>
          <w:p w14:paraId="3A680583"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Ni</w:t>
            </w:r>
            <w:r w:rsidRPr="000B06A4">
              <w:rPr>
                <w:rFonts w:ascii="Times" w:hAnsi="Times"/>
                <w:sz w:val="20"/>
                <w:szCs w:val="20"/>
                <w:vertAlign w:val="subscript"/>
              </w:rPr>
              <w:t>0.75</w:t>
            </w:r>
            <w:r w:rsidRPr="000B06A4">
              <w:rPr>
                <w:rFonts w:ascii="Times" w:hAnsi="Times"/>
                <w:sz w:val="20"/>
                <w:szCs w:val="20"/>
              </w:rPr>
              <w:t>V</w:t>
            </w:r>
            <w:r w:rsidRPr="000B06A4">
              <w:rPr>
                <w:rFonts w:ascii="Times" w:hAnsi="Times"/>
                <w:sz w:val="20"/>
                <w:szCs w:val="20"/>
                <w:vertAlign w:val="subscript"/>
              </w:rPr>
              <w:t>0.25</w:t>
            </w:r>
            <w:r w:rsidRPr="000B06A4">
              <w:rPr>
                <w:rFonts w:ascii="Times" w:hAnsi="Times"/>
                <w:sz w:val="20"/>
                <w:szCs w:val="20"/>
              </w:rPr>
              <w:t>-LDH</w:t>
            </w:r>
          </w:p>
        </w:tc>
        <w:tc>
          <w:tcPr>
            <w:tcW w:w="1133" w:type="dxa"/>
            <w:vAlign w:val="center"/>
          </w:tcPr>
          <w:p w14:paraId="43A8398C"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27B48A3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NF</w:t>
            </w:r>
          </w:p>
        </w:tc>
        <w:tc>
          <w:tcPr>
            <w:tcW w:w="1170" w:type="dxa"/>
            <w:gridSpan w:val="3"/>
            <w:vAlign w:val="center"/>
          </w:tcPr>
          <w:p w14:paraId="542788C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0.25</w:t>
            </w:r>
          </w:p>
        </w:tc>
        <w:tc>
          <w:tcPr>
            <w:tcW w:w="667" w:type="dxa"/>
            <w:gridSpan w:val="3"/>
            <w:vAlign w:val="center"/>
          </w:tcPr>
          <w:p w14:paraId="0BB7B6A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300</w:t>
            </w:r>
          </w:p>
        </w:tc>
        <w:tc>
          <w:tcPr>
            <w:tcW w:w="1080" w:type="dxa"/>
            <w:gridSpan w:val="3"/>
            <w:vAlign w:val="center"/>
          </w:tcPr>
          <w:p w14:paraId="21E6F58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50</w:t>
            </w:r>
          </w:p>
        </w:tc>
        <w:tc>
          <w:tcPr>
            <w:tcW w:w="270" w:type="dxa"/>
            <w:gridSpan w:val="3"/>
          </w:tcPr>
          <w:p w14:paraId="3465A26B"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3A14B811"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CP @10 mA.cm</w:t>
            </w:r>
            <w:r w:rsidRPr="000B06A4">
              <w:rPr>
                <w:rFonts w:ascii="Times" w:hAnsi="Times"/>
                <w:sz w:val="20"/>
                <w:szCs w:val="20"/>
                <w:vertAlign w:val="superscript"/>
              </w:rPr>
              <w:t>-2</w:t>
            </w:r>
          </w:p>
        </w:tc>
        <w:tc>
          <w:tcPr>
            <w:tcW w:w="814" w:type="dxa"/>
            <w:gridSpan w:val="3"/>
            <w:vAlign w:val="center"/>
          </w:tcPr>
          <w:p w14:paraId="47E62BC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25</w:t>
            </w:r>
          </w:p>
        </w:tc>
        <w:tc>
          <w:tcPr>
            <w:tcW w:w="2766" w:type="dxa"/>
            <w:gridSpan w:val="4"/>
            <w:vAlign w:val="center"/>
          </w:tcPr>
          <w:p w14:paraId="642B708D" w14:textId="6AA64712"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Nat. Comm., 2016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{"citationItems":[{"id":"ITEM-1","itemData":{"DOI":"10.1038/ncomms11981","ISSN":"20411723","abstract":"Highly active and low-cost electrocatalysts for water oxidation are required due to the demands on sustainable solar fuels; however, developing highly efficient catalysts to meet industrial requirements remains a challenge. Herein, we report a monolayer of nickel-vanadium-layered double hydroxide that shows a current density of 27 mA cm - (57 mA cm - after ohmic-drop correction) at an overpotential of 350 mV for water oxidation. Such performance is comparable to those of the best-performing nickel-iron-layered double hydroxides for water oxidation in alkaline media. Mechanistic studies indicate that the nickel-vanadium-layered double hydroxides can provide high intrinsic catalytic activity, mainly due to enhanced conductivity, facile electron transfer and abundant active sites. This work may expand the scope of cost-effective electrocatalysts for water splitting.","author":[{"dropping-particle":"","family":"Fan","given":"Ke","non-dropping-particle":"","parse-names":false,"suffix":""},{"dropping-particle":"","family":"Chen","given":"Hong","non-dropping-particle":"","parse-names":false,"suffix":""},{"dropping-particle":"","family":"Ji","given":"Yongfei","non-dropping-particle":"","parse-names":false,"suffix":""},{"dropping-particle":"","family":"Huang","given":"Hui","non-dropping-particle":"","parse-names":false,"suffix":""},{"dropping-particle":"","family":"Claesson","given":"Per Martin","non-dropping-particle":"","parse-names":false,"suffix":""},{"dropping-particle":"","family":"Daniel","given":"Quentin","non-dropping-particle":"","parse-names":false,"suffix":""},{"dropping-particle":"","family":"Philippe","given":"Bertrand","non-dropping-particle":"","parse-names":false,"suffix":""},{"dropping-particle":"","family":"Rensmo","given":"Håkan","non-dropping-particle":"","parse-names":false,"suffix":""},{"dropping-particle":"","family":"Li","given":"Fusheng","non-dropping-particle":"","parse-names":false,"suffix":""},{"dropping-particle":"","family":"Luo","given":"Yi","non-dropping-particle":"","parse-names":false,"suffix":""},{"dropping-particle":"","family":"Sun","given":"Licheng","non-dropping-particle":"","parse-names":false,"suffix":""}],"container-title":"Nature Communications","id":"ITEM-1","issue":"May","issued":{"date-parts":[["2016"]]},"page":"1-9","title":"Nickel-vanadium monolayer double hydroxide for efficient electrochemical water oxidation","type":"article-journal","volume":"7"},"uris":["http://www.mendeley.com/documents/?uuid=0cb5145e-75b3-495c-bb5b-1ee8e15dd407"]}],"mendeley":{"formattedCitation":"&lt;sup&gt;50&lt;/sup&gt;","plainTextFormattedCitation":"50","previouslyFormattedCitation":"&lt;sup&gt;49&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50</w:t>
            </w:r>
            <w:r w:rsidRPr="000B06A4">
              <w:rPr>
                <w:rFonts w:ascii="Times" w:hAnsi="Times"/>
                <w:sz w:val="20"/>
                <w:szCs w:val="20"/>
              </w:rPr>
              <w:fldChar w:fldCharType="end"/>
            </w:r>
          </w:p>
        </w:tc>
      </w:tr>
      <w:tr w:rsidR="00F35D51" w:rsidRPr="000B06A4" w14:paraId="1F612E89" w14:textId="77777777" w:rsidTr="00B05959">
        <w:trPr>
          <w:trHeight w:val="432"/>
        </w:trPr>
        <w:tc>
          <w:tcPr>
            <w:tcW w:w="554" w:type="dxa"/>
            <w:vAlign w:val="center"/>
          </w:tcPr>
          <w:p w14:paraId="49FB7068"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35</w:t>
            </w:r>
          </w:p>
        </w:tc>
        <w:tc>
          <w:tcPr>
            <w:tcW w:w="2250" w:type="dxa"/>
            <w:vAlign w:val="center"/>
          </w:tcPr>
          <w:p w14:paraId="4E141D5F" w14:textId="77777777" w:rsidR="00F35D51" w:rsidRPr="000B06A4" w:rsidRDefault="00F35D51" w:rsidP="00B05959">
            <w:pPr>
              <w:spacing w:line="276" w:lineRule="auto"/>
              <w:rPr>
                <w:rFonts w:ascii="Times" w:hAnsi="Times"/>
                <w:sz w:val="20"/>
                <w:szCs w:val="20"/>
              </w:rPr>
            </w:pPr>
            <w:proofErr w:type="spellStart"/>
            <w:r w:rsidRPr="000B06A4">
              <w:rPr>
                <w:rFonts w:ascii="Times" w:hAnsi="Times"/>
                <w:sz w:val="20"/>
                <w:szCs w:val="20"/>
              </w:rPr>
              <w:t>FeCo</w:t>
            </w:r>
            <w:proofErr w:type="spellEnd"/>
            <w:r w:rsidRPr="000B06A4">
              <w:rPr>
                <w:rFonts w:ascii="Times" w:hAnsi="Times"/>
                <w:sz w:val="20"/>
                <w:szCs w:val="20"/>
              </w:rPr>
              <w:t>-ONS</w:t>
            </w:r>
          </w:p>
        </w:tc>
        <w:tc>
          <w:tcPr>
            <w:tcW w:w="1133" w:type="dxa"/>
            <w:vAlign w:val="center"/>
          </w:tcPr>
          <w:p w14:paraId="74B7AC4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0.1 M KOH</w:t>
            </w:r>
          </w:p>
        </w:tc>
        <w:tc>
          <w:tcPr>
            <w:tcW w:w="1260" w:type="dxa"/>
            <w:gridSpan w:val="3"/>
            <w:vAlign w:val="center"/>
          </w:tcPr>
          <w:p w14:paraId="455A5AF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3661ABB3"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0.36</w:t>
            </w:r>
          </w:p>
        </w:tc>
        <w:tc>
          <w:tcPr>
            <w:tcW w:w="667" w:type="dxa"/>
            <w:gridSpan w:val="3"/>
            <w:vAlign w:val="center"/>
          </w:tcPr>
          <w:p w14:paraId="5C04BB4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308</w:t>
            </w:r>
          </w:p>
        </w:tc>
        <w:tc>
          <w:tcPr>
            <w:tcW w:w="1080" w:type="dxa"/>
            <w:gridSpan w:val="3"/>
            <w:vAlign w:val="center"/>
          </w:tcPr>
          <w:p w14:paraId="3C9291E7"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36.8</w:t>
            </w:r>
          </w:p>
        </w:tc>
        <w:tc>
          <w:tcPr>
            <w:tcW w:w="270" w:type="dxa"/>
            <w:gridSpan w:val="3"/>
          </w:tcPr>
          <w:p w14:paraId="5DF41A57"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78A36A1F"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CA  j =</w:t>
            </w:r>
            <w:r w:rsidRPr="000B06A4">
              <w:rPr>
                <w:rFonts w:ascii="Times" w:hAnsi="Times"/>
                <w:sz w:val="20"/>
                <w:szCs w:val="20"/>
                <w:vertAlign w:val="superscript"/>
              </w:rPr>
              <w:t xml:space="preserve"> </w:t>
            </w:r>
            <w:r w:rsidRPr="000B06A4">
              <w:rPr>
                <w:rFonts w:ascii="Times" w:hAnsi="Times"/>
                <w:sz w:val="20"/>
                <w:szCs w:val="20"/>
              </w:rPr>
              <w:t>+11.2%</w:t>
            </w:r>
          </w:p>
        </w:tc>
        <w:tc>
          <w:tcPr>
            <w:tcW w:w="814" w:type="dxa"/>
            <w:gridSpan w:val="3"/>
            <w:vAlign w:val="center"/>
          </w:tcPr>
          <w:p w14:paraId="302B246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2.8</w:t>
            </w:r>
          </w:p>
        </w:tc>
        <w:tc>
          <w:tcPr>
            <w:tcW w:w="2766" w:type="dxa"/>
            <w:gridSpan w:val="4"/>
            <w:vAlign w:val="center"/>
          </w:tcPr>
          <w:p w14:paraId="021FF75C" w14:textId="53061644"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Adv. Mat., 2017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{"citationItems":[{"id":"ITEM-1","itemData":{"DOI":"10.1002/adma.201606793","ISSN":"15214095","abstract":"Electrochemical water splitting is a promising method for storing light/electrical energy in the form of H2 fuel; however, it is limited by the sluggish anodic oxygen evolution reaction (OER). To improve the accessibility of H2 production, it is necessary to develop an efficient OER catalyst with large surface area, abundant active sites, and good stability, through a low-cost fabrication route. Herein, a facile solution reduction method using NaBH4 as a reductant is developed to prepare iron-cobalt oxide nanosheets (FexCoy-ONSs) with a large specific surface area (up to 261.1 m2 g−1), ultrathin thickness (1.2 nm), and, importantly, abundant oxygen vacancies. The mass activity of Fe1Co1-ONS measured at an overpotential of 350 mV reaches up to 54.9 A g−1, while its Tafel slope is 36.8 mV dec−1; both of which are superior to those of commercial RuO2, crystalline Fe1Co1-ONP, and most reported OER catalysts. The excellent OER catalytic activity of Fe1Co1-ONS can be attributed to its specific structure, e.g., ultrathin nanosheets that could facilitate mass diffusion/transport of OH− ions and provide more active sites for OER catalysis, and oxygen vacancies that could improve electronic conductivity and facilitate adsorption of H2O onto nearby Co3+ sites.","author":[{"dropping-particle":"","family":"Zhuang","given":"Linzhou","non-dropping-particle":"","parse-names":false,"suffix":""},{"dropping-particle":"","family":"Ge","given":"Lei","non-dropping-particle":"","parse-names":false,"suffix":""},{"dropping-particle":"","family":"Yang","given":"Yisu","non-dropping-particle":"","parse-names":false,"suffix":""},{"dropping-particle":"","family":"Li","given":"Mengran","non-dropping-particle":"","parse-names":false,"suffix":""},{"dropping-particle":"","family":"Jia","given":"Yi","non-dropping-particle":"","parse-names":false,"suffix":""},{"dropping-particle":"","family":"Yao","given":"Xiangdong","non-dropping-particle":"","parse-names":false,"suffix":""},{"dropping-particle":"","family":"Zhu","given":"Zhonghua","non-dropping-particle":"","parse-names":false,"suffix":""}],"container-title":"Advanced Materials","id":"ITEM-1","issue":"17","issued":{"date-parts":[["2017"]]},"title":"Ultrathin Iron-Cobalt Oxide Nanosheets with Abundant Oxygen Vacancies for the Oxygen Evolution Reaction","type":"article-journal","volume":"29"},"uris":["http://www.mendeley.com/documents/?uuid=70bb603f-fff3-42ac-bd02-7065fd64f6e5"]}],"mendeley":{"formattedCitation":"&lt;sup&gt;51&lt;/sup&gt;","plainTextFormattedCitation":"51","previouslyFormattedCitation":"&lt;sup&gt;50&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51</w:t>
            </w:r>
            <w:r w:rsidRPr="000B06A4">
              <w:rPr>
                <w:rFonts w:ascii="Times" w:hAnsi="Times"/>
                <w:sz w:val="20"/>
                <w:szCs w:val="20"/>
              </w:rPr>
              <w:fldChar w:fldCharType="end"/>
            </w:r>
          </w:p>
        </w:tc>
      </w:tr>
      <w:tr w:rsidR="00F35D51" w:rsidRPr="000B06A4" w14:paraId="60D93908" w14:textId="77777777" w:rsidTr="00B05959">
        <w:trPr>
          <w:trHeight w:val="432"/>
        </w:trPr>
        <w:tc>
          <w:tcPr>
            <w:tcW w:w="554" w:type="dxa"/>
            <w:vAlign w:val="center"/>
          </w:tcPr>
          <w:p w14:paraId="6E42F464"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36</w:t>
            </w:r>
          </w:p>
        </w:tc>
        <w:tc>
          <w:tcPr>
            <w:tcW w:w="2250" w:type="dxa"/>
            <w:vAlign w:val="center"/>
          </w:tcPr>
          <w:p w14:paraId="19A6A122"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CoO-MoO</w:t>
            </w:r>
            <w:r w:rsidRPr="000B06A4">
              <w:rPr>
                <w:rFonts w:ascii="Times" w:hAnsi="Times"/>
                <w:sz w:val="20"/>
                <w:szCs w:val="20"/>
                <w:vertAlign w:val="subscript"/>
              </w:rPr>
              <w:t>2</w:t>
            </w:r>
          </w:p>
        </w:tc>
        <w:tc>
          <w:tcPr>
            <w:tcW w:w="1133" w:type="dxa"/>
            <w:vAlign w:val="center"/>
          </w:tcPr>
          <w:p w14:paraId="2880521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5DDB2EA6"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3C9989C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0.5</w:t>
            </w:r>
          </w:p>
        </w:tc>
        <w:tc>
          <w:tcPr>
            <w:tcW w:w="667" w:type="dxa"/>
            <w:gridSpan w:val="3"/>
            <w:vAlign w:val="center"/>
          </w:tcPr>
          <w:p w14:paraId="694720E2"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312</w:t>
            </w:r>
          </w:p>
        </w:tc>
        <w:tc>
          <w:tcPr>
            <w:tcW w:w="1080" w:type="dxa"/>
            <w:gridSpan w:val="3"/>
            <w:vAlign w:val="center"/>
          </w:tcPr>
          <w:p w14:paraId="68C56187"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70</w:t>
            </w:r>
          </w:p>
        </w:tc>
        <w:tc>
          <w:tcPr>
            <w:tcW w:w="270" w:type="dxa"/>
            <w:gridSpan w:val="3"/>
          </w:tcPr>
          <w:p w14:paraId="773B79AA"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3FB7781A" w14:textId="77777777" w:rsidR="00F35D51" w:rsidRPr="000B06A4" w:rsidRDefault="00F35D51" w:rsidP="00B05959">
            <w:pPr>
              <w:spacing w:line="276" w:lineRule="auto"/>
              <w:rPr>
                <w:rFonts w:ascii="Times" w:hAnsi="Times"/>
                <w:sz w:val="20"/>
                <w:szCs w:val="20"/>
                <w:vertAlign w:val="subscript"/>
              </w:rPr>
            </w:pPr>
            <w:r w:rsidRPr="000B06A4">
              <w:rPr>
                <w:rFonts w:ascii="Times" w:hAnsi="Times"/>
                <w:sz w:val="20"/>
                <w:szCs w:val="20"/>
              </w:rPr>
              <w:t>CP @10 mA.cm</w:t>
            </w:r>
            <w:r w:rsidRPr="000B06A4">
              <w:rPr>
                <w:rFonts w:ascii="Times" w:hAnsi="Times"/>
                <w:sz w:val="20"/>
                <w:szCs w:val="20"/>
                <w:vertAlign w:val="superscript"/>
              </w:rPr>
              <w:t>-2</w:t>
            </w:r>
          </w:p>
        </w:tc>
        <w:tc>
          <w:tcPr>
            <w:tcW w:w="814" w:type="dxa"/>
            <w:gridSpan w:val="3"/>
            <w:vAlign w:val="center"/>
          </w:tcPr>
          <w:p w14:paraId="7C87555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15</w:t>
            </w:r>
          </w:p>
        </w:tc>
        <w:tc>
          <w:tcPr>
            <w:tcW w:w="2766" w:type="dxa"/>
            <w:gridSpan w:val="4"/>
            <w:vAlign w:val="center"/>
          </w:tcPr>
          <w:p w14:paraId="6EE1A08D" w14:textId="18673962"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Adv. Fun. Mat., 2017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{"citationItems":[{"id":"ITEM-1","itemData":{"DOI":"10.1002/adfm.201702324","ISSN":"16163028","abstract":"© 2017 WILEY-VCH Verlag GmbH  &amp;  Co. KGaA, Weinheim Oxygen evolution reaction (OER) plays a key role in energy conversion and storage processes such as water splitting and carbon dioxide reduction. However, the sluggish kinetics caused by insufficient active surface and limited charge transfer hinder OER's wide applications. In this work, a novel self-templating strategy for the fabrication of composite CoO–MoO2nanocages with enhanced OER performance is proposed. By designing a nanocage structure and incorporating conductive MoO2to promote both mass and charge transfer, high OER activity (η = 312 mV at 10 mA cm−2) as well as good stability in the resulting CoO–MoO2composite nanostructure can be achieved. This versatile synthetic strategy can also be extended to other metals (such as W) to provide greater opportunities for the controlled fabrication of mixed metal oxide nanostructures for electrochemical applications.","author":[{"dropping-particle":"","family":"Lyu","given":"Fenglei","non-dropping-particle":"","parse-names":false,"suffix":""},{"dropping-particle":"","family":"Bai","given":"Yaocai","non-dropping-particle":"","parse-names":false,"suffix":""},{"dropping-particle":"","family":"Li","given":"Zhiwei","non-dropping-particle":"","parse-names":false,"suffix":""},{"dropping-particle":"","family":"Xu","given":"Wenjing","non-dropping-particle":"","parse-names":false,"suffix":""},{"dropping-particle":"","family":"Wang","given":"Qingfa","non-dropping-particle":"","parse-names":false,"suffix":""},{"dropping-particle":"","family":"Mao","given":"Jing","non-dropping-particle":"","parse-names":false,"suffix":""},{"dropping-particle":"","family":"Wang","given":"Li","non-dropping-particle":"","parse-names":false,"suffix":""},{"dropping-particle":"","family":"Zhang","given":"Xiangwen","non-dropping-particle":"","parse-names":false,"suffix":""},{"dropping-particle":"","family":"Yin","given":"Yadong","non-dropping-particle":"","parse-names":false,"suffix":""}],"container-title":"Advanced Functional Materials","id":"ITEM-1","issue":"34","issued":{"date-parts":[["2017"]]},"page":"2-9","title":"Self-Templated Fabrication of CoO–MoO 2 Nanocages for Enhanced Oxygen Evolution","type":"article-journal","volume":"27"},"uris":["http://www.mendeley.com/documents/?uuid=5365abc4-6640-499e-940a-fbf4188fba8b"]}],"mendeley":{"formattedCitation":"&lt;sup&gt;52&lt;/sup&gt;","plainTextFormattedCitation":"52","previouslyFormattedCitation":"&lt;sup&gt;51&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52</w:t>
            </w:r>
            <w:r w:rsidRPr="000B06A4">
              <w:rPr>
                <w:rFonts w:ascii="Times" w:hAnsi="Times"/>
                <w:sz w:val="20"/>
                <w:szCs w:val="20"/>
              </w:rPr>
              <w:fldChar w:fldCharType="end"/>
            </w:r>
          </w:p>
        </w:tc>
      </w:tr>
      <w:tr w:rsidR="00F35D51" w:rsidRPr="000B06A4" w14:paraId="6A2D1003" w14:textId="77777777" w:rsidTr="00B05959">
        <w:trPr>
          <w:trHeight w:val="432"/>
        </w:trPr>
        <w:tc>
          <w:tcPr>
            <w:tcW w:w="554" w:type="dxa"/>
            <w:vAlign w:val="center"/>
          </w:tcPr>
          <w:p w14:paraId="086DD2D5" w14:textId="77777777" w:rsidR="00F35D51" w:rsidRPr="000B06A4" w:rsidRDefault="00F35D51" w:rsidP="00B05959">
            <w:pPr>
              <w:jc w:val="center"/>
              <w:rPr>
                <w:rFonts w:ascii="Times" w:hAnsi="Times"/>
                <w:sz w:val="20"/>
                <w:szCs w:val="20"/>
              </w:rPr>
            </w:pPr>
            <w:r>
              <w:rPr>
                <w:rFonts w:ascii="Times" w:hAnsi="Times"/>
                <w:sz w:val="20"/>
                <w:szCs w:val="20"/>
              </w:rPr>
              <w:t>37</w:t>
            </w:r>
          </w:p>
        </w:tc>
        <w:tc>
          <w:tcPr>
            <w:tcW w:w="2250" w:type="dxa"/>
            <w:vAlign w:val="center"/>
          </w:tcPr>
          <w:p w14:paraId="783DF092" w14:textId="77777777" w:rsidR="00F35D51" w:rsidRPr="000B06A4" w:rsidRDefault="00F35D51" w:rsidP="00B05959">
            <w:pPr>
              <w:rPr>
                <w:rFonts w:ascii="Times" w:hAnsi="Times"/>
                <w:sz w:val="20"/>
                <w:szCs w:val="20"/>
              </w:rPr>
            </w:pPr>
            <w:proofErr w:type="spellStart"/>
            <w:r w:rsidRPr="000B06A4">
              <w:rPr>
                <w:rFonts w:ascii="Times" w:hAnsi="Times"/>
                <w:sz w:val="20"/>
                <w:szCs w:val="20"/>
              </w:rPr>
              <w:t>CoSn</w:t>
            </w:r>
            <w:proofErr w:type="spellEnd"/>
            <w:r w:rsidRPr="000B06A4">
              <w:rPr>
                <w:rFonts w:ascii="Times" w:hAnsi="Times"/>
                <w:sz w:val="20"/>
                <w:szCs w:val="20"/>
              </w:rPr>
              <w:t>(OH)</w:t>
            </w:r>
            <w:r w:rsidRPr="000B06A4">
              <w:rPr>
                <w:rFonts w:ascii="Times" w:hAnsi="Times"/>
                <w:sz w:val="20"/>
                <w:szCs w:val="20"/>
                <w:vertAlign w:val="subscript"/>
              </w:rPr>
              <w:t>6</w:t>
            </w:r>
          </w:p>
        </w:tc>
        <w:tc>
          <w:tcPr>
            <w:tcW w:w="1133" w:type="dxa"/>
            <w:vAlign w:val="center"/>
          </w:tcPr>
          <w:p w14:paraId="7B42FDE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5413AAA3"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118604B6"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0.094</w:t>
            </w:r>
          </w:p>
        </w:tc>
        <w:tc>
          <w:tcPr>
            <w:tcW w:w="667" w:type="dxa"/>
            <w:gridSpan w:val="3"/>
            <w:vAlign w:val="center"/>
          </w:tcPr>
          <w:p w14:paraId="5D6F7742"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313</w:t>
            </w:r>
          </w:p>
        </w:tc>
        <w:tc>
          <w:tcPr>
            <w:tcW w:w="1080" w:type="dxa"/>
            <w:gridSpan w:val="3"/>
            <w:vAlign w:val="center"/>
          </w:tcPr>
          <w:p w14:paraId="183F0136"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270" w:type="dxa"/>
            <w:gridSpan w:val="3"/>
          </w:tcPr>
          <w:p w14:paraId="441E2D1D"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54B589BA"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CA @313 mV</w:t>
            </w:r>
          </w:p>
        </w:tc>
        <w:tc>
          <w:tcPr>
            <w:tcW w:w="814" w:type="dxa"/>
            <w:gridSpan w:val="3"/>
            <w:vAlign w:val="center"/>
          </w:tcPr>
          <w:p w14:paraId="53717664"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11</w:t>
            </w:r>
          </w:p>
        </w:tc>
        <w:tc>
          <w:tcPr>
            <w:tcW w:w="2766" w:type="dxa"/>
            <w:gridSpan w:val="4"/>
            <w:vAlign w:val="center"/>
          </w:tcPr>
          <w:p w14:paraId="42D7C1A8" w14:textId="5DF92D33"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Ener. Env. Sci., 2016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{"citationItems":[{"id":"ITEM-1","itemData":{"DOI":"10.1039/c5ee03453a","ISSN":"17545706","abstract":" Large nanocubes of perovskite hydroxide CoSn(OH) 6 can be electrochemically etched to form hierarchical nanoporous CoO x with high catalytic activity for oxygen evolution reaction.  The development of efficient and Earth-abundant oxygen evolution reaction (OER) catalysts is essential for the generation of renewable hydrogen. The synthesis of nanoporous and high-surface-area catalysts remains challenging. Herein, we show that large nanocubes of perovskite hydroxide CoSn(OH) 6 can be electrochemically etched to form a highly active OER catalyst, reaching 10 mA cm −2 at an overpotential ( η ) of only 274 mV. The good catalytic activity was attributed to the formation of hierarchical nanoporous CoOOH particles, which were created by selective dissolution of Sn hydroxides. Crystal defects of oxygen vacancies appear to be important for the formation of active catalysts. ","author":[{"dropping-particle":"","family":"Song","given":"Fang","non-dropping-particle":"","parse-names":false,"suffix":""},{"dropping-particle":"","family":"Schenk","given":"Kurt","non-dropping-particle":"","parse-names":false,"suffix":""},{"dropping-particle":"","family":"Hu","given":"Xile","non-dropping-particle":"","parse-names":false,"suffix":""}],"container-title":"Energy and Environmental Science","id":"ITEM-1","issue":"2","issued":{"date-parts":[["2016"]]},"page":"473-477","publisher":"Royal Society of Chemistry","title":"A nanoporous oxygen evolution catalyst synthesized by selective electrochemical etching of perovskite hydroxide CoSn(OH)6 nanocubes","type":"article-journal","volume":"9"},"uris":["http://www.mendeley.com/documents/?uuid=3a6379d9-9b6e-4934-a2bb-668d39f22c86"]}],"mendeley":{"formattedCitation":"&lt;sup&gt;53&lt;/sup&gt;","plainTextFormattedCitation":"53","previouslyFormattedCitation":"&lt;sup&gt;52&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53</w:t>
            </w:r>
            <w:r w:rsidRPr="000B06A4">
              <w:rPr>
                <w:rFonts w:ascii="Times" w:hAnsi="Times"/>
                <w:sz w:val="20"/>
                <w:szCs w:val="20"/>
              </w:rPr>
              <w:fldChar w:fldCharType="end"/>
            </w:r>
          </w:p>
        </w:tc>
      </w:tr>
      <w:tr w:rsidR="00F35D51" w:rsidRPr="000B06A4" w14:paraId="0CFA83EC" w14:textId="77777777" w:rsidTr="00B05959">
        <w:trPr>
          <w:trHeight w:val="432"/>
        </w:trPr>
        <w:tc>
          <w:tcPr>
            <w:tcW w:w="554" w:type="dxa"/>
            <w:vAlign w:val="center"/>
          </w:tcPr>
          <w:p w14:paraId="5DCC35F4"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38</w:t>
            </w:r>
          </w:p>
        </w:tc>
        <w:tc>
          <w:tcPr>
            <w:tcW w:w="2250" w:type="dxa"/>
            <w:vAlign w:val="center"/>
          </w:tcPr>
          <w:p w14:paraId="7E3EBCEF"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NiCo-r</w:t>
            </w:r>
          </w:p>
        </w:tc>
        <w:tc>
          <w:tcPr>
            <w:tcW w:w="1133" w:type="dxa"/>
            <w:vAlign w:val="center"/>
          </w:tcPr>
          <w:p w14:paraId="47E32139"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6F7E600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5E378C1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0.285</w:t>
            </w:r>
          </w:p>
        </w:tc>
        <w:tc>
          <w:tcPr>
            <w:tcW w:w="667" w:type="dxa"/>
            <w:gridSpan w:val="3"/>
            <w:vAlign w:val="center"/>
          </w:tcPr>
          <w:p w14:paraId="14073A23"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320</w:t>
            </w:r>
          </w:p>
        </w:tc>
        <w:tc>
          <w:tcPr>
            <w:tcW w:w="1080" w:type="dxa"/>
            <w:gridSpan w:val="3"/>
            <w:vAlign w:val="center"/>
          </w:tcPr>
          <w:p w14:paraId="744DFF0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30</w:t>
            </w:r>
          </w:p>
        </w:tc>
        <w:tc>
          <w:tcPr>
            <w:tcW w:w="270" w:type="dxa"/>
            <w:gridSpan w:val="3"/>
          </w:tcPr>
          <w:p w14:paraId="6F3D4665"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1CC279F8"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CV 1000 cycles</w:t>
            </w:r>
          </w:p>
        </w:tc>
        <w:tc>
          <w:tcPr>
            <w:tcW w:w="814" w:type="dxa"/>
            <w:gridSpan w:val="3"/>
            <w:vAlign w:val="center"/>
          </w:tcPr>
          <w:p w14:paraId="6BCDDA82"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2766" w:type="dxa"/>
            <w:gridSpan w:val="4"/>
            <w:vAlign w:val="center"/>
          </w:tcPr>
          <w:p w14:paraId="5344AF00" w14:textId="05DF35FE" w:rsidR="00F35D51" w:rsidRPr="000B06A4" w:rsidRDefault="00F35D51" w:rsidP="00B05959">
            <w:pPr>
              <w:spacing w:line="276" w:lineRule="auto"/>
              <w:rPr>
                <w:rFonts w:ascii="Times" w:hAnsi="Times"/>
                <w:sz w:val="20"/>
                <w:szCs w:val="20"/>
              </w:rPr>
            </w:pPr>
            <w:proofErr w:type="spellStart"/>
            <w:r w:rsidRPr="000B06A4">
              <w:rPr>
                <w:rFonts w:ascii="Times" w:hAnsi="Times"/>
                <w:sz w:val="20"/>
                <w:szCs w:val="20"/>
              </w:rPr>
              <w:t>Angew</w:t>
            </w:r>
            <w:proofErr w:type="spellEnd"/>
            <w:r w:rsidRPr="000B06A4">
              <w:rPr>
                <w:rFonts w:ascii="Times" w:hAnsi="Times"/>
                <w:sz w:val="20"/>
                <w:szCs w:val="20"/>
              </w:rPr>
              <w:t xml:space="preserve">. Chem., 2015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{"citationItems":[{"id":"ITEM-1","itemData":{"DOI":"10.1002/anie.201502226","ISBN":"2060140013","ISSN":"15213773","abstract":"© 2015 WILEY-VCH Verlag GmbH  &amp;  Co. KGaA, Weinheim. Electrochemical water splitting is a clean technology for H2fuels, but greatly hindered by the slow kinetics of the oxygen evolution reaction (OER). Herein, a series of spinel-structured nanosheets with oxygen deficiencies and ultrathin thicknesses were designed to increase the reactivity and the number of active sites of the catalysts, which were then taken as an excellent platform for promoting the water oxidation process. Theoretical investigations showed that the oxygen vacancies confined in the ultrathin nanosheet could lower the adsorption energy of H2O, leading to increased OER efficiency. As expected, the NiCo2O4ultrathin nanosheets rich in oxygen vacancies exhibited a large current density of 285 mA cm-2at 0.8 V and a small overpotential of 0.32 V, both of which are superior to the corresponding values of bulk samples or samples with few oxygen deficiencies and even higher than those of most reported non-precious-metal catalysts. This work should provide a new pathway for the design of advanced OER catalysts.","author":[{"dropping-particle":"","family":"Bao","given":"Jian","non-dropping-particle":"","parse-names":false,"suffix":""},{"dropping-particle":"","family":"Zhang","given":"Xiaodong","non-dropping-particle":"","parse-names":false,"suffix":""},{"dropping-particle":"","family":"Fan","given":"Bo","non-dropping-particle":"","parse-names":false,"suffix":""},{"dropping-particle":"","family":"Zhang","given":"Jiajia","non-dropping-particle":"","parse-names":false,"suffix":""},{"dropping-particle":"","family":"Zhou","given":"Min","non-dropping-particle":"","parse-names":false,"suffix":""},{"dropping-particle":"","family":"Yang","given":"Wenlong","non-dropping-particle":"","parse-names":false,"suffix":""},{"dropping-particle":"","family":"Hu","given":"Xin","non-dropping-particle":"","parse-names":false,"suffix":""},{"dropping-particle":"","family":"Wang","given":"Hui","non-dropping-particle":"","parse-names":false,"suffix":""},{"dropping-particle":"","family":"Pan","given":"Bicai","non-dropping-particle":"","parse-names":false,"suffix":""},{"dropping-particle":"","family":"Xie","given":"Yi","non-dropping-particle":"","parse-names":false,"suffix":""}],"container-title":"Angewandte Chemie - International Edition","id":"ITEM-1","issue":"25","issued":{"date-parts":[["2015"]]},"page":"7399-7404","title":"Ultrathin Spinel-Structured Nanosheets Rich in Oxygen Deficiencies for Enhanced Electrocatalytic Water Oxidation","type":"article-journal","volume":"54"},"uris":["http://www.mendeley.com/documents/?uuid=8e9e1af3-ab5b-4027-842c-686c63286020"]}],"mendeley":{"formattedCitation":"&lt;sup&gt;54&lt;/sup&gt;","plainTextFormattedCitation":"54","previouslyFormattedCitation":"&lt;sup&gt;53&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54</w:t>
            </w:r>
            <w:r w:rsidRPr="000B06A4">
              <w:rPr>
                <w:rFonts w:ascii="Times" w:hAnsi="Times"/>
                <w:sz w:val="20"/>
                <w:szCs w:val="20"/>
              </w:rPr>
              <w:fldChar w:fldCharType="end"/>
            </w:r>
          </w:p>
        </w:tc>
      </w:tr>
      <w:tr w:rsidR="00F35D51" w:rsidRPr="000B06A4" w14:paraId="6105EA7A" w14:textId="77777777" w:rsidTr="00B05959">
        <w:trPr>
          <w:trHeight w:val="432"/>
        </w:trPr>
        <w:tc>
          <w:tcPr>
            <w:tcW w:w="554" w:type="dxa"/>
            <w:vAlign w:val="center"/>
          </w:tcPr>
          <w:p w14:paraId="01A39DF3"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39</w:t>
            </w:r>
          </w:p>
        </w:tc>
        <w:tc>
          <w:tcPr>
            <w:tcW w:w="2250" w:type="dxa"/>
            <w:vAlign w:val="center"/>
          </w:tcPr>
          <w:p w14:paraId="7CEF2301"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CoSe</w:t>
            </w:r>
            <w:r w:rsidRPr="000B06A4">
              <w:rPr>
                <w:rFonts w:ascii="Times" w:hAnsi="Times"/>
                <w:sz w:val="20"/>
                <w:szCs w:val="20"/>
                <w:vertAlign w:val="subscript"/>
              </w:rPr>
              <w:t xml:space="preserve">2 </w:t>
            </w:r>
            <w:r w:rsidRPr="000B06A4">
              <w:rPr>
                <w:rFonts w:ascii="Times" w:hAnsi="Times"/>
                <w:sz w:val="20"/>
                <w:szCs w:val="20"/>
              </w:rPr>
              <w:t>nanosheet</w:t>
            </w:r>
          </w:p>
        </w:tc>
        <w:tc>
          <w:tcPr>
            <w:tcW w:w="1133" w:type="dxa"/>
            <w:vAlign w:val="center"/>
          </w:tcPr>
          <w:p w14:paraId="7D1ED240"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0.1 M KOH</w:t>
            </w:r>
          </w:p>
        </w:tc>
        <w:tc>
          <w:tcPr>
            <w:tcW w:w="1260" w:type="dxa"/>
            <w:gridSpan w:val="3"/>
            <w:vAlign w:val="center"/>
          </w:tcPr>
          <w:p w14:paraId="2274D46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7705C763"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0.142</w:t>
            </w:r>
          </w:p>
        </w:tc>
        <w:tc>
          <w:tcPr>
            <w:tcW w:w="667" w:type="dxa"/>
            <w:gridSpan w:val="3"/>
            <w:vAlign w:val="center"/>
          </w:tcPr>
          <w:p w14:paraId="33BF1BD9"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320</w:t>
            </w:r>
          </w:p>
        </w:tc>
        <w:tc>
          <w:tcPr>
            <w:tcW w:w="1080" w:type="dxa"/>
            <w:gridSpan w:val="3"/>
            <w:vAlign w:val="center"/>
          </w:tcPr>
          <w:p w14:paraId="459C297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44</w:t>
            </w:r>
          </w:p>
        </w:tc>
        <w:tc>
          <w:tcPr>
            <w:tcW w:w="270" w:type="dxa"/>
            <w:gridSpan w:val="3"/>
          </w:tcPr>
          <w:p w14:paraId="12EFF867"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1B193B0C"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CV 1000 cycles</w:t>
            </w:r>
          </w:p>
        </w:tc>
        <w:tc>
          <w:tcPr>
            <w:tcW w:w="814" w:type="dxa"/>
            <w:gridSpan w:val="3"/>
            <w:vAlign w:val="center"/>
          </w:tcPr>
          <w:p w14:paraId="31FAF49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2766" w:type="dxa"/>
            <w:gridSpan w:val="4"/>
            <w:vAlign w:val="center"/>
          </w:tcPr>
          <w:p w14:paraId="0386AF76" w14:textId="14C0DC13"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JACS, 2014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{"citationItems":[{"id":"ITEM-1","itemData":{"DOI":"10.1021/ja5085157","ISSN":"15205126","abstract":"According to Yang Shao-Horn's principle, CoSe2 is a promising candidate as an efficient, affordable, and sustainable alternative electrocatalyst for the oxygen evolution reaction, owing to its well-suited electronic configuration of Co ions. However, the catalytic efficiency of pure CoSe2 is still far below what is expected, because of its poor active site exposure yield. Herein, we successfully overcome the disadvantage of insufficient active sites in bulk CoSe2 by reducing its thickness into the atomic scale rather than any additional modification (such as doping or hybridizing with graphene or noble metals). The positron annihilation spectrometry and XAFS spectra provide clear evidence that a large number of VCo</w:instrText>
            </w:r>
            <w:r w:rsidR="00125386">
              <w:rPr>
                <w:rFonts w:ascii="Times New Roman" w:hAnsi="Times New Roman" w:cs="Times New Roman"/>
                <w:sz w:val="20"/>
                <w:szCs w:val="20"/>
              </w:rPr>
              <w:instrText>″</w:instrText>
            </w:r>
            <w:r w:rsidR="00125386">
              <w:rPr>
                <w:rFonts w:ascii="Times" w:hAnsi="Times"/>
                <w:sz w:val="20"/>
                <w:szCs w:val="20"/>
              </w:rPr>
              <w:instrText xml:space="preserve"> vacancies formed in the ultrathin nanosheets. The first-principles calculations reveal that these VCo</w:instrText>
            </w:r>
            <w:r w:rsidR="00125386">
              <w:rPr>
                <w:rFonts w:ascii="Times New Roman" w:hAnsi="Times New Roman" w:cs="Times New Roman"/>
                <w:sz w:val="20"/>
                <w:szCs w:val="20"/>
              </w:rPr>
              <w:instrText>″</w:instrText>
            </w:r>
            <w:r w:rsidR="00125386">
              <w:rPr>
                <w:rFonts w:ascii="Times" w:hAnsi="Times"/>
                <w:sz w:val="20"/>
                <w:szCs w:val="20"/>
              </w:rPr>
              <w:instrText xml:space="preserve"> vacancies can serve as active sites to efficiently catalyze the oxygen evolution reaction, manifesting an OER overpotential as low as 0.32 V at 10 mA cm(-2) in pH 13 medium, which is superior to the values for its bulk counterparts as well as those for the most reported Co-based electrocatalysts. Considering the outstanding performance of the simple, unmodified ultrathin CoSe2 nanosheets as the only catalyst, further improvement of the catalytic activity is expected when various strategies of doping or hybridizing are used. These results not only demonstrate the potential of a notable, affordable, and earth-abundant water oxidation electrocatalyst based on ultrathin CoSe2 nanosheets but also open up a promising avenue into the exploration of excellent active and durable catalysts toward replacing noble metals for oxygen electrocatalysis.","author":[{"dropping-particle":"","family":"Liu","given":"Youwen","non-dropping-particle":"","parse-names":false,"suffix":""},{"dropping-particle":"","family":"Cheng","given":"Hao","non-dropping-particle":"","parse-names":false,"suffix":""},{"dropping-particle":"","family":"Lyu","given":"Mengjie","non-dropping-particle":"","parse-names":false,"suffix":""},{"dropping-particle":"","family":"Fan","given":"Shaojuan","non-dropping-particle":"","parse-names":false,"suffix":""},{"dropping-particle":"","family":"Liu","given":"Qinghua","non-dropping-particle":"","parse-names":false,"suffix":""},{"dropping-particle":"","family":"Zhang","given":"Wenshuai","non-dropping-particle":"","parse-names":false,"suffix":""},{"dropping-particle":"","family":"Zhi","given":"Yuduo","non-dropping-particle":"","parse-names":false,"suffix":""},{"dropping-particle":"","family":"Wang","given":"Chengming","non-dropping-particle":"","parse-names":false,"suffix":""},{"dropping-particle":"","family":"Xiao","given":"Chong","non-dropping-particle":"","parse-names":false,"suffix":""},{"dropping-particle":"","family":"Wei","given":"Shiqiang","non-dropping-particle":"","parse-names":false,"suffix":""},{"dropping-particle":"","family":"Ye","given":"Bangjiao","non-dropping-particle":"","parse-names":false,"suffix":""},{"dropping-particle":"","family":"Xie","given":"Yi","non-dropping-particle":"","parse-names":false,"suffix":""}],"container-title":"Journal of the American Chemical Society","id":"ITEM-1","issue":"44","issued":{"date-parts":[["2014"]]},"page":"15670-15675","title":"Low overpotential in vacancy-rich ultrathin CoSe2 nanosheets for water oxidation","type":"article-journal","volume":"136"},"uris":["http://www.mendeley.com/documents/?uuid=d733e770-44a4-49de-a0d9-bc1c7c8b5743"]}],"mendeley":{"formattedCitation":"&lt;sup&gt;55&lt;/sup&gt;","plainTextFormattedCitation":"55","previouslyFormattedCitation":"&lt;sup&gt;54&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55</w:t>
            </w:r>
            <w:r w:rsidRPr="000B06A4">
              <w:rPr>
                <w:rFonts w:ascii="Times" w:hAnsi="Times"/>
                <w:sz w:val="20"/>
                <w:szCs w:val="20"/>
              </w:rPr>
              <w:fldChar w:fldCharType="end"/>
            </w:r>
          </w:p>
        </w:tc>
      </w:tr>
      <w:tr w:rsidR="00F35D51" w:rsidRPr="000B06A4" w14:paraId="73A4173F" w14:textId="77777777" w:rsidTr="00B05959">
        <w:trPr>
          <w:trHeight w:val="432"/>
        </w:trPr>
        <w:tc>
          <w:tcPr>
            <w:tcW w:w="554" w:type="dxa"/>
            <w:vAlign w:val="center"/>
          </w:tcPr>
          <w:p w14:paraId="3B013565"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40</w:t>
            </w:r>
          </w:p>
        </w:tc>
        <w:tc>
          <w:tcPr>
            <w:tcW w:w="2250" w:type="dxa"/>
            <w:vAlign w:val="center"/>
          </w:tcPr>
          <w:p w14:paraId="386A2CD2"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Fe</w:t>
            </w:r>
            <w:r w:rsidRPr="000B06A4">
              <w:rPr>
                <w:rFonts w:ascii="Times" w:hAnsi="Times"/>
                <w:sz w:val="20"/>
                <w:szCs w:val="20"/>
                <w:vertAlign w:val="subscript"/>
              </w:rPr>
              <w:t>3</w:t>
            </w:r>
            <w:r w:rsidRPr="000B06A4">
              <w:rPr>
                <w:rFonts w:ascii="Times" w:hAnsi="Times"/>
                <w:sz w:val="20"/>
                <w:szCs w:val="20"/>
              </w:rPr>
              <w:t>O</w:t>
            </w:r>
            <w:r w:rsidRPr="000B06A4">
              <w:rPr>
                <w:rFonts w:ascii="Times" w:hAnsi="Times"/>
                <w:sz w:val="20"/>
                <w:szCs w:val="20"/>
                <w:vertAlign w:val="subscript"/>
              </w:rPr>
              <w:t>4</w:t>
            </w:r>
            <w:r w:rsidRPr="000B06A4">
              <w:rPr>
                <w:rFonts w:ascii="Times" w:hAnsi="Times"/>
                <w:sz w:val="20"/>
                <w:szCs w:val="20"/>
              </w:rPr>
              <w:t>@Co</w:t>
            </w:r>
            <w:r w:rsidRPr="000B06A4">
              <w:rPr>
                <w:rFonts w:ascii="Times" w:hAnsi="Times"/>
                <w:sz w:val="20"/>
                <w:szCs w:val="20"/>
                <w:vertAlign w:val="subscript"/>
              </w:rPr>
              <w:t>9</w:t>
            </w:r>
            <w:r w:rsidRPr="000B06A4">
              <w:rPr>
                <w:rFonts w:ascii="Times" w:hAnsi="Times"/>
                <w:sz w:val="20"/>
                <w:szCs w:val="20"/>
              </w:rPr>
              <w:t>S</w:t>
            </w:r>
            <w:r w:rsidRPr="000B06A4">
              <w:rPr>
                <w:rFonts w:ascii="Times" w:hAnsi="Times"/>
                <w:sz w:val="20"/>
                <w:szCs w:val="20"/>
                <w:vertAlign w:val="subscript"/>
              </w:rPr>
              <w:t>8</w:t>
            </w:r>
            <w:r w:rsidRPr="000B06A4">
              <w:rPr>
                <w:rFonts w:ascii="Times" w:hAnsi="Times"/>
                <w:sz w:val="20"/>
                <w:szCs w:val="20"/>
              </w:rPr>
              <w:t>/rGO-2</w:t>
            </w:r>
          </w:p>
        </w:tc>
        <w:tc>
          <w:tcPr>
            <w:tcW w:w="1133" w:type="dxa"/>
            <w:vAlign w:val="center"/>
          </w:tcPr>
          <w:p w14:paraId="5C4658E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11CE070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27F0D20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0.25</w:t>
            </w:r>
          </w:p>
        </w:tc>
        <w:tc>
          <w:tcPr>
            <w:tcW w:w="667" w:type="dxa"/>
            <w:gridSpan w:val="3"/>
            <w:vAlign w:val="center"/>
          </w:tcPr>
          <w:p w14:paraId="5CB6A771"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320</w:t>
            </w:r>
          </w:p>
        </w:tc>
        <w:tc>
          <w:tcPr>
            <w:tcW w:w="1080" w:type="dxa"/>
            <w:gridSpan w:val="3"/>
            <w:vAlign w:val="center"/>
          </w:tcPr>
          <w:p w14:paraId="664283C6"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54.5</w:t>
            </w:r>
          </w:p>
        </w:tc>
        <w:tc>
          <w:tcPr>
            <w:tcW w:w="270" w:type="dxa"/>
            <w:gridSpan w:val="3"/>
          </w:tcPr>
          <w:p w14:paraId="20C62816"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6CFC8FB5"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CA @320 mV</w:t>
            </w:r>
            <w:r w:rsidRPr="000B06A4">
              <w:rPr>
                <w:rFonts w:ascii="Times" w:hAnsi="Times"/>
                <w:sz w:val="20"/>
                <w:szCs w:val="20"/>
              </w:rPr>
              <w:br/>
              <w:t>j =</w:t>
            </w:r>
            <w:r w:rsidRPr="000B06A4">
              <w:rPr>
                <w:rFonts w:ascii="Times" w:hAnsi="Times"/>
                <w:sz w:val="20"/>
                <w:szCs w:val="20"/>
                <w:vertAlign w:val="superscript"/>
              </w:rPr>
              <w:t xml:space="preserve"> </w:t>
            </w:r>
            <w:r w:rsidRPr="000B06A4">
              <w:rPr>
                <w:rFonts w:ascii="Times" w:hAnsi="Times"/>
                <w:sz w:val="20"/>
                <w:szCs w:val="20"/>
              </w:rPr>
              <w:t>-12%</w:t>
            </w:r>
          </w:p>
        </w:tc>
        <w:tc>
          <w:tcPr>
            <w:tcW w:w="814" w:type="dxa"/>
            <w:gridSpan w:val="3"/>
            <w:vAlign w:val="center"/>
          </w:tcPr>
          <w:p w14:paraId="30220A0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6</w:t>
            </w:r>
          </w:p>
        </w:tc>
        <w:tc>
          <w:tcPr>
            <w:tcW w:w="2766" w:type="dxa"/>
            <w:gridSpan w:val="4"/>
            <w:vAlign w:val="center"/>
          </w:tcPr>
          <w:p w14:paraId="24E80211" w14:textId="04B01A74"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Adv. Fun. Mat., 2016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{"citationItems":[{"id":"ITEM-1","itemData":{"DOI":"10.1002/adfm.201600674","ISSN":"16163028","abstract":"Cobalt sulfide materials have attracted enormous interest as low-cost alternatives to noble-metal catalysts capable of catalyzing both oxygen reduction and oxygen evolution reactions. Although recent advances have been achieved in the development of various cobalt sulfide composites to expedite their oxygen reduction reaction properties, to improve their poor oxygen evolution reaction (OER) activity is still challenging, which significantly limits their utilization. Here, the synthesis of Fe3O4-decorated Co9S8 nanoparticles in situ grown on a reduced graphene oxide surface (Fe3O4@Co9S8/rGO) and the use of it as a remarkably active and stable OER catalyst are first reported. Loading of Fe3O4 on cobalt sulfide induces the formation of pure phase Co9S8 and highly improves the catalytic activity for OER. The composite exhibits superior OER performance with a small overpotential of 0.34 V at the current density of 10 mA cm(-2) and high stability. It is believed that the electron transfer trend from Fe species to Co9S8 promotes the breaking of the Co-O bond in the stable configuration (Co-O-O superoxo group), attributing to the excellent catalytic activity. This development offers a new and effective cobalt sulfide-based oxygen evolution electrocatalysts to replace the expensive commercial catalysts such as RuO2 or IrO2.","author":[{"dropping-particle":"","family":"Yang","given":"Jing","non-dropping-particle":"","parse-names":false,"suffix":""},{"dropping-particle":"","family":"Zhu","given":"Guoxing","non-dropping-particle":"","parse-names":false,"suffix":""},{"dropping-particle":"","family":"Liu","given":"Yuanjun","non-dropping-particle":"","parse-names":false,"suffix":""},{"dropping-particle":"","family":"Xia","given":"Jiexiang","non-dropping-particle":"","parse-names":false,"suffix":""},{"dropping-particle":"","family":"Ji","given":"Zhenyuan","non-dropping-particle":"","parse-names":false,"suffix":""},{"dropping-particle":"","family":"Shen","given":"Xiaoping","non-dropping-particle":"","parse-names":false,"suffix":""},{"dropping-particle":"","family":"Wu","given":"Shikui","non-dropping-particle":"","parse-names":false,"suffix":""}],"container-title":"Advanced Functional Materials","id":"ITEM-1","issue":"26","issued":{"date-parts":[["2016"]]},"page":"4712-4721","title":"Fe3O4-Decorated Co9S8 Nanoparticles In Situ Grown on Reduced Graphene Oxide: A New and Efficient Electrocatalyst for Oxygen Evolution Reaction","type":"article-journal","volume":"26"},"uris":["http://www.mendeley.com/documents/?uuid=1b8a396b-4e44-434c-b32b-d65c21addff4"]}],"mendeley":{"formattedCitation":"&lt;sup&gt;56&lt;/sup&gt;","plainTextFormattedCitation":"56","previouslyFormattedCitation":"&lt;sup&gt;55&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56</w:t>
            </w:r>
            <w:r w:rsidRPr="000B06A4">
              <w:rPr>
                <w:rFonts w:ascii="Times" w:hAnsi="Times"/>
                <w:sz w:val="20"/>
                <w:szCs w:val="20"/>
              </w:rPr>
              <w:fldChar w:fldCharType="end"/>
            </w:r>
            <w:r w:rsidRPr="000B06A4">
              <w:rPr>
                <w:rFonts w:ascii="Times" w:hAnsi="Times"/>
                <w:sz w:val="20"/>
                <w:szCs w:val="20"/>
              </w:rPr>
              <w:t xml:space="preserve"> </w:t>
            </w:r>
          </w:p>
        </w:tc>
      </w:tr>
      <w:tr w:rsidR="00F35D51" w:rsidRPr="000B06A4" w14:paraId="64B97B03" w14:textId="77777777" w:rsidTr="00B05959">
        <w:trPr>
          <w:trHeight w:val="432"/>
        </w:trPr>
        <w:tc>
          <w:tcPr>
            <w:tcW w:w="554" w:type="dxa"/>
            <w:vAlign w:val="center"/>
          </w:tcPr>
          <w:p w14:paraId="791CBA41"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41</w:t>
            </w:r>
          </w:p>
        </w:tc>
        <w:tc>
          <w:tcPr>
            <w:tcW w:w="2250" w:type="dxa"/>
            <w:vAlign w:val="center"/>
          </w:tcPr>
          <w:p w14:paraId="5E223EE1"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Ag-CoSe</w:t>
            </w:r>
            <w:r w:rsidRPr="000B06A4">
              <w:rPr>
                <w:rFonts w:ascii="Times" w:hAnsi="Times"/>
                <w:sz w:val="20"/>
                <w:szCs w:val="20"/>
                <w:vertAlign w:val="subscript"/>
              </w:rPr>
              <w:t>2</w:t>
            </w:r>
            <w:r w:rsidRPr="000B06A4">
              <w:rPr>
                <w:rFonts w:ascii="Times" w:hAnsi="Times"/>
                <w:sz w:val="20"/>
                <w:szCs w:val="20"/>
              </w:rPr>
              <w:t xml:space="preserve"> nanobelts</w:t>
            </w:r>
          </w:p>
        </w:tc>
        <w:tc>
          <w:tcPr>
            <w:tcW w:w="1133" w:type="dxa"/>
            <w:vAlign w:val="center"/>
          </w:tcPr>
          <w:p w14:paraId="62D333E6"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0.1 M KOH</w:t>
            </w:r>
          </w:p>
        </w:tc>
        <w:tc>
          <w:tcPr>
            <w:tcW w:w="1260" w:type="dxa"/>
            <w:gridSpan w:val="3"/>
            <w:vAlign w:val="center"/>
          </w:tcPr>
          <w:p w14:paraId="5B7AE98D"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155EAEC0"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w:t>
            </w:r>
          </w:p>
        </w:tc>
        <w:tc>
          <w:tcPr>
            <w:tcW w:w="667" w:type="dxa"/>
            <w:gridSpan w:val="3"/>
            <w:vAlign w:val="center"/>
          </w:tcPr>
          <w:p w14:paraId="6C62BE22"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320</w:t>
            </w:r>
          </w:p>
        </w:tc>
        <w:tc>
          <w:tcPr>
            <w:tcW w:w="1080" w:type="dxa"/>
            <w:gridSpan w:val="3"/>
            <w:vAlign w:val="center"/>
          </w:tcPr>
          <w:p w14:paraId="23251C02"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56</w:t>
            </w:r>
          </w:p>
        </w:tc>
        <w:tc>
          <w:tcPr>
            <w:tcW w:w="270" w:type="dxa"/>
            <w:gridSpan w:val="3"/>
          </w:tcPr>
          <w:p w14:paraId="61B043BA"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42232FF4"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CV 1000 cycles</w:t>
            </w:r>
          </w:p>
        </w:tc>
        <w:tc>
          <w:tcPr>
            <w:tcW w:w="814" w:type="dxa"/>
            <w:gridSpan w:val="3"/>
            <w:vAlign w:val="center"/>
          </w:tcPr>
          <w:p w14:paraId="5AF3875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2766" w:type="dxa"/>
            <w:gridSpan w:val="4"/>
            <w:vAlign w:val="center"/>
          </w:tcPr>
          <w:p w14:paraId="4B9D1849" w14:textId="767C27A9" w:rsidR="00F35D51" w:rsidRPr="000B06A4" w:rsidRDefault="00F35D51" w:rsidP="00B05959">
            <w:pPr>
              <w:spacing w:line="276" w:lineRule="auto"/>
              <w:rPr>
                <w:rFonts w:ascii="Times" w:hAnsi="Times"/>
                <w:sz w:val="20"/>
                <w:szCs w:val="20"/>
              </w:rPr>
            </w:pPr>
            <w:proofErr w:type="spellStart"/>
            <w:r w:rsidRPr="000B06A4">
              <w:rPr>
                <w:rFonts w:ascii="Times" w:hAnsi="Times"/>
                <w:sz w:val="20"/>
                <w:szCs w:val="20"/>
              </w:rPr>
              <w:t>Angew</w:t>
            </w:r>
            <w:proofErr w:type="spellEnd"/>
            <w:r w:rsidRPr="000B06A4">
              <w:rPr>
                <w:rFonts w:ascii="Times" w:hAnsi="Times"/>
                <w:sz w:val="20"/>
                <w:szCs w:val="20"/>
              </w:rPr>
              <w:t xml:space="preserve">. Chem., 2017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{"citationItems":[{"id":"ITEM-1","itemData":{"DOI":"10.1002/anie.201609080","ISSN":"15213773","abstract":"© 2017 Wiley-VCH Verlag GmbH  &amp;  Co. KGaA, Weinheim Precisely engineering the electrical conductivity represents a promising strategy to design efficient catalysts towards oxygen evolution reaction (OER). Here, we demonstrate a versatile partial cation exchange method to fabricate lamellar Ag-CoSe2nanobelts with controllable conductivity. The electrical conductivity of the materials was significantly enhanced by the addition of Ag+cations of less than 1.0 %. Moreover, such a trace amount of Ag induced a negligible loss of active sites which was compensated through the effective generation of active sites as shown by the excellent conductivity. Both the enhanced conductivity and the retained active sites contributed to the remarkable electrocatalytic performance of the Ag-CoSe2nanobelts. Relative to the CoSe2nanobelts, the as-prepared Ag-CoSe2nanobelts exhibited a higher current density and a lower Tafel slope towards OER. This strategy represents a rational design of efficient electrocatalysts through finely tuning their electrical conductivities.","author":[{"dropping-particle":"","family":"Zhao","given":"Xu","non-dropping-particle":"","parse-names":false,"suffix":""},{"dropping-particle":"","family":"Zhang","given":"Hantao","non-dropping-particle":"","parse-names":false,"suffix":""},{"dropping-particle":"","family":"Yan","given":"Yu","non-dropping-particle":"","parse-names":false,"suffix":""},{"dropping-particle":"","family":"Cao","given":"Jinhua","non-dropping-particle":"","parse-names":false,"suffix":""},{"dropping-particle":"","family":"Li","given":"Xingqi","non-dropping-particle":"","parse-names":false,"suffix":""},{"dropping-particle":"","family":"Zhou","given":"Shiming","non-dropping-particle":"","parse-names":false,"suffix":""},{"dropping-particle":"","family":"Peng","given":"Zhenmeng","non-dropping-particle":"","parse-names":false,"suffix":""},{"dropping-particle":"","family":"Zeng","given":"Jie","non-dropping-particle":"","parse-names":false,"suffix":""}],"container-title":"Angewandte Chemie - International Edition","id":"ITEM-1","issue":"1","issued":{"date-parts":[["2017"]]},"page":"328-332","title":"Engineering the Electrical Conductivity of Lamellar Silver-Doped Cobalt(II) Selenide Nanobelts for Enhanced Oxygen Evolution","type":"article-journal","volume":"56"},"uris":["http://www.mendeley.com/documents/?uuid=698a1511-7544-4055-b235-6576fa98b2c5"]}],"mendeley":{"formattedCitation":"&lt;sup&gt;57&lt;/sup&gt;","plainTextFormattedCitation":"57","previouslyFormattedCitation":"&lt;sup&gt;56&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57</w:t>
            </w:r>
            <w:r w:rsidRPr="000B06A4">
              <w:rPr>
                <w:rFonts w:ascii="Times" w:hAnsi="Times"/>
                <w:sz w:val="20"/>
                <w:szCs w:val="20"/>
              </w:rPr>
              <w:fldChar w:fldCharType="end"/>
            </w:r>
          </w:p>
        </w:tc>
      </w:tr>
      <w:tr w:rsidR="00F35D51" w:rsidRPr="000B06A4" w14:paraId="3E92B01F" w14:textId="77777777" w:rsidTr="00B05959">
        <w:trPr>
          <w:trHeight w:val="432"/>
        </w:trPr>
        <w:tc>
          <w:tcPr>
            <w:tcW w:w="554" w:type="dxa"/>
            <w:vAlign w:val="center"/>
          </w:tcPr>
          <w:p w14:paraId="3AB121C5"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42</w:t>
            </w:r>
          </w:p>
        </w:tc>
        <w:tc>
          <w:tcPr>
            <w:tcW w:w="2250" w:type="dxa"/>
            <w:vAlign w:val="center"/>
          </w:tcPr>
          <w:p w14:paraId="386949D3" w14:textId="77777777" w:rsidR="00F35D51" w:rsidRPr="000B06A4" w:rsidRDefault="00F35D51" w:rsidP="00B05959">
            <w:pPr>
              <w:spacing w:line="276" w:lineRule="auto"/>
              <w:rPr>
                <w:rFonts w:ascii="Times" w:hAnsi="Times"/>
                <w:sz w:val="20"/>
                <w:szCs w:val="20"/>
              </w:rPr>
            </w:pPr>
            <w:proofErr w:type="spellStart"/>
            <w:r w:rsidRPr="000B06A4">
              <w:rPr>
                <w:rFonts w:ascii="Times" w:hAnsi="Times"/>
                <w:sz w:val="20"/>
                <w:szCs w:val="20"/>
              </w:rPr>
              <w:t>NiV</w:t>
            </w:r>
            <w:proofErr w:type="spellEnd"/>
            <w:r w:rsidRPr="000B06A4">
              <w:rPr>
                <w:rFonts w:ascii="Times" w:hAnsi="Times"/>
                <w:sz w:val="20"/>
                <w:szCs w:val="20"/>
              </w:rPr>
              <w:t>-LDH</w:t>
            </w:r>
          </w:p>
        </w:tc>
        <w:tc>
          <w:tcPr>
            <w:tcW w:w="1133" w:type="dxa"/>
            <w:vAlign w:val="center"/>
          </w:tcPr>
          <w:p w14:paraId="3A41F387"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0F284DA6"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18379759"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0.143</w:t>
            </w:r>
          </w:p>
        </w:tc>
        <w:tc>
          <w:tcPr>
            <w:tcW w:w="667" w:type="dxa"/>
            <w:gridSpan w:val="3"/>
            <w:vAlign w:val="center"/>
          </w:tcPr>
          <w:p w14:paraId="27B5F41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320</w:t>
            </w:r>
          </w:p>
        </w:tc>
        <w:tc>
          <w:tcPr>
            <w:tcW w:w="1080" w:type="dxa"/>
            <w:gridSpan w:val="3"/>
            <w:vAlign w:val="center"/>
          </w:tcPr>
          <w:p w14:paraId="0A62107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270" w:type="dxa"/>
            <w:gridSpan w:val="3"/>
          </w:tcPr>
          <w:p w14:paraId="6F1F6818"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22E95502"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w:t>
            </w:r>
          </w:p>
        </w:tc>
        <w:tc>
          <w:tcPr>
            <w:tcW w:w="814" w:type="dxa"/>
            <w:gridSpan w:val="3"/>
            <w:vAlign w:val="center"/>
          </w:tcPr>
          <w:p w14:paraId="6C6F03F7"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2766" w:type="dxa"/>
            <w:gridSpan w:val="4"/>
            <w:vAlign w:val="center"/>
          </w:tcPr>
          <w:p w14:paraId="79F81D8D" w14:textId="153AE147"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Nat. Comm., 2016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{"citationItems":[{"id":"ITEM-1","itemData":{"DOI":"10.1038/ncomms11981","ISSN":"20411723","abstract":"Highly active and low-cost electrocatalysts for water oxidation are required due to the demands on sustainable solar fuels; however, developing highly efficient catalysts to meet industrial requirements remains a challenge. Herein, we report a monolayer of nickel-vanadium-layered double hydroxide that shows a current density of 27 mA cm - (57 mA cm - after ohmic-drop correction) at an overpotential of 350 mV for water oxidation. Such performance is comparable to those of the best-performing nickel-iron-layered double hydroxides for water oxidation in alkaline media. Mechanistic studies indicate that the nickel-vanadium-layered double hydroxides can provide high intrinsic catalytic activity, mainly due to enhanced conductivity, facile electron transfer and abundant active sites. This work may expand the scope of cost-effective electrocatalysts for water splitting.","author":[{"dropping-particle":"","family":"Fan","given":"Ke","non-dropping-particle":"","parse-names":false,"suffix":""},{"dropping-particle":"","family":"Chen","given":"Hong","non-dropping-particle":"","parse-names":false,"suffix":""},{"dropping-particle":"","family":"Ji","given":"Yongfei","non-dropping-particle":"","parse-names":false,"suffix":""},{"dropping-particle":"","family":"Huang","given":"Hui","non-dropping-particle":"","parse-names":false,"suffix":""},{"dropping-particle":"","family":"Claesson","given":"Per Martin","non-dropping-particle":"","parse-names":false,"suffix":""},{"dropping-particle":"","family":"Daniel","given":"Quentin","non-dropping-particle":"","parse-names":false,"suffix":""},{"dropping-particle":"","family":"Philippe","given":"Bertrand","non-dropping-particle":"","parse-names":false,"suffix":""},{"dropping-particle":"","family":"Rensmo","given":"Håkan","non-dropping-particle":"","parse-names":false,"suffix":""},{"dropping-particle":"","family":"Li","given":"Fusheng","non-dropping-particle":"","parse-names":false,"suffix":""},{"dropping-particle":"","family":"Luo","given":"Yi","non-dropping-particle":"","parse-names":false,"suffix":""},{"dropping-particle":"","family":"Sun","given":"Licheng","non-dropping-particle":"","parse-names":false,"suffix":""}],"container-title":"Nature Communications","id":"ITEM-1","issue":"May","issued":{"date-parts":[["2016"]]},"page":"1-9","title":"Nickel-vanadium monolayer double hydroxide for efficient electrochemical water oxidation","type":"article-journal","volume":"7"},"uris":["http://www.mendeley.com/documents/?uuid=0cb5145e-75b3-495c-bb5b-1ee8e15dd407"]}],"mendeley":{"formattedCitation":"&lt;sup&gt;50&lt;/sup&gt;","plainTextFormattedCitation":"50","previouslyFormattedCitation":"&lt;sup&gt;49&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50</w:t>
            </w:r>
            <w:r w:rsidRPr="000B06A4">
              <w:rPr>
                <w:rFonts w:ascii="Times" w:hAnsi="Times"/>
                <w:sz w:val="20"/>
                <w:szCs w:val="20"/>
              </w:rPr>
              <w:fldChar w:fldCharType="end"/>
            </w:r>
          </w:p>
        </w:tc>
      </w:tr>
      <w:tr w:rsidR="00F35D51" w:rsidRPr="000B06A4" w14:paraId="32C4BE25" w14:textId="77777777" w:rsidTr="00B05959">
        <w:trPr>
          <w:trHeight w:val="432"/>
        </w:trPr>
        <w:tc>
          <w:tcPr>
            <w:tcW w:w="554" w:type="dxa"/>
            <w:vAlign w:val="center"/>
          </w:tcPr>
          <w:p w14:paraId="1C7B5F85"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43</w:t>
            </w:r>
          </w:p>
        </w:tc>
        <w:tc>
          <w:tcPr>
            <w:tcW w:w="2250" w:type="dxa"/>
            <w:vAlign w:val="center"/>
          </w:tcPr>
          <w:p w14:paraId="440C2504" w14:textId="77777777" w:rsidR="00F35D51" w:rsidRPr="000B06A4" w:rsidRDefault="00F35D51" w:rsidP="00B05959">
            <w:pPr>
              <w:spacing w:line="276" w:lineRule="auto"/>
              <w:rPr>
                <w:rFonts w:ascii="Times" w:hAnsi="Times"/>
                <w:sz w:val="20"/>
                <w:szCs w:val="20"/>
              </w:rPr>
            </w:pPr>
            <w:proofErr w:type="spellStart"/>
            <w:r w:rsidRPr="000B06A4">
              <w:rPr>
                <w:rFonts w:ascii="Times" w:hAnsi="Times"/>
                <w:sz w:val="20"/>
                <w:szCs w:val="20"/>
              </w:rPr>
              <w:t>CoMn</w:t>
            </w:r>
            <w:proofErr w:type="spellEnd"/>
            <w:r w:rsidRPr="000B06A4">
              <w:rPr>
                <w:rFonts w:ascii="Times" w:hAnsi="Times"/>
                <w:sz w:val="20"/>
                <w:szCs w:val="20"/>
              </w:rPr>
              <w:t xml:space="preserve"> LDH</w:t>
            </w:r>
          </w:p>
        </w:tc>
        <w:tc>
          <w:tcPr>
            <w:tcW w:w="1133" w:type="dxa"/>
            <w:vAlign w:val="center"/>
          </w:tcPr>
          <w:p w14:paraId="20F4F10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6FCF8CE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085E7C2D"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0.142</w:t>
            </w:r>
          </w:p>
        </w:tc>
        <w:tc>
          <w:tcPr>
            <w:tcW w:w="667" w:type="dxa"/>
            <w:gridSpan w:val="3"/>
            <w:vAlign w:val="center"/>
          </w:tcPr>
          <w:p w14:paraId="2BCE8B9D"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324</w:t>
            </w:r>
          </w:p>
        </w:tc>
        <w:tc>
          <w:tcPr>
            <w:tcW w:w="1080" w:type="dxa"/>
            <w:gridSpan w:val="3"/>
            <w:vAlign w:val="center"/>
          </w:tcPr>
          <w:p w14:paraId="2DCEC18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43</w:t>
            </w:r>
          </w:p>
        </w:tc>
        <w:tc>
          <w:tcPr>
            <w:tcW w:w="270" w:type="dxa"/>
            <w:gridSpan w:val="3"/>
          </w:tcPr>
          <w:p w14:paraId="6FE33A6C"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7B452E07"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CA @300 mV</w:t>
            </w:r>
          </w:p>
        </w:tc>
        <w:tc>
          <w:tcPr>
            <w:tcW w:w="814" w:type="dxa"/>
            <w:gridSpan w:val="3"/>
            <w:vAlign w:val="center"/>
          </w:tcPr>
          <w:p w14:paraId="2803B8D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14</w:t>
            </w:r>
          </w:p>
        </w:tc>
        <w:tc>
          <w:tcPr>
            <w:tcW w:w="2766" w:type="dxa"/>
            <w:gridSpan w:val="4"/>
            <w:vAlign w:val="center"/>
          </w:tcPr>
          <w:p w14:paraId="31D77C35" w14:textId="565C2C77"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JACS, 2014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{"citationItems":[{"id":"ITEM-1","itemData":{"DOI":"10.1021/ja5096733","ISSN":"15205126","abstract":"Cost-effective production of solar fuels requires robust and earth-abundant oxygen evolution reaction (OER) catalysts. Herein, we report that ultrathin nanoplates of cobalt−manganese layered double hydroxide (CoMn LDH) are a highly active and stable oxygen evolution catalyst. The catalyst was fabricated by a one-pot coprecipitation method at room temperature, and its turnover frequency (TOF) is more than 20 times higher than the TOFs of Co and Mn oxides and hydroxides, and 9 times higher than the TOF of a precious IrO2 catalyst. The activity of the catalyst was promoted by anodic conditioning, which was proposed to form amorphous regions and reactive Co(IV) species on the surface. The stability of the catalyst was demonstrated by continued electrolysis.","author":[{"dropping-particle":"","family":"Song","given":"Fang","non-dropping-particle":"","parse-names":false,"suffix":""},{"dropping-particle":"","family":"Hu","given":"Xile","non-dropping-particle":"","parse-names":false,"suffix":""}],"container-title":"Journal of the American Chemical Society","id":"ITEM-1","issue":"47","issued":{"date-parts":[["2014"]]},"page":"16481-16484","title":"Ultrathin cobalt-manganese layered double hydroxide is an efficient oxygen evolution catalyst","type":"article-journal","volume":"136"},"uris":["http://www.mendeley.com/documents/?uuid=ee7bb0d9-3e27-4ade-90b6-6f928c0de517"]}],"mendeley":{"formattedCitation":"&lt;sup&gt;58&lt;/sup&gt;","plainTextFormattedCitation":"58","previouslyFormattedCitation":"&lt;sup&gt;57&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58</w:t>
            </w:r>
            <w:r w:rsidRPr="000B06A4">
              <w:rPr>
                <w:rFonts w:ascii="Times" w:hAnsi="Times"/>
                <w:sz w:val="20"/>
                <w:szCs w:val="20"/>
              </w:rPr>
              <w:fldChar w:fldCharType="end"/>
            </w:r>
          </w:p>
        </w:tc>
      </w:tr>
      <w:tr w:rsidR="00F35D51" w:rsidRPr="000B06A4" w14:paraId="420EF19C" w14:textId="77777777" w:rsidTr="00B05959">
        <w:trPr>
          <w:trHeight w:val="432"/>
        </w:trPr>
        <w:tc>
          <w:tcPr>
            <w:tcW w:w="554" w:type="dxa"/>
            <w:vAlign w:val="center"/>
          </w:tcPr>
          <w:p w14:paraId="40BF5075"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44</w:t>
            </w:r>
          </w:p>
        </w:tc>
        <w:tc>
          <w:tcPr>
            <w:tcW w:w="2250" w:type="dxa"/>
            <w:vAlign w:val="center"/>
          </w:tcPr>
          <w:p w14:paraId="067E6921"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Co</w:t>
            </w:r>
            <w:r w:rsidRPr="000B06A4">
              <w:rPr>
                <w:rFonts w:ascii="Times" w:hAnsi="Times"/>
                <w:sz w:val="20"/>
                <w:szCs w:val="20"/>
                <w:vertAlign w:val="subscript"/>
              </w:rPr>
              <w:t>0.85</w:t>
            </w:r>
            <w:r w:rsidRPr="000B06A4">
              <w:rPr>
                <w:rFonts w:ascii="Times" w:hAnsi="Times"/>
                <w:sz w:val="20"/>
                <w:szCs w:val="20"/>
              </w:rPr>
              <w:t>Se</w:t>
            </w:r>
          </w:p>
        </w:tc>
        <w:tc>
          <w:tcPr>
            <w:tcW w:w="1133" w:type="dxa"/>
            <w:vAlign w:val="center"/>
          </w:tcPr>
          <w:p w14:paraId="3A93DB8C"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555A6B6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CC</w:t>
            </w:r>
          </w:p>
        </w:tc>
        <w:tc>
          <w:tcPr>
            <w:tcW w:w="1170" w:type="dxa"/>
            <w:gridSpan w:val="3"/>
            <w:vAlign w:val="center"/>
          </w:tcPr>
          <w:p w14:paraId="08D7AE62"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4.3</w:t>
            </w:r>
          </w:p>
        </w:tc>
        <w:tc>
          <w:tcPr>
            <w:tcW w:w="667" w:type="dxa"/>
            <w:gridSpan w:val="3"/>
            <w:vAlign w:val="center"/>
          </w:tcPr>
          <w:p w14:paraId="55499627"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324</w:t>
            </w:r>
          </w:p>
        </w:tc>
        <w:tc>
          <w:tcPr>
            <w:tcW w:w="1080" w:type="dxa"/>
            <w:gridSpan w:val="3"/>
            <w:vAlign w:val="center"/>
          </w:tcPr>
          <w:p w14:paraId="03124AFC"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85</w:t>
            </w:r>
          </w:p>
        </w:tc>
        <w:tc>
          <w:tcPr>
            <w:tcW w:w="270" w:type="dxa"/>
            <w:gridSpan w:val="3"/>
          </w:tcPr>
          <w:p w14:paraId="6FD35FD7"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1B10A116"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w:t>
            </w:r>
          </w:p>
        </w:tc>
        <w:tc>
          <w:tcPr>
            <w:tcW w:w="814" w:type="dxa"/>
            <w:gridSpan w:val="3"/>
            <w:vAlign w:val="center"/>
          </w:tcPr>
          <w:p w14:paraId="68009BA3"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2766" w:type="dxa"/>
            <w:gridSpan w:val="4"/>
            <w:vAlign w:val="center"/>
          </w:tcPr>
          <w:p w14:paraId="7A5FA376" w14:textId="1DC3E654"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Adv. Mat., 2015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{"citationItems":[{"id":"ITEM-1","itemData":{"DOI":"10.1002/adma.201503906","ISSN":"15214095","abstract":"Selenide-based electrocatalysts and scaffolds on carbon cloth are successfully fabricated and demonstrated for enhanced water oxidation applications. A max-imum current density of 97.5 mA cm(-2) at an overpotential of a mere 300 mV and a small Tafel slope of 77 mV dec(-1) are achieved, suggesting the potential of these materials to serve as advanced oxygen evolution reaction catalysts.","author":[{"dropping-particle":"","family":"Xia","given":"Chuan","non-dropping-particle":"","parse-names":false,"suffix":""},{"dropping-particle":"","family":"Jiang","given":"Qiu","non-dropping-particle":"","parse-names":false,"suffix":""},{"dropping-particle":"","family":"Zhao","given":"Chao","non-dropping-particle":"","parse-names":false,"suffix":""},{"dropping-particle":"","family":"Hedhili","given":"Mohamed N.","non-dropping-particle":"","parse-names":false,"suffix":""},{"dropping-particle":"","family":"Alshareef","given":"Husam N.","non-dropping-particle":"","parse-names":false,"suffix":""}],"container-title":"Advanced Materials","id":"ITEM-1","issue":"1","issued":{"date-parts":[["2016"]]},"page":"77-85","title":"Selenide-Based Electrocatalysts and Scaffolds for Water Oxidation Applications","type":"article-journal","volume":"28"},"uris":["http://www.mendeley.com/documents/?uuid=64485392-e193-4ba0-b79f-9b3ce4851c75"]}],"mendeley":{"formattedCitation":"&lt;sup&gt;24&lt;/sup&gt;","plainTextFormattedCitation":"24","previouslyFormattedCitation":"&lt;sup&gt;23&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24</w:t>
            </w:r>
            <w:r w:rsidRPr="000B06A4">
              <w:rPr>
                <w:rFonts w:ascii="Times" w:hAnsi="Times"/>
                <w:sz w:val="20"/>
                <w:szCs w:val="20"/>
              </w:rPr>
              <w:fldChar w:fldCharType="end"/>
            </w:r>
          </w:p>
        </w:tc>
      </w:tr>
      <w:tr w:rsidR="00F35D51" w:rsidRPr="000B06A4" w14:paraId="20ED1927" w14:textId="77777777" w:rsidTr="00B05959">
        <w:trPr>
          <w:trHeight w:val="432"/>
        </w:trPr>
        <w:tc>
          <w:tcPr>
            <w:tcW w:w="554" w:type="dxa"/>
            <w:vAlign w:val="center"/>
          </w:tcPr>
          <w:p w14:paraId="5257BE5E"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45</w:t>
            </w:r>
          </w:p>
        </w:tc>
        <w:tc>
          <w:tcPr>
            <w:tcW w:w="2250" w:type="dxa"/>
            <w:vAlign w:val="center"/>
          </w:tcPr>
          <w:p w14:paraId="0B2F0E0B"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Fe-CoOOH/G</w:t>
            </w:r>
          </w:p>
        </w:tc>
        <w:tc>
          <w:tcPr>
            <w:tcW w:w="1133" w:type="dxa"/>
            <w:vAlign w:val="center"/>
          </w:tcPr>
          <w:p w14:paraId="273A7312"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085D406D"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7C7D42A0"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w:t>
            </w:r>
          </w:p>
        </w:tc>
        <w:tc>
          <w:tcPr>
            <w:tcW w:w="667" w:type="dxa"/>
            <w:gridSpan w:val="3"/>
            <w:vAlign w:val="center"/>
          </w:tcPr>
          <w:p w14:paraId="6C71FAB2"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330</w:t>
            </w:r>
          </w:p>
        </w:tc>
        <w:tc>
          <w:tcPr>
            <w:tcW w:w="1080" w:type="dxa"/>
            <w:gridSpan w:val="3"/>
            <w:vAlign w:val="center"/>
          </w:tcPr>
          <w:p w14:paraId="6BAB6131"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37</w:t>
            </w:r>
          </w:p>
        </w:tc>
        <w:tc>
          <w:tcPr>
            <w:tcW w:w="270" w:type="dxa"/>
            <w:gridSpan w:val="3"/>
          </w:tcPr>
          <w:p w14:paraId="28BC8F9C"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64DE226B"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CP @10 mA.cm</w:t>
            </w:r>
            <w:r w:rsidRPr="000B06A4">
              <w:rPr>
                <w:rFonts w:ascii="Times" w:hAnsi="Times"/>
                <w:sz w:val="20"/>
                <w:szCs w:val="20"/>
                <w:vertAlign w:val="superscript"/>
              </w:rPr>
              <w:t>-2</w:t>
            </w:r>
          </w:p>
        </w:tc>
        <w:tc>
          <w:tcPr>
            <w:tcW w:w="814" w:type="dxa"/>
            <w:gridSpan w:val="3"/>
            <w:vAlign w:val="center"/>
          </w:tcPr>
          <w:p w14:paraId="38DB5F67"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5.5</w:t>
            </w:r>
          </w:p>
        </w:tc>
        <w:tc>
          <w:tcPr>
            <w:tcW w:w="2766" w:type="dxa"/>
            <w:gridSpan w:val="4"/>
            <w:vAlign w:val="center"/>
          </w:tcPr>
          <w:p w14:paraId="52E7C7E9" w14:textId="27B4996C"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Adv. Ener. Mat., 2017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{"citationItems":[{"id":"ITEM-1","itemData":{"DOI":"10.1002/aenm.201602148","ISSN":"16146840","abstract":"© 2017 WILEY-VCH Verlag GmbH  &amp;  Co. KGaA, Weinheim Effectively active oxygen evolution reaction (OER) electrocatalysts are highly desired for water splitting. Herein, the design and fabrication of nanometer-sized Fe-modulated CoOOH nanoparticles by a novel conversion tailoring strategy is reported for the first time and these nanoparticles are assembled on graphene matrix to construct 2D nanohybrids (FeCoOOH/G) with ultrasmall particles and finely modulated local electronic structure of Co cations. The Fe components are capable of tailoring and converting the micrometer-sized sheets into nanometer-sized particles, indicative of ultrasensitive Fe-triggered behavior. The as-made FeCoOOH/G features highly exposed edge active sites, well-defined porous structure, and finely modulated electron structure, together with effectively interconnected conducting networks endowed by graphene. Density functional theory calculations have revealed that the Fe dopants in the FeCoOOH nanoparticles have an enhanced adsorption capability toward the oxygenated intermediates involved in OER process, thus facilitating the whole catalytic reactions. Benefiting from these integrated characteristics, the as-made FeCoOOH/G nanohybrids as an oxygen evolution electrocatalyst can deliver a low overpotential of 330 mV at 10 mA cm −2 and excellent electrochemical durability in alkaline medium. This strategy provides an effective, durable, and nonprecious-metal electrocatalyst for water splitting.","author":[{"dropping-particle":"","family":"Han","given":"Xiaotong","non-dropping-particle":"","parse-names":false,"suffix":""},{"dropping-particle":"","family":"Yu","given":"Chang","non-dropping-particle":"","parse-names":false,"suffix":""},{"dropping-particle":"","family":"Zhou","given":"Si","non-dropping-particle":"","parse-names":false,"suffix":""},{"dropping-particle":"","family":"Zhao","given":"Changtai","non-dropping-particle":"","parse-names":false,"suffix":""},{"dropping-particle":"","family":"Huang","given":"Huawei","non-dropping-particle":"","parse-names":false,"suffix":""},{"dropping-particle":"","family":"Yang","given":"Juan","non-dropping-particle":"","parse-names":false,"suffix":""},{"dropping-particle":"","family":"Liu","given":"Zhibin","non-dropping-particle":"","parse-names":false,"suffix":""},{"dropping-particle":"","family":"Zhao","given":"Jijun","non-dropping-particle":"","parse-names":false,"suffix":""},{"dropping-particle":"","family":"Qiu","given":"Jieshan","non-dropping-particle":"","parse-names":false,"suffix":""}],"container-title":"Advanced Energy Materials","id":"ITEM-1","issue":"14","issued":{"date-parts":[["2017"]]},"title":"Ultrasensitive Iron-Triggered Nanosized Fe–CoOOH Integrated with Graphene for Highly Efficient Oxygen Evolution","type":"article-journal","volume":"7"},"uris":["http://www.mendeley.com/documents/?uuid=13075533-8fff-4017-9634-de619b450bce"]}],"mendeley":{"formattedCitation":"&lt;sup&gt;59&lt;/sup&gt;","plainTextFormattedCitation":"59","previouslyFormattedCitation":"&lt;sup&gt;58&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59</w:t>
            </w:r>
            <w:r w:rsidRPr="000B06A4">
              <w:rPr>
                <w:rFonts w:ascii="Times" w:hAnsi="Times"/>
                <w:sz w:val="20"/>
                <w:szCs w:val="20"/>
              </w:rPr>
              <w:fldChar w:fldCharType="end"/>
            </w:r>
          </w:p>
        </w:tc>
      </w:tr>
      <w:tr w:rsidR="00F35D51" w:rsidRPr="000B06A4" w14:paraId="0DBC138D" w14:textId="77777777" w:rsidTr="00B05959">
        <w:trPr>
          <w:trHeight w:val="432"/>
        </w:trPr>
        <w:tc>
          <w:tcPr>
            <w:tcW w:w="554" w:type="dxa"/>
            <w:vAlign w:val="center"/>
          </w:tcPr>
          <w:p w14:paraId="42EAA909"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46</w:t>
            </w:r>
          </w:p>
        </w:tc>
        <w:tc>
          <w:tcPr>
            <w:tcW w:w="2250" w:type="dxa"/>
            <w:vAlign w:val="center"/>
          </w:tcPr>
          <w:p w14:paraId="3F639D21"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α-Ni(OH)</w:t>
            </w:r>
            <w:r w:rsidRPr="000B06A4">
              <w:rPr>
                <w:rFonts w:ascii="Times" w:hAnsi="Times"/>
                <w:sz w:val="20"/>
                <w:szCs w:val="20"/>
                <w:vertAlign w:val="subscript"/>
              </w:rPr>
              <w:t>2</w:t>
            </w:r>
          </w:p>
        </w:tc>
        <w:tc>
          <w:tcPr>
            <w:tcW w:w="1133" w:type="dxa"/>
            <w:vAlign w:val="center"/>
          </w:tcPr>
          <w:p w14:paraId="6B8FD32D"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0.1 M KOH</w:t>
            </w:r>
          </w:p>
        </w:tc>
        <w:tc>
          <w:tcPr>
            <w:tcW w:w="1260" w:type="dxa"/>
            <w:gridSpan w:val="3"/>
            <w:vAlign w:val="center"/>
          </w:tcPr>
          <w:p w14:paraId="07A55D89"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6E0211B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w:t>
            </w:r>
          </w:p>
        </w:tc>
        <w:tc>
          <w:tcPr>
            <w:tcW w:w="667" w:type="dxa"/>
            <w:gridSpan w:val="3"/>
            <w:vAlign w:val="center"/>
          </w:tcPr>
          <w:p w14:paraId="606F1F47"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331</w:t>
            </w:r>
          </w:p>
        </w:tc>
        <w:tc>
          <w:tcPr>
            <w:tcW w:w="1080" w:type="dxa"/>
            <w:gridSpan w:val="3"/>
            <w:vAlign w:val="center"/>
          </w:tcPr>
          <w:p w14:paraId="220FD9C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42</w:t>
            </w:r>
          </w:p>
        </w:tc>
        <w:tc>
          <w:tcPr>
            <w:tcW w:w="270" w:type="dxa"/>
            <w:gridSpan w:val="3"/>
          </w:tcPr>
          <w:p w14:paraId="5523AD12"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54B36155"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CA @350 mV</w:t>
            </w:r>
          </w:p>
        </w:tc>
        <w:tc>
          <w:tcPr>
            <w:tcW w:w="814" w:type="dxa"/>
            <w:gridSpan w:val="3"/>
            <w:vAlign w:val="center"/>
          </w:tcPr>
          <w:p w14:paraId="00A9D2E6"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25</w:t>
            </w:r>
          </w:p>
        </w:tc>
        <w:tc>
          <w:tcPr>
            <w:tcW w:w="2766" w:type="dxa"/>
            <w:gridSpan w:val="4"/>
            <w:vAlign w:val="center"/>
          </w:tcPr>
          <w:p w14:paraId="0E0C6CF1" w14:textId="75D15E17"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JACS, 2014 </w:t>
            </w:r>
            <w:r w:rsidRPr="000B06A4">
              <w:rPr>
                <w:rFonts w:ascii="Times" w:hAnsi="Times"/>
                <w:sz w:val="20"/>
                <w:szCs w:val="20"/>
              </w:rPr>
              <w:fldChar w:fldCharType="begin" w:fldLock="1"/>
            </w:r>
            <w:r w:rsidR="00125386">
              <w:rPr>
                <w:rFonts w:ascii="Times" w:hAnsi="Times"/>
                <w:sz w:val="20"/>
                <w:szCs w:val="20"/>
              </w:rPr>
              <w:instrText xml:space="preserve">ADDIN CSL_CITATION {"citationItems":[{"id":"ITEM-1","itemData":{"DOI":"10.1021/ja502128j","ISSN":"15205126","abstract":"Electrochemical water splitting is a clean technology that can store the intermittent renewable wind and solar energy in H2 fuels. However, large-scale H2 production is greatly hindered by the sluggish oxygen evolution reaction (OER) kinetics at the anode of a water electrolyzer. Although many OER electrocatalysts have been developed to negotiate this difficult reaction, substantial progresses in the design of cheap, robust, and efficient catalysts are still required and have been considered a huge challenge. Herein, we report the simple synthesis and use of α-Ni(OH)2 nanocrystals as a remarkably active and stable OER catalyst in alkaline media. We found the highly nanostructured α-Ni(OH)2 catalyst afforded a current density of 10 mA cm-2 at a small overpotential of a mere 0.331 V and a small Tafel slope of </w:instrText>
            </w:r>
            <w:r w:rsidR="00125386">
              <w:rPr>
                <w:rFonts w:ascii="Cambria Math" w:hAnsi="Cambria Math" w:cs="Cambria Math"/>
                <w:sz w:val="20"/>
                <w:szCs w:val="20"/>
              </w:rPr>
              <w:instrText>∼</w:instrText>
            </w:r>
            <w:r w:rsidR="00125386">
              <w:rPr>
                <w:rFonts w:ascii="Times" w:hAnsi="Times"/>
                <w:sz w:val="20"/>
                <w:szCs w:val="20"/>
              </w:rPr>
              <w:instrText>42 mV/decade, comparing favorably with the state-of-the-art RuO2 catalyst. This α-Ni(OH)2 catalyst also presents outstanding durability under harsh OER cycling conditions, and its stability is much better than that of RuO2. Additionally, by comparing the performance of α-Ni(OH)2 with two kinds of β-Ni(OH)2, all synthesized in the same system, we experimentally demonstrate that α-Ni(OH)2 effects more efficient OER catalysis. These results suggest the possibility for the development of effective and robust OER electrocatalysts by using cheap and easily prepared α-Ni(OH)2 to replace the expensive commercial catalysts such as RuO2 or IrO2. © 2014 American Chemical Society.","author":[{"dropping-particle":"","family":"Gao","given":"Minrui","non-dropping-particle":"","parse-names":false,"suffix":""},{"dropping-particle":"","family":"Sheng","given":"Wenchao","non-dropping-particle":"","parse-names":false,"suffix":""},{"dropping-particle":"","family":"Zhuang","given":"Zhongbin","non-dropping-particle":"","parse-names":false,"suffix":""},{"dropping-particle":"","family":"Fang","given":"Qianrong","non-dropping-particle":"","parse-names":false,"suffix":""},{"dropping-particle":"","family":"Gu","given":"Shuang","non-dropping-particle":"","parse-names":false,"suffix":""},{"dropping-particle":"","family":"Jiang","given":"Jun","non-dropping-particle":"","parse-names":false,"suffix":""},{"dropping-particle":"","family":"Yan","given":"Yushan","non-dropping-particle":"","parse-names":false,"suffix":""}],"container-title":"Journal of the American Chemical Society","id":"ITEM-1","issue":"19","issued":{"date-parts":[["2014"]]},"page":"7077-7084","title":"Efficient water oxidation using nanostructured α-nickel-hydroxide as an electrocatalyst","type":"article-journal","volume":"136"},"uris":["http://www.mendeley.com/documents/?uuid=afba378b-a1fd-406b-806f-2e51bb8f81a5"]}],"mendeley":{"formattedCitation":"&lt;sup&gt;60&lt;/sup&gt;","plainTextFormattedCitation":"60","previouslyFormattedCitation":"&lt;sup&gt;59&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60</w:t>
            </w:r>
            <w:r w:rsidRPr="000B06A4">
              <w:rPr>
                <w:rFonts w:ascii="Times" w:hAnsi="Times"/>
                <w:sz w:val="20"/>
                <w:szCs w:val="20"/>
              </w:rPr>
              <w:fldChar w:fldCharType="end"/>
            </w:r>
          </w:p>
        </w:tc>
      </w:tr>
      <w:tr w:rsidR="00F35D51" w:rsidRPr="000B06A4" w14:paraId="14507334" w14:textId="77777777" w:rsidTr="00B05959">
        <w:trPr>
          <w:trHeight w:val="432"/>
        </w:trPr>
        <w:tc>
          <w:tcPr>
            <w:tcW w:w="554" w:type="dxa"/>
            <w:vAlign w:val="center"/>
          </w:tcPr>
          <w:p w14:paraId="0346B778"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lastRenderedPageBreak/>
              <w:t>47</w:t>
            </w:r>
          </w:p>
        </w:tc>
        <w:tc>
          <w:tcPr>
            <w:tcW w:w="2250" w:type="dxa"/>
            <w:vAlign w:val="center"/>
          </w:tcPr>
          <w:p w14:paraId="4AF92B01" w14:textId="77777777" w:rsidR="00F35D51" w:rsidRPr="000B06A4" w:rsidRDefault="00F35D51" w:rsidP="00B05959">
            <w:pPr>
              <w:spacing w:line="276" w:lineRule="auto"/>
              <w:rPr>
                <w:rFonts w:ascii="Times" w:hAnsi="Times"/>
                <w:sz w:val="20"/>
                <w:szCs w:val="20"/>
              </w:rPr>
            </w:pPr>
            <w:proofErr w:type="spellStart"/>
            <w:r w:rsidRPr="000B06A4">
              <w:rPr>
                <w:rFonts w:ascii="Times" w:hAnsi="Times"/>
                <w:sz w:val="20"/>
                <w:szCs w:val="20"/>
              </w:rPr>
              <w:t>nNiFe</w:t>
            </w:r>
            <w:proofErr w:type="spellEnd"/>
            <w:r w:rsidRPr="000B06A4">
              <w:rPr>
                <w:rFonts w:ascii="Times" w:hAnsi="Times"/>
                <w:sz w:val="20"/>
                <w:szCs w:val="20"/>
              </w:rPr>
              <w:t xml:space="preserve"> LDH/NGF</w:t>
            </w:r>
          </w:p>
        </w:tc>
        <w:tc>
          <w:tcPr>
            <w:tcW w:w="1133" w:type="dxa"/>
            <w:vAlign w:val="center"/>
          </w:tcPr>
          <w:p w14:paraId="53F3B499"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0.1 M KOH</w:t>
            </w:r>
          </w:p>
        </w:tc>
        <w:tc>
          <w:tcPr>
            <w:tcW w:w="1260" w:type="dxa"/>
            <w:gridSpan w:val="3"/>
            <w:vAlign w:val="center"/>
          </w:tcPr>
          <w:p w14:paraId="4764219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676A10D9"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0.25</w:t>
            </w:r>
          </w:p>
        </w:tc>
        <w:tc>
          <w:tcPr>
            <w:tcW w:w="667" w:type="dxa"/>
            <w:gridSpan w:val="3"/>
            <w:vAlign w:val="center"/>
          </w:tcPr>
          <w:p w14:paraId="6B1530F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337</w:t>
            </w:r>
          </w:p>
        </w:tc>
        <w:tc>
          <w:tcPr>
            <w:tcW w:w="1080" w:type="dxa"/>
            <w:gridSpan w:val="3"/>
            <w:vAlign w:val="center"/>
          </w:tcPr>
          <w:p w14:paraId="27056A26"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45</w:t>
            </w:r>
          </w:p>
        </w:tc>
        <w:tc>
          <w:tcPr>
            <w:tcW w:w="270" w:type="dxa"/>
            <w:gridSpan w:val="3"/>
          </w:tcPr>
          <w:p w14:paraId="15C6009C"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68121B1D"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CA @350mV</w:t>
            </w:r>
          </w:p>
        </w:tc>
        <w:tc>
          <w:tcPr>
            <w:tcW w:w="814" w:type="dxa"/>
            <w:gridSpan w:val="3"/>
            <w:vAlign w:val="center"/>
          </w:tcPr>
          <w:p w14:paraId="19A71B74"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3.3</w:t>
            </w:r>
          </w:p>
        </w:tc>
        <w:tc>
          <w:tcPr>
            <w:tcW w:w="2766" w:type="dxa"/>
            <w:gridSpan w:val="4"/>
            <w:vAlign w:val="center"/>
          </w:tcPr>
          <w:p w14:paraId="3AD4E48B" w14:textId="0782222D"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Adv. Mat. 2015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{"citationItems":[{"id":"ITEM-1","itemData":{"DOI":"10.1002/adma.201501901","ISSN":"15214095","abstract":"© 2015 WILEY-VCH Verlag GmbH  &amp;  Co. KGaA, Weinheim. Nanometer-sized hydroxide active centers are uniformly and strongly hybridized into a graphene framework by means of defect-anchored nucleation and spatially confined growth, resulting in a superior electrocatalyst for oxygen evolution reaction. This family of strongly coupled complexes and the topology-assisted fabrication strategy is expected to open up new avenues of research. It sheds light on a novel branch of advanced nano-architectured materials.","author":[{"dropping-particle":"","family":"Tang","given":"Cheng","non-dropping-particle":"","parse-names":false,"suffix":""},{"dropping-particle":"Sen","family":"Wang","given":"Han","non-dropping-particle":"","parse-names":false,"suffix":""},{"dropping-particle":"","family":"Wang","given":"Hao Fan","non-dropping-particle":"","parse-names":false,"suffix":""},{"dropping-particle":"","family":"Zhang","given":"Qiang","non-dropping-particle":"","parse-names":false,"suffix":""},{"dropping-particle":"","family":"Tian","given":"Gui Li","non-dropping-particle":"","parse-names":false,"suffix":""},{"dropping-particle":"","family":"Nie","given":"Jing Qi","non-dropping-particle":"","parse-names":false,"suffix":""},{"dropping-particle":"","family":"Wei","given":"Fei","non-dropping-particle":"","parse-names":false,"suffix":""}],"container-title":"Advanced Materials","id":"ITEM-1","issue":"30","issued":{"date-parts":[["2015"]]},"page":"4516-4522","title":"Spatially Confined Hybridization of Nanometer-Sized NiFe Hydroxides into Nitrogen-Doped Graphene Frameworks Leading to Superior Oxygen Evolution Reactivity","type":"article-journal","volume":"27"},"uris":["http://www.mendeley.com/documents/?uuid=2d3115d9-eca6-4faa-97db-f5161ef399ec"]}],"mendeley":{"formattedCitation":"&lt;sup&gt;61&lt;/sup&gt;","plainTextFormattedCitation":"61","previouslyFormattedCitation":"&lt;sup&gt;60&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61</w:t>
            </w:r>
            <w:r w:rsidRPr="000B06A4">
              <w:rPr>
                <w:rFonts w:ascii="Times" w:hAnsi="Times"/>
                <w:sz w:val="20"/>
                <w:szCs w:val="20"/>
              </w:rPr>
              <w:fldChar w:fldCharType="end"/>
            </w:r>
          </w:p>
        </w:tc>
      </w:tr>
      <w:tr w:rsidR="00F35D51" w:rsidRPr="000B06A4" w14:paraId="0D3B54B3" w14:textId="77777777" w:rsidTr="00B05959">
        <w:trPr>
          <w:trHeight w:val="432"/>
        </w:trPr>
        <w:tc>
          <w:tcPr>
            <w:tcW w:w="554" w:type="dxa"/>
            <w:vAlign w:val="center"/>
          </w:tcPr>
          <w:p w14:paraId="6D604909"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48</w:t>
            </w:r>
          </w:p>
        </w:tc>
        <w:tc>
          <w:tcPr>
            <w:tcW w:w="2250" w:type="dxa"/>
            <w:vAlign w:val="center"/>
          </w:tcPr>
          <w:p w14:paraId="21DED27C"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NiCo</w:t>
            </w:r>
            <w:r w:rsidRPr="000B06A4">
              <w:rPr>
                <w:rFonts w:ascii="Times" w:hAnsi="Times"/>
                <w:sz w:val="20"/>
                <w:szCs w:val="20"/>
                <w:vertAlign w:val="subscript"/>
              </w:rPr>
              <w:t>2</w:t>
            </w:r>
            <w:r w:rsidRPr="000B06A4">
              <w:rPr>
                <w:rFonts w:ascii="Times" w:hAnsi="Times"/>
                <w:sz w:val="20"/>
                <w:szCs w:val="20"/>
              </w:rPr>
              <w:t>S</w:t>
            </w:r>
            <w:r w:rsidRPr="000B06A4">
              <w:rPr>
                <w:rFonts w:ascii="Times" w:hAnsi="Times"/>
                <w:sz w:val="20"/>
                <w:szCs w:val="20"/>
                <w:vertAlign w:val="subscript"/>
              </w:rPr>
              <w:t>4</w:t>
            </w:r>
          </w:p>
        </w:tc>
        <w:tc>
          <w:tcPr>
            <w:tcW w:w="1133" w:type="dxa"/>
            <w:vAlign w:val="center"/>
          </w:tcPr>
          <w:p w14:paraId="7C3DAE6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6558403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05A56591"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0.07</w:t>
            </w:r>
          </w:p>
        </w:tc>
        <w:tc>
          <w:tcPr>
            <w:tcW w:w="667" w:type="dxa"/>
            <w:gridSpan w:val="3"/>
            <w:vAlign w:val="center"/>
          </w:tcPr>
          <w:p w14:paraId="35361364"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337</w:t>
            </w:r>
          </w:p>
        </w:tc>
        <w:tc>
          <w:tcPr>
            <w:tcW w:w="1080" w:type="dxa"/>
            <w:gridSpan w:val="3"/>
            <w:vAlign w:val="center"/>
          </w:tcPr>
          <w:p w14:paraId="7692A124"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64</w:t>
            </w:r>
          </w:p>
        </w:tc>
        <w:tc>
          <w:tcPr>
            <w:tcW w:w="270" w:type="dxa"/>
            <w:gridSpan w:val="3"/>
          </w:tcPr>
          <w:p w14:paraId="723CDCA8"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23EA1F88"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CP @10 mA.cm</w:t>
            </w:r>
            <w:r w:rsidRPr="000B06A4">
              <w:rPr>
                <w:rFonts w:ascii="Times" w:hAnsi="Times"/>
                <w:sz w:val="20"/>
                <w:szCs w:val="20"/>
                <w:vertAlign w:val="superscript"/>
              </w:rPr>
              <w:t>-2</w:t>
            </w:r>
          </w:p>
        </w:tc>
        <w:tc>
          <w:tcPr>
            <w:tcW w:w="814" w:type="dxa"/>
            <w:gridSpan w:val="3"/>
            <w:vAlign w:val="center"/>
          </w:tcPr>
          <w:p w14:paraId="67C859A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30</w:t>
            </w:r>
          </w:p>
        </w:tc>
        <w:tc>
          <w:tcPr>
            <w:tcW w:w="2766" w:type="dxa"/>
            <w:gridSpan w:val="4"/>
            <w:vAlign w:val="center"/>
          </w:tcPr>
          <w:p w14:paraId="0C2547AC" w14:textId="681DB422"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Green Chemistry, 2017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{"citationItems":[{"id":"ITEM-1","itemData":{"DOI":"10.1039/c7gc01012e","ISSN":"14639270","abstract":" A PEGylated deep eutectic solvent was developed and used for one step solvothermal synthesis of NiCo 2 S 4 for efficient oxygen evolution reaction.  As ionic liquid analogues or quasi-ionic liquids, deep eutectic solvents (DESs) have been applied in many fields in the past few years. Herein, a novel PEGylated DES composed of PEG 200 and thiourea was formed for the first time and used for solvothermal synthesis of nickel cobalt sulfides. The structure and composition of the as-synthesized sulfides can be tuned by adjustment of the ratio of the reactants. The PEGylated DES plays multiple roles as a solvent, a shape-control agent, and a sulfur source in the synthesis of sulfides. Compared with traditional sulfuration routes, this proposed route is cost-effective and energy-efficient by combining solvothermal synthesis and the sulfuration process. The prepared sulfides were used as catalysts for electrochemical water oxidation and they exhibited excellent oxygen evolution reaction (OER) performance, especially for NiCo 2 S 4 with hierarchical pores. The overpotential ( η ) demand was 337 mV for the current density reaching 10 mA cm −2 and the Tafel slope was 64 mV dec −1 in an alkaline medium (1 M KOH) for NiCo 2 S 4 . In addition, NiCo 2 S 4 demonstrated long-term stability with little deactivation after either thirty hours of continuous operation or two thousand cycles and a high faradaic efficiency of 95.8%. Synergistic effects including a relatively high Brunauer–Emmett–Teller area, abundant active sites, easy diffusion of electrolytes and oxygen gas, and strong structural integrity contribute to the high activity and long-term stability of the catalyst for OER. This study provides a new method for the synthesis of hierarchically structured metal sulfides for energy conversion and storage applications. ","author":[{"dropping-particle":"","family":"Jiang","given":"Jingyun","non-dropping-particle":"","parse-names":false,"suffix":""},{"dropping-particle":"","family":"Yan","given":"Chuanyu","non-dropping-particle":"","parse-names":false,"suffix":""},{"dropping-particle":"","family":"Zhao","given":"Xinhui","non-dropping-particle":"","parse-names":false,"suffix":""},{"dropping-particle":"","family":"Luo","given":"Hongxia","non-dropping-particle":"","parse-names":false,"suffix":""},{"dropping-particle":"","family":"Xue","given":"Zhimin","non-dropping-particle":"","parse-names":false,"suffix":""},{"dropping-particle":"","family":"Mu","given":"Tiancheng","non-dropping-particle":"","parse-names":false,"suffix":""}],"container-title":"Green Chemistry","id":"ITEM-1","issue":"13","issued":{"date-parts":[["2017"]]},"page":"3023-3031","publisher":"Royal Society of Chemistry","title":"A PEGylated deep eutectic solvent for controllable solvothermal synthesis of porous NiCo2S4 for efficient oxygen evolution reaction","type":"article-journal","volume":"19"},"uris":["http://www.mendeley.com/documents/?uuid=19d3a9fe-9553-4d3b-8e50-afd7d7e88ed4"]}],"mendeley":{"formattedCitation":"&lt;sup&gt;62&lt;/sup&gt;","plainTextFormattedCitation":"62","previouslyFormattedCitation":"&lt;sup&gt;61&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62</w:t>
            </w:r>
            <w:r w:rsidRPr="000B06A4">
              <w:rPr>
                <w:rFonts w:ascii="Times" w:hAnsi="Times"/>
                <w:sz w:val="20"/>
                <w:szCs w:val="20"/>
              </w:rPr>
              <w:fldChar w:fldCharType="end"/>
            </w:r>
          </w:p>
        </w:tc>
      </w:tr>
      <w:tr w:rsidR="00F35D51" w:rsidRPr="000B06A4" w14:paraId="7834812E" w14:textId="77777777" w:rsidTr="00B05959">
        <w:trPr>
          <w:trHeight w:val="432"/>
        </w:trPr>
        <w:tc>
          <w:tcPr>
            <w:tcW w:w="554" w:type="dxa"/>
            <w:vAlign w:val="center"/>
          </w:tcPr>
          <w:p w14:paraId="382D07E2"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49</w:t>
            </w:r>
          </w:p>
        </w:tc>
        <w:tc>
          <w:tcPr>
            <w:tcW w:w="2250" w:type="dxa"/>
            <w:vAlign w:val="center"/>
          </w:tcPr>
          <w:p w14:paraId="32942D10"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Co</w:t>
            </w:r>
            <w:r w:rsidRPr="000B06A4">
              <w:rPr>
                <w:rFonts w:ascii="Times" w:hAnsi="Times"/>
                <w:sz w:val="20"/>
                <w:szCs w:val="20"/>
                <w:vertAlign w:val="subscript"/>
              </w:rPr>
              <w:t>3</w:t>
            </w:r>
            <w:r w:rsidRPr="000B06A4">
              <w:rPr>
                <w:rFonts w:ascii="Times" w:hAnsi="Times"/>
                <w:sz w:val="20"/>
                <w:szCs w:val="20"/>
              </w:rPr>
              <w:t>O</w:t>
            </w:r>
            <w:r w:rsidRPr="000B06A4">
              <w:rPr>
                <w:rFonts w:ascii="Times" w:hAnsi="Times"/>
                <w:sz w:val="20"/>
                <w:szCs w:val="20"/>
                <w:vertAlign w:val="subscript"/>
              </w:rPr>
              <w:t>4</w:t>
            </w:r>
            <w:r w:rsidRPr="000B06A4">
              <w:rPr>
                <w:rFonts w:ascii="Times" w:hAnsi="Times"/>
                <w:sz w:val="20"/>
                <w:szCs w:val="20"/>
              </w:rPr>
              <w:t>/NiCo</w:t>
            </w:r>
            <w:r w:rsidRPr="000B06A4">
              <w:rPr>
                <w:rFonts w:ascii="Times" w:hAnsi="Times"/>
                <w:sz w:val="20"/>
                <w:szCs w:val="20"/>
                <w:vertAlign w:val="subscript"/>
              </w:rPr>
              <w:t>2</w:t>
            </w:r>
            <w:r w:rsidRPr="000B06A4">
              <w:rPr>
                <w:rFonts w:ascii="Times" w:hAnsi="Times"/>
                <w:sz w:val="20"/>
                <w:szCs w:val="20"/>
              </w:rPr>
              <w:t>O</w:t>
            </w:r>
            <w:r w:rsidRPr="000B06A4">
              <w:rPr>
                <w:rFonts w:ascii="Times" w:hAnsi="Times"/>
                <w:sz w:val="20"/>
                <w:szCs w:val="20"/>
                <w:vertAlign w:val="subscript"/>
              </w:rPr>
              <w:t>4</w:t>
            </w:r>
          </w:p>
        </w:tc>
        <w:tc>
          <w:tcPr>
            <w:tcW w:w="1133" w:type="dxa"/>
            <w:vAlign w:val="center"/>
          </w:tcPr>
          <w:p w14:paraId="79918EFC"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6027410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NF</w:t>
            </w:r>
          </w:p>
        </w:tc>
        <w:tc>
          <w:tcPr>
            <w:tcW w:w="1170" w:type="dxa"/>
            <w:gridSpan w:val="3"/>
            <w:vAlign w:val="center"/>
          </w:tcPr>
          <w:p w14:paraId="5CF6572C"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w:t>
            </w:r>
          </w:p>
        </w:tc>
        <w:tc>
          <w:tcPr>
            <w:tcW w:w="667" w:type="dxa"/>
            <w:gridSpan w:val="3"/>
            <w:vAlign w:val="center"/>
          </w:tcPr>
          <w:p w14:paraId="717B2493"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340</w:t>
            </w:r>
          </w:p>
        </w:tc>
        <w:tc>
          <w:tcPr>
            <w:tcW w:w="1080" w:type="dxa"/>
            <w:gridSpan w:val="3"/>
            <w:vAlign w:val="center"/>
          </w:tcPr>
          <w:p w14:paraId="1C37035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88</w:t>
            </w:r>
          </w:p>
        </w:tc>
        <w:tc>
          <w:tcPr>
            <w:tcW w:w="270" w:type="dxa"/>
            <w:gridSpan w:val="3"/>
          </w:tcPr>
          <w:p w14:paraId="058784F6"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3B0483DF"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w:t>
            </w:r>
          </w:p>
        </w:tc>
        <w:tc>
          <w:tcPr>
            <w:tcW w:w="814" w:type="dxa"/>
            <w:gridSpan w:val="3"/>
            <w:vAlign w:val="center"/>
          </w:tcPr>
          <w:p w14:paraId="3743C5D3"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2766" w:type="dxa"/>
            <w:gridSpan w:val="4"/>
            <w:vAlign w:val="center"/>
          </w:tcPr>
          <w:p w14:paraId="3E08F1E4" w14:textId="06E1E944"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JACS, 2015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{"citationItems":[{"id":"ITEM-1","itemData":{"DOI":"10.1021/jacs.5b02465","ISSN":"15205126","abstract":"© 2015 American Chemical Society.Hollow structures with high complexity in shell architecture and composition have attracted tremendous interest because of their great importance for both fundamental studies and practical applications. Herein we report the designed synthesis of novel box-in-box nanocages (NCs) with different shell compositions, namely, Co&lt;inf&gt;3&lt;/inf&gt;O&lt;inf&gt;4&lt;/inf&gt;/NiCo&lt;inf&gt;2&lt;/inf&gt;O&lt;inf&gt;4&lt;/inf&gt; double-shelled nanocages (DSNCs). Uniform zeolitic imidazolate framework-67/Ni-Co layered double hydroxides yolk-shelled structures are first synthesized and then transformed into Co&lt;inf&gt;3&lt;/inf&gt;O&lt;inf&gt;4&lt;/inf&gt;/NiCo&lt;inf&gt;2&lt;/inf&gt;O&lt;inf&gt;4&lt;/inf&gt; DSNCs by thermal annealing in air. Importantly, this strategy can be easily extended to prepare other complex DSNCs. When evaluated as electrodes for pseudocapacitors, the Co&lt;inf&gt;3&lt;/inf&gt;O&lt;inf&gt;4&lt;/inf&gt;/NiCo&lt;inf&gt;2&lt;/inf&gt;O&lt;inf&gt;4&lt;/inf&gt; DSNCs show a high specific capacitance of 972 F g&lt;sup&gt;-1&lt;/sup&gt; at a current density of 5 A g&lt;sup&gt;-1&lt;/sup&gt; and excellent stability with 92.5% capacitance retention after 12000 cycles, superior to that of Co&lt;inf&gt;3&lt;/inf&gt;O&lt;inf&gt;4&lt;/inf&gt; NCs with simple configuration and Co&lt;inf&gt;3&lt;/inf&gt;O&lt;inf&gt;4&lt;/inf&gt;/Co&lt;inf&gt;3&lt;/inf&gt;O&lt;inf&gt;4&lt;/inf&gt; DSNCs. Besides, the Co&lt;inf&gt;3&lt;/inf&gt;O&lt;inf&gt;4&lt;/inf&gt;/NiCo&lt;inf&gt;2&lt;/inf&gt;O&lt;inf&gt;4&lt;/inf&gt; DSNCs also exhibit much better electrocatalytic activity for the oxygen evolution reaction than Co&lt;inf&gt;3&lt;/inf&gt;O&lt;inf&gt;4&lt;/inf&gt; NCs. The greatly improved electrochemical performance of Co&lt;inf&gt;3&lt;/inf&gt;O&lt;inf&gt;4&lt;/inf&gt;/NiCo&lt;inf&gt;2&lt;/inf&gt;O&lt;inf&gt;4&lt;/inf&gt; DSNCs demonstrates the importance of rational design and synthesis of hollow structures with higher complexity.","author":[{"dropping-particle":"","family":"Hu","given":"Han","non-dropping-particle":"","parse-names":false,"suffix":""},{"dropping-particle":"","family":"Guan","given":"Buyuan","non-dropping-particle":"","parse-names":false,"suffix":""},{"dropping-particle":"","family":"Xia","given":"Baoyu","non-dropping-particle":"","parse-names":false,"suffix":""},{"dropping-particle":"","family":"Lou","given":"Xiong Wen","non-dropping-particle":"","parse-names":false,"suffix":""}],"container-title":"Journal of the American Chemical Society","id":"ITEM-1","issue":"16","issued":{"date-parts":[["2015"]]},"page":"5590-5595","title":"Designed formation of Co3O4/NiCo2O4 double-shelled nanocages with enhanced pseudocapacitive and electrocatalytic properties","type":"article-journal","volume":"137"},"uris":["http://www.mendeley.com/documents/?uuid=7e045424-4eec-47dd-b5c3-3c83a56a8ee2"]}],"mendeley":{"formattedCitation":"&lt;sup&gt;63&lt;/sup&gt;","plainTextFormattedCitation":"63","previouslyFormattedCitation":"&lt;sup&gt;62&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63</w:t>
            </w:r>
            <w:r w:rsidRPr="000B06A4">
              <w:rPr>
                <w:rFonts w:ascii="Times" w:hAnsi="Times"/>
                <w:sz w:val="20"/>
                <w:szCs w:val="20"/>
              </w:rPr>
              <w:fldChar w:fldCharType="end"/>
            </w:r>
          </w:p>
        </w:tc>
      </w:tr>
      <w:tr w:rsidR="00F35D51" w:rsidRPr="000B06A4" w14:paraId="46FB71DF" w14:textId="77777777" w:rsidTr="00B05959">
        <w:trPr>
          <w:trHeight w:val="432"/>
        </w:trPr>
        <w:tc>
          <w:tcPr>
            <w:tcW w:w="554" w:type="dxa"/>
            <w:vAlign w:val="center"/>
          </w:tcPr>
          <w:p w14:paraId="114CBB3F"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50</w:t>
            </w:r>
          </w:p>
        </w:tc>
        <w:tc>
          <w:tcPr>
            <w:tcW w:w="2250" w:type="dxa"/>
            <w:vAlign w:val="center"/>
          </w:tcPr>
          <w:p w14:paraId="47B82B57"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CoSe</w:t>
            </w:r>
          </w:p>
        </w:tc>
        <w:tc>
          <w:tcPr>
            <w:tcW w:w="1133" w:type="dxa"/>
            <w:vAlign w:val="center"/>
          </w:tcPr>
          <w:p w14:paraId="7F637F12"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270EC6E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CC</w:t>
            </w:r>
          </w:p>
        </w:tc>
        <w:tc>
          <w:tcPr>
            <w:tcW w:w="1170" w:type="dxa"/>
            <w:gridSpan w:val="3"/>
            <w:vAlign w:val="center"/>
          </w:tcPr>
          <w:p w14:paraId="7CF18560"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w:t>
            </w:r>
          </w:p>
        </w:tc>
        <w:tc>
          <w:tcPr>
            <w:tcW w:w="667" w:type="dxa"/>
            <w:gridSpan w:val="3"/>
            <w:vAlign w:val="center"/>
          </w:tcPr>
          <w:p w14:paraId="58969E92"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345</w:t>
            </w:r>
          </w:p>
        </w:tc>
        <w:tc>
          <w:tcPr>
            <w:tcW w:w="1080" w:type="dxa"/>
            <w:gridSpan w:val="3"/>
            <w:vAlign w:val="center"/>
          </w:tcPr>
          <w:p w14:paraId="254E3A0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89.3</w:t>
            </w:r>
          </w:p>
        </w:tc>
        <w:tc>
          <w:tcPr>
            <w:tcW w:w="270" w:type="dxa"/>
            <w:gridSpan w:val="3"/>
          </w:tcPr>
          <w:p w14:paraId="4515FDF5"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77BC75CB"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w:t>
            </w:r>
          </w:p>
        </w:tc>
        <w:tc>
          <w:tcPr>
            <w:tcW w:w="814" w:type="dxa"/>
            <w:gridSpan w:val="3"/>
            <w:vAlign w:val="center"/>
          </w:tcPr>
          <w:p w14:paraId="13FFEC21"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2766" w:type="dxa"/>
            <w:gridSpan w:val="4"/>
            <w:vAlign w:val="center"/>
          </w:tcPr>
          <w:p w14:paraId="5C12595F" w14:textId="3E5B0348"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Nano-Micro Lett., 2019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10.1007/s40820-019-0258-0","ISBN":"0123456789","ISSN":"21505551","author":[{"dropping-particle":"","family":"Qian","given":"Zhengxin","non-dropping-particle":"","parse-names":false,"suffix":""},{"dropping-particle":"","family":"Chen","given":"Yinghuan","non-dropping-particle":"","parse-names":false,"suffix":""},{"dropping-particle":"","family":"Tang","given":"Zhenghua","non-dropping-particle":"","parse-names":false,"suffix":""},{"dropping-particle":"","family":"Liu","given":"Zhen","non-dropping-particle":"","parse-names":false,"suffix":""},{"dropping-particle":"","family":"Wang","given":"Xiufang","non-dropping-particle":"","parse-names":false,"suffix":""},{"dropping-particle":"","family":"Tian","given":"Yong","non-dropping-particle":"","parse-names":false,"suffix":""},{"dropping-particle":"","family":"Gao","given":"Wei","non-dropping-particle":"","parse-names":false,"suffix":""}],"container-title":"Nano-Micro Letters","id":"ITEM-1","issue":"1","issued":{"date-parts":[["2019"]]},"publisher":"Springer Singapore","title":"Hollow Nanocages of NixCo1−xSe for Efficient Zinc–Air Batteries and Overall Water Splitting","type":"article-journal","volume":"11"},"uris":["http://www.mendeley.com/documents/?uuid=4617eacf-677e-4276-8ff0-e2ca28d1c356"]}],"mendeley":{"formattedCitation":"&lt;sup&gt;39&lt;/sup&gt;","plainTextFormattedCitation":"39","previouslyFormattedCitation":"&lt;sup&gt;38&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39</w:t>
            </w:r>
            <w:r w:rsidRPr="000B06A4">
              <w:rPr>
                <w:rFonts w:ascii="Times" w:hAnsi="Times"/>
                <w:sz w:val="20"/>
                <w:szCs w:val="20"/>
              </w:rPr>
              <w:fldChar w:fldCharType="end"/>
            </w:r>
          </w:p>
        </w:tc>
      </w:tr>
      <w:tr w:rsidR="00F35D51" w:rsidRPr="000B06A4" w14:paraId="106A5B15" w14:textId="77777777" w:rsidTr="00B05959">
        <w:trPr>
          <w:trHeight w:val="432"/>
        </w:trPr>
        <w:tc>
          <w:tcPr>
            <w:tcW w:w="554" w:type="dxa"/>
            <w:vAlign w:val="center"/>
          </w:tcPr>
          <w:p w14:paraId="374C421E" w14:textId="77777777" w:rsidR="00F35D51" w:rsidRPr="000B06A4" w:rsidRDefault="00F35D51" w:rsidP="00B05959">
            <w:pPr>
              <w:jc w:val="center"/>
              <w:rPr>
                <w:rFonts w:ascii="Times" w:hAnsi="Times"/>
                <w:sz w:val="20"/>
                <w:szCs w:val="20"/>
              </w:rPr>
            </w:pPr>
            <w:r>
              <w:rPr>
                <w:rFonts w:ascii="Times" w:hAnsi="Times"/>
                <w:sz w:val="20"/>
                <w:szCs w:val="20"/>
              </w:rPr>
              <w:t>51</w:t>
            </w:r>
          </w:p>
        </w:tc>
        <w:tc>
          <w:tcPr>
            <w:tcW w:w="2250" w:type="dxa"/>
            <w:vAlign w:val="center"/>
          </w:tcPr>
          <w:p w14:paraId="03914508" w14:textId="77777777" w:rsidR="00F35D51" w:rsidRPr="000B06A4" w:rsidRDefault="00F35D51" w:rsidP="00B05959">
            <w:pPr>
              <w:rPr>
                <w:rFonts w:ascii="Times" w:hAnsi="Times"/>
                <w:sz w:val="20"/>
                <w:szCs w:val="20"/>
              </w:rPr>
            </w:pPr>
            <w:r w:rsidRPr="000B06A4">
              <w:rPr>
                <w:rFonts w:ascii="Times" w:hAnsi="Times"/>
                <w:sz w:val="20"/>
                <w:szCs w:val="20"/>
              </w:rPr>
              <w:t>CoFe</w:t>
            </w:r>
            <w:r w:rsidRPr="000B06A4">
              <w:rPr>
                <w:rFonts w:ascii="Times" w:hAnsi="Times"/>
                <w:sz w:val="20"/>
                <w:szCs w:val="20"/>
                <w:vertAlign w:val="subscript"/>
              </w:rPr>
              <w:t>35</w:t>
            </w:r>
            <w:r w:rsidRPr="000B06A4">
              <w:rPr>
                <w:rFonts w:ascii="Times" w:hAnsi="Times"/>
                <w:sz w:val="20"/>
                <w:szCs w:val="20"/>
              </w:rPr>
              <w:t xml:space="preserve"> LDH</w:t>
            </w:r>
          </w:p>
        </w:tc>
        <w:tc>
          <w:tcPr>
            <w:tcW w:w="1133" w:type="dxa"/>
            <w:vAlign w:val="center"/>
          </w:tcPr>
          <w:p w14:paraId="7711E5F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0.1 M KOH</w:t>
            </w:r>
          </w:p>
        </w:tc>
        <w:tc>
          <w:tcPr>
            <w:tcW w:w="1260" w:type="dxa"/>
            <w:gridSpan w:val="3"/>
            <w:vAlign w:val="center"/>
          </w:tcPr>
          <w:p w14:paraId="04B15A4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22E12C56"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0.25</w:t>
            </w:r>
          </w:p>
        </w:tc>
        <w:tc>
          <w:tcPr>
            <w:tcW w:w="667" w:type="dxa"/>
            <w:gridSpan w:val="3"/>
            <w:vAlign w:val="center"/>
          </w:tcPr>
          <w:p w14:paraId="336EB137"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350</w:t>
            </w:r>
          </w:p>
        </w:tc>
        <w:tc>
          <w:tcPr>
            <w:tcW w:w="1080" w:type="dxa"/>
            <w:gridSpan w:val="3"/>
            <w:vAlign w:val="center"/>
          </w:tcPr>
          <w:p w14:paraId="389159E1"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49</w:t>
            </w:r>
          </w:p>
        </w:tc>
        <w:tc>
          <w:tcPr>
            <w:tcW w:w="270" w:type="dxa"/>
            <w:gridSpan w:val="3"/>
          </w:tcPr>
          <w:p w14:paraId="3B31F0D8"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05F15BB9"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(NF) CP @10mA.cm</w:t>
            </w:r>
            <w:r w:rsidRPr="000B06A4">
              <w:rPr>
                <w:rFonts w:ascii="Times" w:hAnsi="Times"/>
                <w:sz w:val="20"/>
                <w:szCs w:val="20"/>
                <w:vertAlign w:val="superscript"/>
              </w:rPr>
              <w:t>-2</w:t>
            </w:r>
          </w:p>
        </w:tc>
        <w:tc>
          <w:tcPr>
            <w:tcW w:w="814" w:type="dxa"/>
            <w:gridSpan w:val="3"/>
            <w:vAlign w:val="center"/>
          </w:tcPr>
          <w:p w14:paraId="1758861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48</w:t>
            </w:r>
          </w:p>
        </w:tc>
        <w:tc>
          <w:tcPr>
            <w:tcW w:w="2766" w:type="dxa"/>
            <w:gridSpan w:val="4"/>
            <w:vAlign w:val="center"/>
          </w:tcPr>
          <w:p w14:paraId="3A1D4845" w14:textId="70BDFC94" w:rsidR="00F35D51" w:rsidRPr="000B06A4" w:rsidRDefault="00F35D51" w:rsidP="00B05959">
            <w:pPr>
              <w:spacing w:line="276" w:lineRule="auto"/>
              <w:rPr>
                <w:rFonts w:ascii="Times" w:hAnsi="Times"/>
                <w:sz w:val="20"/>
                <w:szCs w:val="20"/>
              </w:rPr>
            </w:pPr>
            <w:proofErr w:type="spellStart"/>
            <w:r w:rsidRPr="000B06A4">
              <w:rPr>
                <w:rFonts w:ascii="Times" w:hAnsi="Times"/>
                <w:sz w:val="20"/>
                <w:szCs w:val="20"/>
              </w:rPr>
              <w:t>ChemSusChem</w:t>
            </w:r>
            <w:proofErr w:type="spellEnd"/>
            <w:r w:rsidRPr="000B06A4">
              <w:rPr>
                <w:rFonts w:ascii="Times" w:hAnsi="Times"/>
                <w:sz w:val="20"/>
                <w:szCs w:val="20"/>
              </w:rPr>
              <w:t xml:space="preserve">, 2016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{"citationItems":[{"id":"ITEM-1","itemData":{"DOI":"10.1002/cssc.201601272","ISSN":"1864564X","abstract":"© 2017 Wiley-VCH Verlag GmbH  &amp;  Co. KGaA, Weinheim Co-based layered double hydroxide (LDH) catalysts with Fe and Al contents in the range of 15 to 45 at % were synthesized by an efficient coprecipitation method. In these catalysts, Fe3+or Al3+ions play an essential role as trivalent species to stabilize the LDH structure. The obtained catalysts were characterized by a comprehensive combination of surface- and bulk-sensitive techniques and were evaluated for the oxygen evolution reaction (OER) on rotating disk electrodes. The OER activity decreased upon increasing the Al content for the Co- and Al-based LDH catalysts, whereas a synergistic effect in Co- and Fe-based LDHs was observed, which resulted in an optimal Fe content of 35 at %. This catalyst was spray-coated on Ni foam electrodes and showed very good stability in a flow-through cell with a potential of approximately 1.53 V at 10 mA cm−2in 1 m KOH for at least 48 h.","author":[{"dropping-particle":"","family":"Yang","given":"Fengkai","non-dropping-particle":"","parse-names":false,"suffix":""},{"dropping-particle":"","family":"Sliozberg","given":"Kirill","non-dropping-particle":"","parse-names":false,"suffix":""},{"dropping-particle":"","family":"Sinev","given":"Ilya","non-dropping-particle":"","parse-names":false,"suffix":""},{"dropping-particle":"","family":"Antoni","given":"Hendrik","non-dropping-particle":"","parse-names":false,"suffix":""},{"dropping-particle":"","family":"Bähr","given":"Alexander","non-dropping-particle":"","parse-names":false,"suffix":""},{"dropping-particle":"","family":"Ollegott","given":"Kevin","non-dropping-particle":"","parse-names":false,"suffix":""},{"dropping-particle":"","family":"Xia","given":"Wei","non-dropping-particle":"","parse-names":false,"suffix":""},{"dropping-particle":"","family":"Masa","given":"Justus","non-dropping-particle":"","parse-names":false,"suffix":""},{"dropping-particle":"","family":"Grünert","given":"Wolfgang","non-dropping-particle":"","parse-names":false,"suffix":""},{"dropping-particle":"","family":"Cuenya","given":"Beatriz Roldan","non-dropping-particle":"","parse-names":false,"suffix":""},{"dropping-particle":"","family":"Schuhmann","given":"Wolfgang","non-dropping-particle":"","parse-names":false,"suffix":""},{"dropping-particle":"","family":"Muhler","given":"Martin","non-dropping-particle":"","parse-names":false,"suffix":""}],"container-title":"ChemSusChem","id":"ITEM-1","issue":"1","issued":{"date-parts":[["2017"]]},"page":"156-165","title":"Synergistic Effect of Cobalt and Iron in Layered Double Hydroxide Catalysts for the Oxygen Evolution Reaction","type":"article-journal","volume":"10"},"uris":["http://www.mendeley.com/documents/?uuid=edb7d3aa-85b5-4faa-a711-e02b020f2689"]}],"mendeley":{"formattedCitation":"&lt;sup&gt;64&lt;/sup&gt;","plainTextFormattedCitation":"64","previouslyFormattedCitation":"&lt;sup&gt;63&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64</w:t>
            </w:r>
            <w:r w:rsidRPr="000B06A4">
              <w:rPr>
                <w:rFonts w:ascii="Times" w:hAnsi="Times"/>
                <w:sz w:val="20"/>
                <w:szCs w:val="20"/>
              </w:rPr>
              <w:fldChar w:fldCharType="end"/>
            </w:r>
          </w:p>
        </w:tc>
      </w:tr>
      <w:tr w:rsidR="00F35D51" w:rsidRPr="000B06A4" w14:paraId="19DA9524" w14:textId="77777777" w:rsidTr="00B05959">
        <w:trPr>
          <w:trHeight w:val="432"/>
        </w:trPr>
        <w:tc>
          <w:tcPr>
            <w:tcW w:w="554" w:type="dxa"/>
            <w:vAlign w:val="center"/>
          </w:tcPr>
          <w:p w14:paraId="5B34EA34"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52</w:t>
            </w:r>
          </w:p>
        </w:tc>
        <w:tc>
          <w:tcPr>
            <w:tcW w:w="2250" w:type="dxa"/>
            <w:vAlign w:val="center"/>
          </w:tcPr>
          <w:p w14:paraId="1809A1DD"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CoTe</w:t>
            </w:r>
            <w:r w:rsidRPr="000B06A4">
              <w:rPr>
                <w:rFonts w:ascii="Times" w:hAnsi="Times"/>
                <w:sz w:val="20"/>
                <w:szCs w:val="20"/>
                <w:vertAlign w:val="subscript"/>
              </w:rPr>
              <w:t>2</w:t>
            </w:r>
            <w:r w:rsidRPr="000B06A4">
              <w:rPr>
                <w:rFonts w:ascii="Times" w:hAnsi="Times"/>
                <w:sz w:val="20"/>
                <w:szCs w:val="20"/>
              </w:rPr>
              <w:t xml:space="preserve"> </w:t>
            </w:r>
            <w:proofErr w:type="spellStart"/>
            <w:r w:rsidRPr="000B06A4">
              <w:rPr>
                <w:rFonts w:ascii="Times" w:hAnsi="Times"/>
                <w:sz w:val="20"/>
                <w:szCs w:val="20"/>
              </w:rPr>
              <w:t>nanofleeces</w:t>
            </w:r>
            <w:proofErr w:type="spellEnd"/>
          </w:p>
        </w:tc>
        <w:tc>
          <w:tcPr>
            <w:tcW w:w="1133" w:type="dxa"/>
            <w:vAlign w:val="center"/>
          </w:tcPr>
          <w:p w14:paraId="44934E03"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0.1 M KOH</w:t>
            </w:r>
          </w:p>
        </w:tc>
        <w:tc>
          <w:tcPr>
            <w:tcW w:w="1260" w:type="dxa"/>
            <w:gridSpan w:val="3"/>
            <w:vAlign w:val="center"/>
          </w:tcPr>
          <w:p w14:paraId="6224A1C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32603813"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0.25</w:t>
            </w:r>
          </w:p>
        </w:tc>
        <w:tc>
          <w:tcPr>
            <w:tcW w:w="667" w:type="dxa"/>
            <w:gridSpan w:val="3"/>
            <w:vAlign w:val="center"/>
          </w:tcPr>
          <w:p w14:paraId="3053FB62"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357</w:t>
            </w:r>
          </w:p>
        </w:tc>
        <w:tc>
          <w:tcPr>
            <w:tcW w:w="1080" w:type="dxa"/>
            <w:gridSpan w:val="3"/>
            <w:vAlign w:val="center"/>
          </w:tcPr>
          <w:p w14:paraId="20DFA736"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32</w:t>
            </w:r>
          </w:p>
        </w:tc>
        <w:tc>
          <w:tcPr>
            <w:tcW w:w="270" w:type="dxa"/>
            <w:gridSpan w:val="3"/>
          </w:tcPr>
          <w:p w14:paraId="3F1E7678"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0EB3A7BF"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CV 2000 cycles</w:t>
            </w:r>
          </w:p>
        </w:tc>
        <w:tc>
          <w:tcPr>
            <w:tcW w:w="814" w:type="dxa"/>
            <w:gridSpan w:val="3"/>
            <w:vAlign w:val="center"/>
          </w:tcPr>
          <w:p w14:paraId="1D370F2C"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2766" w:type="dxa"/>
            <w:gridSpan w:val="4"/>
            <w:vAlign w:val="center"/>
          </w:tcPr>
          <w:p w14:paraId="644DDB15" w14:textId="7977B166" w:rsidR="00F35D51" w:rsidRPr="000B06A4" w:rsidRDefault="00F35D51" w:rsidP="00B05959">
            <w:pPr>
              <w:spacing w:line="276" w:lineRule="auto"/>
              <w:rPr>
                <w:rFonts w:ascii="Times" w:hAnsi="Times"/>
                <w:sz w:val="20"/>
                <w:szCs w:val="20"/>
              </w:rPr>
            </w:pPr>
            <w:proofErr w:type="spellStart"/>
            <w:r w:rsidRPr="000B06A4">
              <w:rPr>
                <w:rFonts w:ascii="Times" w:hAnsi="Times"/>
                <w:sz w:val="20"/>
                <w:szCs w:val="20"/>
              </w:rPr>
              <w:t>Angew</w:t>
            </w:r>
            <w:proofErr w:type="spellEnd"/>
            <w:r w:rsidRPr="000B06A4">
              <w:rPr>
                <w:rFonts w:ascii="Times" w:hAnsi="Times"/>
                <w:sz w:val="20"/>
                <w:szCs w:val="20"/>
              </w:rPr>
              <w:t xml:space="preserve">. Chem., 2017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{"citationItems":[{"id":"ITEM-1","itemData":{"DOI":"10.1002/anie.201701998","ISSN":"15213773","abstract":"Co-based nanomaterials have been intensively explored as promising noble metal free oxygen evolution reaction (OER) electrocatalysts. Herein, we first report phase selective synthesis of novel hierarchical CoTe2 and CoTe nanofleeces for efficient OER catalyst. The CoTe2 nanofleeces exhibited excellent electrocatalytic activity and stablity for OER in alkaline media. It has been discovered that the CoTe2 catalyst exhibited superior OER activity to the CoTe catalyst and comparable to the state-of-the-art RuO2 catalyst. Density functional theory calculations showed that the binding strength and lateral interaction of the reaction intermediates on CoTe2 and CoTe are essential for the order of their overpotential and the trend variation at different condition. This study provides value insights for rational design of noble metal free OER catalysts with high performance and low cost by use of Co-based chalcogenides.","author":[{"dropping-particle":"","family":"Gao","given":"Qiang","non-dropping-particle":"","parse-names":false,"suffix":""},{"dropping-particle":"","family":"Huang","given":"Chuan Qi","non-dropping-particle":"","parse-names":false,"suffix":""},{"dropping-particle":"","family":"Ju","given":"Yi Ming","non-dropping-particle":"","parse-names":false,"suffix":""},{"dropping-particle":"","family":"Gao","given":"Min Rui","non-dropping-particle":"","parse-names":false,"suffix":""},{"dropping-particle":"","family":"Liu","given":"Jian Wei","non-dropping-particle":"","parse-names":false,"suffix":""},{"dropping-particle":"","family":"An","given":"Duo","non-dropping-particle":"","parse-names":false,"suffix":""},{"dropping-particle":"","family":"Cui","given":"Chun Hua","non-dropping-particle":"","parse-names":false,"suffix":""},{"dropping-particle":"","family":"Zheng","given":"Ya Rong","non-dropping-particle":"","parse-names":false,"suffix":""},{"dropping-particle":"","family":"Li","given":"Wei Xue","non-dropping-particle":"","parse-names":false,"suffix":""},{"dropping-particle":"","family":"Yu","given":"Shu Hong","non-dropping-particle":"","parse-names":false,"suffix":""}],"container-title":"Angewandte Chemie - International Edition","id":"ITEM-1","issue":"27","issued":{"date-parts":[["2017"]]},"page":"7769-7773","title":"Phase-Selective Syntheses of Cobalt Telluride Nanofleeces for Efficient Oxygen Evolution Catalysts","type":"article-journal","volume":"56"},"uris":["http://www.mendeley.com/documents/?uuid=3538713d-00a1-427c-86ab-f44159e4e17d"]}],"mendeley":{"formattedCitation":"&lt;sup&gt;65&lt;/sup&gt;","plainTextFormattedCitation":"65","previouslyFormattedCitation":"&lt;sup&gt;64&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65</w:t>
            </w:r>
            <w:r w:rsidRPr="000B06A4">
              <w:rPr>
                <w:rFonts w:ascii="Times" w:hAnsi="Times"/>
                <w:sz w:val="20"/>
                <w:szCs w:val="20"/>
              </w:rPr>
              <w:fldChar w:fldCharType="end"/>
            </w:r>
          </w:p>
        </w:tc>
      </w:tr>
      <w:tr w:rsidR="00F35D51" w:rsidRPr="000B06A4" w14:paraId="77358DF3" w14:textId="77777777" w:rsidTr="00B05959">
        <w:trPr>
          <w:trHeight w:val="432"/>
        </w:trPr>
        <w:tc>
          <w:tcPr>
            <w:tcW w:w="554" w:type="dxa"/>
            <w:vAlign w:val="center"/>
          </w:tcPr>
          <w:p w14:paraId="719837C1"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53</w:t>
            </w:r>
          </w:p>
        </w:tc>
        <w:tc>
          <w:tcPr>
            <w:tcW w:w="2250" w:type="dxa"/>
            <w:vAlign w:val="center"/>
          </w:tcPr>
          <w:p w14:paraId="779FD15C" w14:textId="77777777" w:rsidR="00F35D51" w:rsidRPr="009541FB" w:rsidRDefault="00F35D51" w:rsidP="00B05959">
            <w:pPr>
              <w:spacing w:line="276" w:lineRule="auto"/>
              <w:rPr>
                <w:rFonts w:ascii="Times" w:hAnsi="Times"/>
                <w:sz w:val="20"/>
                <w:szCs w:val="20"/>
                <w:vertAlign w:val="subscript"/>
              </w:rPr>
            </w:pPr>
            <w:r w:rsidRPr="009541FB">
              <w:rPr>
                <w:rFonts w:ascii="Times" w:hAnsi="Times"/>
                <w:sz w:val="20"/>
                <w:szCs w:val="20"/>
              </w:rPr>
              <w:t>PrBa</w:t>
            </w:r>
            <w:r w:rsidRPr="009541FB">
              <w:rPr>
                <w:rFonts w:ascii="Times" w:hAnsi="Times"/>
                <w:sz w:val="20"/>
                <w:szCs w:val="20"/>
                <w:vertAlign w:val="subscript"/>
              </w:rPr>
              <w:t>0.5</w:t>
            </w:r>
            <w:r w:rsidRPr="009541FB">
              <w:rPr>
                <w:rFonts w:ascii="Times" w:hAnsi="Times"/>
                <w:sz w:val="20"/>
                <w:szCs w:val="20"/>
              </w:rPr>
              <w:t>Sr</w:t>
            </w:r>
            <w:r w:rsidRPr="009541FB">
              <w:rPr>
                <w:rFonts w:ascii="Times" w:hAnsi="Times"/>
                <w:sz w:val="20"/>
                <w:szCs w:val="20"/>
                <w:vertAlign w:val="subscript"/>
              </w:rPr>
              <w:t>0.5</w:t>
            </w:r>
            <w:r w:rsidRPr="009541FB">
              <w:rPr>
                <w:rFonts w:ascii="Times" w:hAnsi="Times"/>
                <w:sz w:val="20"/>
                <w:szCs w:val="20"/>
              </w:rPr>
              <w:t>Co</w:t>
            </w:r>
            <w:r w:rsidRPr="009541FB">
              <w:rPr>
                <w:rFonts w:ascii="Times" w:hAnsi="Times"/>
                <w:sz w:val="20"/>
                <w:szCs w:val="20"/>
                <w:vertAlign w:val="subscript"/>
              </w:rPr>
              <w:t>1.5</w:t>
            </w:r>
            <w:r w:rsidRPr="009541FB">
              <w:rPr>
                <w:rFonts w:ascii="Times" w:hAnsi="Times"/>
                <w:sz w:val="20"/>
                <w:szCs w:val="20"/>
              </w:rPr>
              <w:t>Fe</w:t>
            </w:r>
            <w:r w:rsidRPr="009541FB">
              <w:rPr>
                <w:rFonts w:ascii="Times" w:hAnsi="Times"/>
                <w:sz w:val="20"/>
                <w:szCs w:val="20"/>
                <w:vertAlign w:val="subscript"/>
              </w:rPr>
              <w:t>0.5</w:t>
            </w:r>
            <w:r w:rsidRPr="009541FB">
              <w:rPr>
                <w:rFonts w:ascii="Times" w:hAnsi="Times"/>
                <w:sz w:val="20"/>
                <w:szCs w:val="20"/>
              </w:rPr>
              <w:t>O</w:t>
            </w:r>
            <w:r w:rsidRPr="009541FB">
              <w:rPr>
                <w:rFonts w:ascii="Times" w:hAnsi="Times"/>
                <w:sz w:val="20"/>
                <w:szCs w:val="20"/>
                <w:vertAlign w:val="subscript"/>
              </w:rPr>
              <w:t>5</w:t>
            </w:r>
          </w:p>
        </w:tc>
        <w:tc>
          <w:tcPr>
            <w:tcW w:w="1133" w:type="dxa"/>
            <w:vAlign w:val="center"/>
          </w:tcPr>
          <w:p w14:paraId="492FA624"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0.1 M KOH</w:t>
            </w:r>
          </w:p>
        </w:tc>
        <w:tc>
          <w:tcPr>
            <w:tcW w:w="1260" w:type="dxa"/>
            <w:gridSpan w:val="3"/>
            <w:vAlign w:val="center"/>
          </w:tcPr>
          <w:p w14:paraId="44058653"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22FEF06D"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0.202</w:t>
            </w:r>
          </w:p>
        </w:tc>
        <w:tc>
          <w:tcPr>
            <w:tcW w:w="667" w:type="dxa"/>
            <w:gridSpan w:val="3"/>
            <w:vAlign w:val="center"/>
          </w:tcPr>
          <w:p w14:paraId="295A4A02"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358</w:t>
            </w:r>
          </w:p>
        </w:tc>
        <w:tc>
          <w:tcPr>
            <w:tcW w:w="1080" w:type="dxa"/>
            <w:gridSpan w:val="3"/>
            <w:vAlign w:val="center"/>
          </w:tcPr>
          <w:p w14:paraId="07D6025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52</w:t>
            </w:r>
          </w:p>
        </w:tc>
        <w:tc>
          <w:tcPr>
            <w:tcW w:w="270" w:type="dxa"/>
            <w:gridSpan w:val="3"/>
          </w:tcPr>
          <w:p w14:paraId="3824DF15"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798EFECB"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CP @10mA.cm</w:t>
            </w:r>
            <w:r w:rsidRPr="000B06A4">
              <w:rPr>
                <w:rFonts w:ascii="Times" w:hAnsi="Times"/>
                <w:sz w:val="20"/>
                <w:szCs w:val="20"/>
                <w:vertAlign w:val="superscript"/>
              </w:rPr>
              <w:t>-2</w:t>
            </w:r>
          </w:p>
        </w:tc>
        <w:tc>
          <w:tcPr>
            <w:tcW w:w="814" w:type="dxa"/>
            <w:gridSpan w:val="3"/>
            <w:vAlign w:val="center"/>
          </w:tcPr>
          <w:p w14:paraId="7DD1AD99"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12</w:t>
            </w:r>
          </w:p>
        </w:tc>
        <w:tc>
          <w:tcPr>
            <w:tcW w:w="2766" w:type="dxa"/>
            <w:gridSpan w:val="4"/>
            <w:vAlign w:val="center"/>
          </w:tcPr>
          <w:p w14:paraId="6FFDD086" w14:textId="3020D77B"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Nat. Comm., 2017 </w:t>
            </w:r>
            <w:r w:rsidRPr="000B06A4">
              <w:rPr>
                <w:rFonts w:ascii="Times" w:hAnsi="Times"/>
                <w:sz w:val="20"/>
                <w:szCs w:val="20"/>
              </w:rPr>
              <w:fldChar w:fldCharType="begin" w:fldLock="1"/>
            </w:r>
            <w:r w:rsidR="00125386">
              <w:rPr>
                <w:rFonts w:ascii="Times" w:hAnsi="Times"/>
                <w:sz w:val="20"/>
                <w:szCs w:val="20"/>
              </w:rPr>
              <w:instrText xml:space="preserve">ADDIN CSL_CITATION {"citationItems":[{"id":"ITEM-1","itemData":{"DOI":"10.1038/ncomms14586","ISSN":"20411723","abstract":"© 2017 Japan Antibiotics Research Association All rights reserved. Rechargeable metal-air batteries and water splitting are highly competitive options for a sustainable energy future, but their commercialization is hindered by the absence of cost-effective, highly efficient and stable catalysts for the oxygen evolution reaction. Here we report the rational design and synthesis of a double perovskite PrBa 0.5 Sr 0.5 Co 1.5 Fe 0.5 O 5 nanofiber as a highly efficient and robust catalyst for the oxygen evolution reaction. Co-doping of strontium and iron into PrBaCo 2 O 5δ is found to be very effective in enhancing intrinsic activity (normalized by the geometrical surface area, </w:instrText>
            </w:r>
            <w:r w:rsidR="00125386">
              <w:rPr>
                <w:rFonts w:ascii="Cambria Math" w:hAnsi="Cambria Math" w:cs="Cambria Math"/>
                <w:sz w:val="20"/>
                <w:szCs w:val="20"/>
              </w:rPr>
              <w:instrText>∼</w:instrText>
            </w:r>
            <w:r w:rsidR="00125386">
              <w:rPr>
                <w:rFonts w:ascii="Times" w:hAnsi="Times"/>
                <w:sz w:val="20"/>
                <w:szCs w:val="20"/>
              </w:rPr>
              <w:instrText xml:space="preserve">4.7 times), as validated by electrochemical measurements and first-principles calculations. Further, the nanofiber morphology enhances its mass activity remarkably (by </w:instrText>
            </w:r>
            <w:r w:rsidR="00125386">
              <w:rPr>
                <w:rFonts w:ascii="Cambria Math" w:hAnsi="Cambria Math" w:cs="Cambria Math"/>
                <w:sz w:val="20"/>
                <w:szCs w:val="20"/>
              </w:rPr>
              <w:instrText>∼</w:instrText>
            </w:r>
            <w:r w:rsidR="00125386">
              <w:rPr>
                <w:rFonts w:ascii="Times" w:hAnsi="Times"/>
                <w:sz w:val="20"/>
                <w:szCs w:val="20"/>
              </w:rPr>
              <w:instrText xml:space="preserve">20 times) as the diameter is reduced to </w:instrText>
            </w:r>
            <w:r w:rsidR="00125386">
              <w:rPr>
                <w:rFonts w:ascii="Cambria Math" w:hAnsi="Cambria Math" w:cs="Cambria Math"/>
                <w:sz w:val="20"/>
                <w:szCs w:val="20"/>
              </w:rPr>
              <w:instrText>∼</w:instrText>
            </w:r>
            <w:r w:rsidR="00125386">
              <w:rPr>
                <w:rFonts w:ascii="Times" w:hAnsi="Times"/>
                <w:sz w:val="20"/>
                <w:szCs w:val="20"/>
              </w:rPr>
              <w:instrText>20 nm, attributed to the increased surface area and an unexpected intrinsic activity enhancement due possibly to a favourable e g electron filling associated with partial surface reduction, as unravelled from chemical titration and electron energy-loss spectroscopy.","author":[{"dropping-particle":"","family":"Zhao","given":"Bote","non-dropping-particle":"","parse-names":false,"suffix":""},{"dropping-particle":"","family":"Zhang","given":"Lei","non-dropping-particle":"","parse-names":false,"suffix":""},{"dropping-particle":"","family":"Zhen","given":"Dongxing","non-dropping-particle":"","parse-names":false,"suffix":""},{"dropping-particle":"","family":"Yoo","given":"Seonyoung","non-dropping-particle":"","parse-names":false,"suffix":""},{"dropping-particle":"","family":"Ding","given":"Yong","non-dropping-particle":"","parse-names":false,"suffix":""},{"dropping-particle":"","family":"Chen","given":"Dongchang","non-dropping-particle":"","parse-names":false,"suffix":""},{"dropping-particle":"","family":"Chen","given":"Yu","non-dropping-particle":"","parse-names":false,"suffix":""},{"dropping-particle":"","family":"Zhang","given":"Qiaobao","non-dropping-particle":"","parse-names":false,"suffix":""},{"dropping-particle":"","family":"Doyle","given":"Brian","non-dropping-particle":"","parse-names":false,"suffix":""},{"dropping-particle":"","family":"Xiong","given":"Xunhui","non-dropping-particle":"","parse-names":false,"suffix":""},{"dropping-particle":"","family":"Liu","given":"Meilin","non-dropping-particle":"","parse-names":false,"suffix":""}],"container-title":"Nature Communications","id":"ITEM-1","issued":{"date-parts":[["2017"]]},"page":"1-9","publisher":"Nature Publishing Group","title":"A tailored double perovskite nanofiber catalyst enables ultrafast oxygen evolution","type":"article-journal","volume":"8"},"uris":["http://www.mendeley.com/documents/?uuid=ce839421-b706-4a66-a3fb-c5fcac78a4f7"]}],"mendeley":{"formattedCitation":"&lt;sup&gt;66&lt;/sup&gt;","plainTextFormattedCitation":"66","previouslyFormattedCitation":"&lt;sup&gt;65&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66</w:t>
            </w:r>
            <w:r w:rsidRPr="000B06A4">
              <w:rPr>
                <w:rFonts w:ascii="Times" w:hAnsi="Times"/>
                <w:sz w:val="20"/>
                <w:szCs w:val="20"/>
              </w:rPr>
              <w:fldChar w:fldCharType="end"/>
            </w:r>
          </w:p>
        </w:tc>
      </w:tr>
      <w:tr w:rsidR="00F35D51" w:rsidRPr="000B06A4" w14:paraId="65EB35FA" w14:textId="77777777" w:rsidTr="00B05959">
        <w:trPr>
          <w:trHeight w:val="432"/>
        </w:trPr>
        <w:tc>
          <w:tcPr>
            <w:tcW w:w="554" w:type="dxa"/>
            <w:vAlign w:val="center"/>
          </w:tcPr>
          <w:p w14:paraId="5C93AB6C"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54</w:t>
            </w:r>
          </w:p>
        </w:tc>
        <w:tc>
          <w:tcPr>
            <w:tcW w:w="2250" w:type="dxa"/>
            <w:vAlign w:val="center"/>
          </w:tcPr>
          <w:p w14:paraId="282429B9"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a-</w:t>
            </w:r>
            <w:proofErr w:type="spellStart"/>
            <w:r w:rsidRPr="000B06A4">
              <w:rPr>
                <w:rFonts w:ascii="Times" w:hAnsi="Times"/>
                <w:sz w:val="20"/>
                <w:szCs w:val="20"/>
              </w:rPr>
              <w:t>CoVO</w:t>
            </w:r>
            <w:r w:rsidRPr="000B06A4">
              <w:rPr>
                <w:rFonts w:ascii="Times" w:hAnsi="Times"/>
                <w:sz w:val="20"/>
                <w:szCs w:val="20"/>
                <w:vertAlign w:val="subscript"/>
              </w:rPr>
              <w:t>x</w:t>
            </w:r>
            <w:proofErr w:type="spellEnd"/>
            <w:r w:rsidRPr="000B06A4">
              <w:rPr>
                <w:rFonts w:ascii="Times" w:hAnsi="Times"/>
                <w:sz w:val="20"/>
                <w:szCs w:val="20"/>
              </w:rPr>
              <w:t>/GC</w:t>
            </w:r>
          </w:p>
        </w:tc>
        <w:tc>
          <w:tcPr>
            <w:tcW w:w="1133" w:type="dxa"/>
            <w:vAlign w:val="center"/>
          </w:tcPr>
          <w:p w14:paraId="0E616FB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4B082463"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1268C06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0.14</w:t>
            </w:r>
          </w:p>
        </w:tc>
        <w:tc>
          <w:tcPr>
            <w:tcW w:w="667" w:type="dxa"/>
            <w:gridSpan w:val="3"/>
            <w:vAlign w:val="center"/>
          </w:tcPr>
          <w:p w14:paraId="57AB2D54"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358</w:t>
            </w:r>
          </w:p>
        </w:tc>
        <w:tc>
          <w:tcPr>
            <w:tcW w:w="1080" w:type="dxa"/>
            <w:gridSpan w:val="3"/>
            <w:vAlign w:val="center"/>
          </w:tcPr>
          <w:p w14:paraId="5CF6C289"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51</w:t>
            </w:r>
          </w:p>
        </w:tc>
        <w:tc>
          <w:tcPr>
            <w:tcW w:w="270" w:type="dxa"/>
            <w:gridSpan w:val="3"/>
          </w:tcPr>
          <w:p w14:paraId="0191E581"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551E3046"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w:t>
            </w:r>
          </w:p>
        </w:tc>
        <w:tc>
          <w:tcPr>
            <w:tcW w:w="814" w:type="dxa"/>
            <w:gridSpan w:val="3"/>
            <w:vAlign w:val="center"/>
          </w:tcPr>
          <w:p w14:paraId="022EBFE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2766" w:type="dxa"/>
            <w:gridSpan w:val="4"/>
            <w:vAlign w:val="center"/>
          </w:tcPr>
          <w:p w14:paraId="5685CBE0" w14:textId="63D6F4B6"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ACS Catalysis, 2018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{"citationItems":[{"id":"ITEM-1","itemData":{"DOI":"10.1021/acscatal.7b03198","ISSN":"21555435","abstract":"The water-splitting reaction provides a promising mechanism to store renewable energies in the form of hydrogen fuel. The oxidation half-reaction, the oxygen evolution reaction (OER), is a complex four-electron process that constitutes an efficiency bottleneck in water splitting. Here we report a highly active OER catalyst, cobalt vanadium oxide. The catalyst is designed on the basis of a volcano plot of metal−OH bond strength and activity. The catalyst can be synthesized by a facile hydrothermal route. The most active pure-phase material (a-CoVO x) is X-ray amorphous and provides a 10 mA cm −2 current density at an overpotential of 347 mV in 1 M KOH electrolyte when immobilized on a flat substrate. The synthetic method can also be applied to coat a high-surface-area substrate such as nickel foam. On this three-dimensional substrate, the a-CoVO x catalyst is highly active, reaching 10 mA cm −2 at 254 mV overpotential, with a Tafel slope of only 35 mV dec −1 . This work demonstrates a-CoVO x as a promising electrocatalyst for oxygen evolution and validates M−OH bond strength as a practical descriptor in OER catalysis.","author":[{"dropping-particle":"","family":"Liardet","given":"Laurent","non-dropping-particle":"","parse-names":false,"suffix":""},{"dropping-particle":"","family":"Hu","given":"Xile","non-dropping-particle":"","parse-names":false,"suffix":""}],"container-title":"ACS Catalysis","id":"ITEM-1","issue":"1","issued":{"date-parts":[["2018"]]},"page":"644-650","title":"Amorphous Cobalt Vanadium Oxide as a Highly Active Electrocatalyst for Oxygen Evolution","type":"article-journal","volume":"8"},"uris":["http://www.mendeley.com/documents/?uuid=4221b64d-b358-421c-9961-6fa3eb9bebac"]}],"mendeley":{"formattedCitation":"&lt;sup&gt;32&lt;/sup&gt;","plainTextFormattedCitation":"32","previouslyFormattedCitation":"&lt;sup&gt;31&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32</w:t>
            </w:r>
            <w:r w:rsidRPr="000B06A4">
              <w:rPr>
                <w:rFonts w:ascii="Times" w:hAnsi="Times"/>
                <w:sz w:val="20"/>
                <w:szCs w:val="20"/>
              </w:rPr>
              <w:fldChar w:fldCharType="end"/>
            </w:r>
          </w:p>
        </w:tc>
      </w:tr>
      <w:tr w:rsidR="00F35D51" w:rsidRPr="000B06A4" w14:paraId="15ECE9F4" w14:textId="77777777" w:rsidTr="00B05959">
        <w:trPr>
          <w:trHeight w:val="432"/>
        </w:trPr>
        <w:tc>
          <w:tcPr>
            <w:tcW w:w="554" w:type="dxa"/>
            <w:vAlign w:val="center"/>
          </w:tcPr>
          <w:p w14:paraId="0B82B45B"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55</w:t>
            </w:r>
          </w:p>
        </w:tc>
        <w:tc>
          <w:tcPr>
            <w:tcW w:w="2250" w:type="dxa"/>
            <w:vAlign w:val="center"/>
          </w:tcPr>
          <w:p w14:paraId="304DB631"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Ni</w:t>
            </w:r>
            <w:r w:rsidRPr="000B06A4">
              <w:rPr>
                <w:rFonts w:ascii="Times" w:hAnsi="Times"/>
                <w:sz w:val="20"/>
                <w:szCs w:val="20"/>
                <w:vertAlign w:val="subscript"/>
              </w:rPr>
              <w:t>0.5</w:t>
            </w:r>
            <w:r w:rsidRPr="000B06A4">
              <w:rPr>
                <w:rFonts w:ascii="Times" w:hAnsi="Times"/>
                <w:sz w:val="20"/>
                <w:szCs w:val="20"/>
              </w:rPr>
              <w:t>Co</w:t>
            </w:r>
            <w:r w:rsidRPr="000B06A4">
              <w:rPr>
                <w:rFonts w:ascii="Times" w:hAnsi="Times"/>
                <w:sz w:val="20"/>
                <w:szCs w:val="20"/>
                <w:vertAlign w:val="subscript"/>
              </w:rPr>
              <w:t>0.5</w:t>
            </w:r>
            <w:r w:rsidRPr="000B06A4">
              <w:rPr>
                <w:rFonts w:ascii="Times" w:hAnsi="Times"/>
                <w:sz w:val="20"/>
                <w:szCs w:val="20"/>
              </w:rPr>
              <w:t>Se</w:t>
            </w:r>
          </w:p>
        </w:tc>
        <w:tc>
          <w:tcPr>
            <w:tcW w:w="1133" w:type="dxa"/>
            <w:vAlign w:val="center"/>
          </w:tcPr>
          <w:p w14:paraId="305332F2"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02D629C9"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CC</w:t>
            </w:r>
          </w:p>
        </w:tc>
        <w:tc>
          <w:tcPr>
            <w:tcW w:w="1170" w:type="dxa"/>
            <w:gridSpan w:val="3"/>
            <w:vAlign w:val="center"/>
          </w:tcPr>
          <w:p w14:paraId="6D0DBC83"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w:t>
            </w:r>
          </w:p>
        </w:tc>
        <w:tc>
          <w:tcPr>
            <w:tcW w:w="667" w:type="dxa"/>
            <w:gridSpan w:val="3"/>
            <w:vAlign w:val="center"/>
          </w:tcPr>
          <w:p w14:paraId="4305EC2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360</w:t>
            </w:r>
          </w:p>
        </w:tc>
        <w:tc>
          <w:tcPr>
            <w:tcW w:w="1080" w:type="dxa"/>
            <w:gridSpan w:val="3"/>
            <w:vAlign w:val="center"/>
          </w:tcPr>
          <w:p w14:paraId="55413044"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98</w:t>
            </w:r>
          </w:p>
        </w:tc>
        <w:tc>
          <w:tcPr>
            <w:tcW w:w="270" w:type="dxa"/>
            <w:gridSpan w:val="3"/>
          </w:tcPr>
          <w:p w14:paraId="40E57EF7"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3F44908A"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w:t>
            </w:r>
          </w:p>
        </w:tc>
        <w:tc>
          <w:tcPr>
            <w:tcW w:w="814" w:type="dxa"/>
            <w:gridSpan w:val="3"/>
            <w:vAlign w:val="center"/>
          </w:tcPr>
          <w:p w14:paraId="4469CA8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2766" w:type="dxa"/>
            <w:gridSpan w:val="4"/>
            <w:vAlign w:val="center"/>
          </w:tcPr>
          <w:p w14:paraId="298CB448" w14:textId="6A033C94"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Nano-Micro Lett., 2019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10.1007/s40820-019-0258-0","ISBN":"0123456789","ISSN":"21505551","author":[{"dropping-particle":"","family":"Qian","given":"Zhengxin","non-dropping-particle":"","parse-names":false,"suffix":""},{"dropping-particle":"","family":"Chen","given":"Yinghuan","non-dropping-particle":"","parse-names":false,"suffix":""},{"dropping-particle":"","family":"Tang","given":"Zhenghua","non-dropping-particle":"","parse-names":false,"suffix":""},{"dropping-particle":"","family":"Liu","given":"Zhen","non-dropping-particle":"","parse-names":false,"suffix":""},{"dropping-particle":"","family":"Wang","given":"Xiufang","non-dropping-particle":"","parse-names":false,"suffix":""},{"dropping-particle":"","family":"Tian","given":"Yong","non-dropping-particle":"","parse-names":false,"suffix":""},{"dropping-particle":"","family":"Gao","given":"Wei","non-dropping-particle":"","parse-names":false,"suffix":""}],"container-title":"Nano-Micro Letters","id":"ITEM-1","issue":"1","issued":{"date-parts":[["2019"]]},"publisher":"Springer Singapore","title":"Hollow Nanocages of NixCo1−xSe for Efficient Zinc–Air Batteries and Overall Water Splitting","type":"article-journal","volume":"11"},"uris":["http://www.mendeley.com/documents/?uuid=4617eacf-677e-4276-8ff0-e2ca28d1c356"]}],"mendeley":{"formattedCitation":"&lt;sup&gt;39&lt;/sup&gt;","plainTextFormattedCitation":"39","previouslyFormattedCitation":"&lt;sup&gt;38&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39</w:t>
            </w:r>
            <w:r w:rsidRPr="000B06A4">
              <w:rPr>
                <w:rFonts w:ascii="Times" w:hAnsi="Times"/>
                <w:sz w:val="20"/>
                <w:szCs w:val="20"/>
              </w:rPr>
              <w:fldChar w:fldCharType="end"/>
            </w:r>
          </w:p>
        </w:tc>
      </w:tr>
      <w:tr w:rsidR="00F35D51" w:rsidRPr="000B06A4" w14:paraId="61A862B8" w14:textId="77777777" w:rsidTr="00B05959">
        <w:trPr>
          <w:trHeight w:val="432"/>
        </w:trPr>
        <w:tc>
          <w:tcPr>
            <w:tcW w:w="554" w:type="dxa"/>
            <w:vAlign w:val="center"/>
          </w:tcPr>
          <w:p w14:paraId="3CD7E72B"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56</w:t>
            </w:r>
          </w:p>
        </w:tc>
        <w:tc>
          <w:tcPr>
            <w:tcW w:w="2250" w:type="dxa"/>
            <w:vAlign w:val="center"/>
          </w:tcPr>
          <w:p w14:paraId="41CC38EF"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Co</w:t>
            </w:r>
            <w:r w:rsidRPr="000B06A4">
              <w:rPr>
                <w:rFonts w:ascii="Times" w:hAnsi="Times"/>
                <w:sz w:val="20"/>
                <w:szCs w:val="20"/>
                <w:vertAlign w:val="subscript"/>
              </w:rPr>
              <w:t>3</w:t>
            </w:r>
            <w:r w:rsidRPr="000B06A4">
              <w:rPr>
                <w:rFonts w:ascii="Times" w:hAnsi="Times"/>
                <w:sz w:val="20"/>
                <w:szCs w:val="20"/>
              </w:rPr>
              <w:t>S</w:t>
            </w:r>
            <w:r w:rsidRPr="000B06A4">
              <w:rPr>
                <w:rFonts w:ascii="Times" w:hAnsi="Times"/>
                <w:sz w:val="20"/>
                <w:szCs w:val="20"/>
                <w:vertAlign w:val="subscript"/>
              </w:rPr>
              <w:t xml:space="preserve">4 </w:t>
            </w:r>
            <w:r w:rsidRPr="000B06A4">
              <w:rPr>
                <w:rFonts w:ascii="Times" w:hAnsi="Times"/>
                <w:sz w:val="20"/>
                <w:szCs w:val="20"/>
              </w:rPr>
              <w:t>nanosheets</w:t>
            </w:r>
          </w:p>
        </w:tc>
        <w:tc>
          <w:tcPr>
            <w:tcW w:w="1133" w:type="dxa"/>
            <w:vAlign w:val="center"/>
          </w:tcPr>
          <w:p w14:paraId="52B0FA4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0.1 M KOH</w:t>
            </w:r>
          </w:p>
        </w:tc>
        <w:tc>
          <w:tcPr>
            <w:tcW w:w="1260" w:type="dxa"/>
            <w:gridSpan w:val="3"/>
            <w:vAlign w:val="center"/>
          </w:tcPr>
          <w:p w14:paraId="6A7E13E9"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01CED29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0.283</w:t>
            </w:r>
          </w:p>
        </w:tc>
        <w:tc>
          <w:tcPr>
            <w:tcW w:w="667" w:type="dxa"/>
            <w:gridSpan w:val="3"/>
            <w:vAlign w:val="center"/>
          </w:tcPr>
          <w:p w14:paraId="7672023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363</w:t>
            </w:r>
          </w:p>
        </w:tc>
        <w:tc>
          <w:tcPr>
            <w:tcW w:w="1080" w:type="dxa"/>
            <w:gridSpan w:val="3"/>
            <w:vAlign w:val="center"/>
          </w:tcPr>
          <w:p w14:paraId="0ECBA82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90</w:t>
            </w:r>
          </w:p>
        </w:tc>
        <w:tc>
          <w:tcPr>
            <w:tcW w:w="270" w:type="dxa"/>
            <w:gridSpan w:val="3"/>
          </w:tcPr>
          <w:p w14:paraId="35FF15DF"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15F6D1D9"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CV 1000 cycles</w:t>
            </w:r>
          </w:p>
        </w:tc>
        <w:tc>
          <w:tcPr>
            <w:tcW w:w="814" w:type="dxa"/>
            <w:gridSpan w:val="3"/>
            <w:vAlign w:val="center"/>
          </w:tcPr>
          <w:p w14:paraId="38DD3066"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2766" w:type="dxa"/>
            <w:gridSpan w:val="4"/>
            <w:vAlign w:val="center"/>
          </w:tcPr>
          <w:p w14:paraId="1896863C" w14:textId="4C1EE860"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ACS Nano, 2014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{"citationItems":[{"id":"ITEM-1","itemData":{"DOI":"10.1021/nn504755x","ISSN":"1936086X","abstract":"© 2014 American Chemical Society. Nanoporous hollow transition metal chalcogenides are of special interest for a variety of promising applications. Although some advanced synthetic methods have been reported, the development of a facile and general strategy to fabricate porous hollow nanostructures of transition metal chalcogenides, especially with enhanced electrocatalytic performance, still remains highly challenged. Herein, we report a facile chemical transformation strategy to prepare nanoporous hollow Co 3 S 4 nanosheets via the anion exchange reaction of Co(OH) 2 with sulfide ions. The chemical transformation mechanism involves the as-formed layer of nanoporous cobalt sulfide on Co(OH) 2 driven by the anion-exchange-reaction and lattice mismatch induced quick strain release, a following diffusion-effect-dominated core-shell hollow intermediate with hollow interiors, and subsequent Ostwald ripening growth of hollow nanosheets at elevated temperatures. This anion-exchange strategy of transition metal hydroxides with chalcogenide ions is also suitable for fabricating nanoporous hollow nanosheets of other metal chalcogenides (e.g., CoSe 2 , CoTe 2 , CdS, and NiS). The as-prepared nanoporous hollow Co 3 S 4 nanosheets are found to be highly active and stable for electrocatalytic oxygen evolution reaction.","author":[{"dropping-particle":"","family":"Zhao","given":"Weiwei","non-dropping-particle":"","parse-names":false,"suffix":""},{"dropping-particle":"","family":"Zhang","given":"Chao","non-dropping-particle":"","parse-names":false,"suffix":""},{"dropping-particle":"","family":"Geng","given":"Feiyang","non-dropping-particle":"","parse-names":false,"suffix":""},{"dropping-particle":"","family":"Zhuo","given":"Sifei","non-dropping-particle":"","parse-names":false,"suffix":""},{"dropping-particle":"","family":"Zhang","given":"Bin","non-dropping-particle":"","parse-names":false,"suffix":""}],"container-title":"ACS Nano","id":"ITEM-1","issue":"10","issued":{"date-parts":[["2014"]]},"page":"10909-10919","title":"Nanoporous hollow transition metal chalcogenide nanosheets synthesized via the anion-exchange reaction of metal hydroxides with chalcogenide ions","type":"article-journal","volume":"8"},"uris":["http://www.mendeley.com/documents/?uuid=f1e892ff-75cd-4da9-8fae-711c073cdfe4"]}],"mendeley":{"formattedCitation":"&lt;sup&gt;67&lt;/sup&gt;","plainTextFormattedCitation":"67","previouslyFormattedCitation":"&lt;sup&gt;66&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67</w:t>
            </w:r>
            <w:r w:rsidRPr="000B06A4">
              <w:rPr>
                <w:rFonts w:ascii="Times" w:hAnsi="Times"/>
                <w:sz w:val="20"/>
                <w:szCs w:val="20"/>
              </w:rPr>
              <w:fldChar w:fldCharType="end"/>
            </w:r>
          </w:p>
        </w:tc>
      </w:tr>
      <w:tr w:rsidR="00F35D51" w:rsidRPr="000B06A4" w14:paraId="22328AB6" w14:textId="77777777" w:rsidTr="00B05959">
        <w:trPr>
          <w:trHeight w:val="432"/>
        </w:trPr>
        <w:tc>
          <w:tcPr>
            <w:tcW w:w="554" w:type="dxa"/>
            <w:vAlign w:val="center"/>
          </w:tcPr>
          <w:p w14:paraId="13E00C28"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57</w:t>
            </w:r>
          </w:p>
        </w:tc>
        <w:tc>
          <w:tcPr>
            <w:tcW w:w="2250" w:type="dxa"/>
            <w:vAlign w:val="center"/>
          </w:tcPr>
          <w:p w14:paraId="153F0FCF"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NG-CoSe</w:t>
            </w:r>
            <w:r w:rsidRPr="000B06A4">
              <w:rPr>
                <w:rFonts w:ascii="Times" w:hAnsi="Times"/>
                <w:sz w:val="20"/>
                <w:szCs w:val="20"/>
                <w:vertAlign w:val="subscript"/>
              </w:rPr>
              <w:t>2</w:t>
            </w:r>
          </w:p>
        </w:tc>
        <w:tc>
          <w:tcPr>
            <w:tcW w:w="1133" w:type="dxa"/>
            <w:vAlign w:val="center"/>
          </w:tcPr>
          <w:p w14:paraId="2F4E314C"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0.1 M KOH</w:t>
            </w:r>
          </w:p>
        </w:tc>
        <w:tc>
          <w:tcPr>
            <w:tcW w:w="1260" w:type="dxa"/>
            <w:gridSpan w:val="3"/>
            <w:vAlign w:val="center"/>
          </w:tcPr>
          <w:p w14:paraId="65C5F3D1"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76279681"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w:t>
            </w:r>
          </w:p>
        </w:tc>
        <w:tc>
          <w:tcPr>
            <w:tcW w:w="667" w:type="dxa"/>
            <w:gridSpan w:val="3"/>
            <w:vAlign w:val="center"/>
          </w:tcPr>
          <w:p w14:paraId="67C5BD2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366</w:t>
            </w:r>
          </w:p>
        </w:tc>
        <w:tc>
          <w:tcPr>
            <w:tcW w:w="1080" w:type="dxa"/>
            <w:gridSpan w:val="3"/>
            <w:vAlign w:val="center"/>
          </w:tcPr>
          <w:p w14:paraId="27F7AAB0"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40</w:t>
            </w:r>
          </w:p>
        </w:tc>
        <w:tc>
          <w:tcPr>
            <w:tcW w:w="270" w:type="dxa"/>
            <w:gridSpan w:val="3"/>
          </w:tcPr>
          <w:p w14:paraId="635BEA04"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582D919D"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CV 2000 cycles </w:t>
            </w:r>
            <w:r w:rsidRPr="000B06A4">
              <w:rPr>
                <w:rFonts w:ascii="Times" w:hAnsi="Times"/>
                <w:sz w:val="20"/>
                <w:szCs w:val="20"/>
              </w:rPr>
              <w:br/>
              <w:t>η=+6% @10mA.cm</w:t>
            </w:r>
            <w:r w:rsidRPr="000B06A4">
              <w:rPr>
                <w:rFonts w:ascii="Times" w:hAnsi="Times"/>
                <w:sz w:val="20"/>
                <w:szCs w:val="20"/>
                <w:vertAlign w:val="superscript"/>
              </w:rPr>
              <w:t>-2</w:t>
            </w:r>
          </w:p>
        </w:tc>
        <w:tc>
          <w:tcPr>
            <w:tcW w:w="814" w:type="dxa"/>
            <w:gridSpan w:val="3"/>
            <w:vAlign w:val="center"/>
          </w:tcPr>
          <w:p w14:paraId="67381F0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2766" w:type="dxa"/>
            <w:gridSpan w:val="4"/>
            <w:vAlign w:val="center"/>
          </w:tcPr>
          <w:p w14:paraId="6F0B5E6E" w14:textId="41B4651F"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ACS Nano, 2014 </w:t>
            </w:r>
            <w:r w:rsidRPr="000B06A4">
              <w:rPr>
                <w:rFonts w:ascii="Times" w:hAnsi="Times"/>
                <w:sz w:val="20"/>
                <w:szCs w:val="20"/>
              </w:rPr>
              <w:fldChar w:fldCharType="begin" w:fldLock="1"/>
            </w:r>
            <w:r w:rsidR="00125386">
              <w:rPr>
                <w:rFonts w:ascii="Times" w:hAnsi="Times"/>
                <w:sz w:val="20"/>
                <w:szCs w:val="20"/>
              </w:rPr>
              <w:instrText xml:space="preserve">ADDIN CSL_CITATION {"citationItems":[{"id":"ITEM-1","itemData":{"DOI":"10.1021/nn500880v","ISSN":"1936086X","abstract":"The slow kinetics of the oxygen evolution reaction (OER) greatly hinders the large-scale production of hydrogen fuel from water splitting. Although many OER electrocatalysts have been developed to negotiate this difficult reaction, substantial progresses in the design of cheap, robust, and efficient catalysts are still required and have been considered a huge challenge. Here, we report a composite material consisting of CoSe2 nanobelts anchored on nitrogen-doped reduced graphene oxides (denoted as NG-CoSe2) as a highly efficient OER electrocatalyst. In 0.1 M KOH, the new NG-CoSe2 catalyst afforded a current density of 10 mA cm(-2) at a small overpotential of mere 0.366 V and a small Tafel slope of </w:instrText>
            </w:r>
            <w:r w:rsidR="00125386">
              <w:rPr>
                <w:rFonts w:ascii="Cambria Math" w:hAnsi="Cambria Math" w:cs="Cambria Math"/>
                <w:sz w:val="20"/>
                <w:szCs w:val="20"/>
              </w:rPr>
              <w:instrText>∼</w:instrText>
            </w:r>
            <w:r w:rsidR="00125386">
              <w:rPr>
                <w:rFonts w:ascii="Times" w:hAnsi="Times"/>
                <w:sz w:val="20"/>
                <w:szCs w:val="20"/>
              </w:rPr>
              <w:instrText>40 mV/decade, comparing favorably with the state-of-the-art RuO2 catalyst. This NG-CoSe2 catalyst also presents better stability than that of RuO2 under harsh OER cycling conditions. Such good OER performance is comparable to the best literature results and the synergistic effect was found to boost the OER performance. These results raise the possibility for the development of effective and robust OER electrodes by using cheap and easily prepared NG-CoSe2 to replace the expensive commercial catalysts such as RuO2 and IrO2.","author":[{"dropping-particle":"","family":"Gao","given":"Min Rui","non-dropping-particle":"","parse-names":false,"suffix":""},{"dropping-particle":"","family":"Cao","given":"Xuan","non-dropping-particle":"","parse-names":false,"suffix":""},{"dropping-particle":"","family":"Gao","given":"Qiang","non-dropping-particle":"","parse-names":false,"suffix":""},{"dropping-particle":"","family":"Xu","given":"Yun Fei","non-dropping-particle":"","parse-names":false,"suffix":""},{"dropping-particle":"","family":"Zheng","given":"Ya Rong","non-dropping-particle":"","parse-names":false,"suffix":""},{"dropping-particle":"","family":"Jiang","given":"Jun","non-dropping-particle":"","parse-names":false,"suffix":""},{"dropping-particle":"","family":"Yu","given":"Shu Hong","non-dropping-particle":"","parse-names":false,"suffix":""}],"container-title":"ACS Nano","id":"ITEM-1","issue":"4","issued":{"date-parts":[["2014"]]},"page":"3970-3978","title":"Nitrogen-doped graphene supported CoSe2 nanobelt composite catalyst for efficient water oxidation","type":"article-journal","volume":"8"},"uris":["http://www.mendeley.com/documents/?uuid=3c4f42cb-08c9-41a7-b810-182240c56b0d"]}],"mendeley":{"formattedCitation":"&lt;sup&gt;68&lt;/sup&gt;","plainTextFormattedCitation":"68","previouslyFormattedCitation":"&lt;sup&gt;67&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68</w:t>
            </w:r>
            <w:r w:rsidRPr="000B06A4">
              <w:rPr>
                <w:rFonts w:ascii="Times" w:hAnsi="Times"/>
                <w:sz w:val="20"/>
                <w:szCs w:val="20"/>
              </w:rPr>
              <w:fldChar w:fldCharType="end"/>
            </w:r>
          </w:p>
        </w:tc>
      </w:tr>
      <w:tr w:rsidR="00F35D51" w:rsidRPr="000B06A4" w14:paraId="0D92E7FB" w14:textId="77777777" w:rsidTr="00B05959">
        <w:trPr>
          <w:trHeight w:val="432"/>
        </w:trPr>
        <w:tc>
          <w:tcPr>
            <w:tcW w:w="554" w:type="dxa"/>
            <w:vAlign w:val="center"/>
          </w:tcPr>
          <w:p w14:paraId="08003F90" w14:textId="77777777" w:rsidR="00F35D51" w:rsidRPr="000B06A4" w:rsidRDefault="00F35D51" w:rsidP="00B05959">
            <w:pPr>
              <w:jc w:val="center"/>
              <w:rPr>
                <w:rFonts w:ascii="Times" w:hAnsi="Times"/>
                <w:sz w:val="20"/>
                <w:szCs w:val="20"/>
              </w:rPr>
            </w:pPr>
            <w:r>
              <w:rPr>
                <w:rFonts w:ascii="Times" w:hAnsi="Times"/>
                <w:sz w:val="20"/>
                <w:szCs w:val="20"/>
              </w:rPr>
              <w:t>58</w:t>
            </w:r>
          </w:p>
        </w:tc>
        <w:tc>
          <w:tcPr>
            <w:tcW w:w="2250" w:type="dxa"/>
            <w:vAlign w:val="center"/>
          </w:tcPr>
          <w:p w14:paraId="0C9329D1" w14:textId="77777777" w:rsidR="00F35D51" w:rsidRPr="000B06A4" w:rsidRDefault="00F35D51" w:rsidP="00B05959">
            <w:pPr>
              <w:rPr>
                <w:rFonts w:ascii="Times" w:hAnsi="Times"/>
                <w:sz w:val="20"/>
                <w:szCs w:val="20"/>
              </w:rPr>
            </w:pPr>
            <w:r w:rsidRPr="000B06A4">
              <w:rPr>
                <w:rFonts w:ascii="Times" w:hAnsi="Times"/>
                <w:sz w:val="20"/>
                <w:szCs w:val="20"/>
              </w:rPr>
              <w:t>NiCo LDH</w:t>
            </w:r>
          </w:p>
        </w:tc>
        <w:tc>
          <w:tcPr>
            <w:tcW w:w="1133" w:type="dxa"/>
            <w:vAlign w:val="center"/>
          </w:tcPr>
          <w:p w14:paraId="04B7FABD"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211AE6E6"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CP</w:t>
            </w:r>
          </w:p>
        </w:tc>
        <w:tc>
          <w:tcPr>
            <w:tcW w:w="1170" w:type="dxa"/>
            <w:gridSpan w:val="3"/>
            <w:vAlign w:val="center"/>
          </w:tcPr>
          <w:p w14:paraId="2018CEE9"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0.17</w:t>
            </w:r>
          </w:p>
        </w:tc>
        <w:tc>
          <w:tcPr>
            <w:tcW w:w="667" w:type="dxa"/>
            <w:gridSpan w:val="3"/>
            <w:vAlign w:val="center"/>
          </w:tcPr>
          <w:p w14:paraId="72C693D0"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367</w:t>
            </w:r>
          </w:p>
        </w:tc>
        <w:tc>
          <w:tcPr>
            <w:tcW w:w="1080" w:type="dxa"/>
            <w:gridSpan w:val="3"/>
            <w:vAlign w:val="center"/>
          </w:tcPr>
          <w:p w14:paraId="4721843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40</w:t>
            </w:r>
          </w:p>
        </w:tc>
        <w:tc>
          <w:tcPr>
            <w:tcW w:w="270" w:type="dxa"/>
            <w:gridSpan w:val="3"/>
          </w:tcPr>
          <w:p w14:paraId="6BDA9409"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3B6E1DD9"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CP @20 mA.cm</w:t>
            </w:r>
            <w:r w:rsidRPr="000B06A4">
              <w:rPr>
                <w:rFonts w:ascii="Times" w:hAnsi="Times"/>
                <w:sz w:val="20"/>
                <w:szCs w:val="20"/>
                <w:vertAlign w:val="superscript"/>
              </w:rPr>
              <w:t>-2</w:t>
            </w:r>
          </w:p>
        </w:tc>
        <w:tc>
          <w:tcPr>
            <w:tcW w:w="814" w:type="dxa"/>
            <w:gridSpan w:val="3"/>
            <w:vAlign w:val="center"/>
          </w:tcPr>
          <w:p w14:paraId="0A7BDBFC"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6</w:t>
            </w:r>
          </w:p>
        </w:tc>
        <w:tc>
          <w:tcPr>
            <w:tcW w:w="2766" w:type="dxa"/>
            <w:gridSpan w:val="4"/>
            <w:vAlign w:val="center"/>
          </w:tcPr>
          <w:p w14:paraId="4CB31755" w14:textId="44A5CA13"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Nano Lett., 2015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{"citationItems":[{"id":"ITEM-1","itemData":{"DOI":"10.1021/nl504872s","ISSN":"15306992","abstract":"? 2015 American Chemical Society.We report the controlled synthesis of NiCo layered double hydroxide (LDH) nanoplates using a newly developed high temperature high pressure hydrothermal continuous flow reactor (HCFR), which enables direct growth onto conductive substrates in high yield and, most importantly, better control of the precursor supersaturation and, thus, nanostructure morphology and size. The solution coordination chemistry of metal-ammonia complexes was utilized to synthesize well-defined NiCo LDH nanoplates directly in a single step without topochemical oxidation. The as-grown NiCo LDH nanoplates exhibit a high catalytic activity toward the oxygen evolution reaction (OER). By chemically exfoliating LDH nanoplates to thinner nanosheets, the catalytic activity can be further enhanced to yield an electrocatalytic current density of 10 mA cm-2 at an overpotential of 367 mV and a Tafel slope of 40 mV dec-1. Such enhancement could be due to the increased surface area and more exposed active sites. X-ray photoelectron spectroscopy (XPS) suggests the exfoliation also caused some changes in electronic structure. This work presents general strategies to controllably grow nanostructures of LDH and ternary oxide/hydroxides in general and to enhance the electrocatalytic performance of layered nanostructures by exfoliation.","author":[{"dropping-particle":"","family":"Liang","given":"Hanfeng","non-dropping-particle":"","parse-names":false,"suffix":""},{"dropping-particle":"","family":"Meng","given":"Fei","non-dropping-particle":"","parse-names":false,"suffix":""},{"dropping-particle":"","family":"Cabán-Acevedo","given":"Miguel","non-dropping-particle":"","parse-names":false,"suffix":""},{"dropping-particle":"","family":"Li","given":"Linsen","non-dropping-particle":"","parse-names":false,"suffix":""},{"dropping-particle":"","family":"Forticaux","given":"Audrey","non-dropping-particle":"","parse-names":false,"suffix":""},{"dropping-particle":"","family":"Xiu","given":"Lichen","non-dropping-particle":"","parse-names":false,"suffix":""},{"dropping-particle":"","family":"Wang","given":"Zhoucheng","non-dropping-particle":"","parse-names":false,"suffix":""},{"dropping-particle":"","family":"Jin","given":"Song","non-dropping-particle":"","parse-names":false,"suffix":""}],"container-title":"Nano Letters","id":"ITEM-1","issue":"2","issued":{"date-parts":[["2015"]]},"page":"1421-1427","title":"Hydrothermal continuous flow synthesis and exfoliation of NiCo layered double hydroxide nanosheets for enhanced oxygen evolution catalysis","type":"article-journal","volume":"15"},"uris":["http://www.mendeley.com/documents/?uuid=a4e1e284-8d3e-42ef-b653-a2ec31c8ac9a"]}],"mendeley":{"formattedCitation":"&lt;sup&gt;69&lt;/sup&gt;","plainTextFormattedCitation":"69","previouslyFormattedCitation":"&lt;sup&gt;68&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69</w:t>
            </w:r>
            <w:r w:rsidRPr="000B06A4">
              <w:rPr>
                <w:rFonts w:ascii="Times" w:hAnsi="Times"/>
                <w:sz w:val="20"/>
                <w:szCs w:val="20"/>
              </w:rPr>
              <w:fldChar w:fldCharType="end"/>
            </w:r>
          </w:p>
        </w:tc>
      </w:tr>
      <w:tr w:rsidR="00F35D51" w:rsidRPr="000B06A4" w14:paraId="68889263" w14:textId="77777777" w:rsidTr="00B05959">
        <w:trPr>
          <w:trHeight w:val="432"/>
        </w:trPr>
        <w:tc>
          <w:tcPr>
            <w:tcW w:w="554" w:type="dxa"/>
            <w:vAlign w:val="center"/>
          </w:tcPr>
          <w:p w14:paraId="57DA4254"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59</w:t>
            </w:r>
          </w:p>
        </w:tc>
        <w:tc>
          <w:tcPr>
            <w:tcW w:w="2250" w:type="dxa"/>
            <w:vAlign w:val="center"/>
          </w:tcPr>
          <w:p w14:paraId="6B2F688E"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NiCo</w:t>
            </w:r>
            <w:r w:rsidRPr="000B06A4">
              <w:rPr>
                <w:rFonts w:ascii="Times" w:hAnsi="Times"/>
                <w:sz w:val="20"/>
                <w:szCs w:val="20"/>
                <w:vertAlign w:val="subscript"/>
              </w:rPr>
              <w:t>2</w:t>
            </w:r>
            <w:r w:rsidRPr="000B06A4">
              <w:rPr>
                <w:rFonts w:ascii="Times" w:hAnsi="Times"/>
                <w:sz w:val="20"/>
                <w:szCs w:val="20"/>
              </w:rPr>
              <w:t>O</w:t>
            </w:r>
            <w:r w:rsidRPr="000B06A4">
              <w:rPr>
                <w:rFonts w:ascii="Times" w:hAnsi="Times"/>
                <w:sz w:val="20"/>
                <w:szCs w:val="20"/>
                <w:vertAlign w:val="subscript"/>
              </w:rPr>
              <w:t>4</w:t>
            </w:r>
          </w:p>
        </w:tc>
        <w:tc>
          <w:tcPr>
            <w:tcW w:w="1133" w:type="dxa"/>
            <w:vAlign w:val="center"/>
          </w:tcPr>
          <w:p w14:paraId="14CAF9D6"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49DF5019"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1710A241"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0.07</w:t>
            </w:r>
          </w:p>
        </w:tc>
        <w:tc>
          <w:tcPr>
            <w:tcW w:w="667" w:type="dxa"/>
            <w:gridSpan w:val="3"/>
            <w:vAlign w:val="center"/>
          </w:tcPr>
          <w:p w14:paraId="742D62E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377</w:t>
            </w:r>
          </w:p>
        </w:tc>
        <w:tc>
          <w:tcPr>
            <w:tcW w:w="1080" w:type="dxa"/>
            <w:gridSpan w:val="3"/>
            <w:vAlign w:val="center"/>
          </w:tcPr>
          <w:p w14:paraId="0C3899E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91</w:t>
            </w:r>
          </w:p>
        </w:tc>
        <w:tc>
          <w:tcPr>
            <w:tcW w:w="270" w:type="dxa"/>
            <w:gridSpan w:val="3"/>
          </w:tcPr>
          <w:p w14:paraId="72750629"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0E7A4B88"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w:t>
            </w:r>
          </w:p>
        </w:tc>
        <w:tc>
          <w:tcPr>
            <w:tcW w:w="814" w:type="dxa"/>
            <w:gridSpan w:val="3"/>
            <w:vAlign w:val="center"/>
          </w:tcPr>
          <w:p w14:paraId="04B064F8" w14:textId="77777777" w:rsidR="00F35D51" w:rsidRPr="000B06A4" w:rsidRDefault="00F35D51" w:rsidP="00B05959">
            <w:pPr>
              <w:spacing w:line="276" w:lineRule="auto"/>
              <w:jc w:val="center"/>
              <w:rPr>
                <w:rFonts w:ascii="Times" w:hAnsi="Times"/>
                <w:sz w:val="20"/>
                <w:szCs w:val="20"/>
              </w:rPr>
            </w:pPr>
          </w:p>
        </w:tc>
        <w:tc>
          <w:tcPr>
            <w:tcW w:w="2766" w:type="dxa"/>
            <w:gridSpan w:val="4"/>
            <w:vAlign w:val="center"/>
          </w:tcPr>
          <w:p w14:paraId="7E1E3949" w14:textId="2D327B08"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Green Chemistry, 2017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{"citationItems":[{"id":"ITEM-1","itemData":{"DOI":"10.1039/c7gc01012e","ISSN":"14639270","abstract":" A PEGylated deep eutectic solvent was developed and used for one step solvothermal synthesis of NiCo 2 S 4 for efficient oxygen evolution reaction.  As ionic liquid analogues or quasi-ionic liquids, deep eutectic solvents (DESs) have been applied in many fields in the past few years. Herein, a novel PEGylated DES composed of PEG 200 and thiourea was formed for the first time and used for solvothermal synthesis of nickel cobalt sulfides. The structure and composition of the as-synthesized sulfides can be tuned by adjustment of the ratio of the reactants. The PEGylated DES plays multiple roles as a solvent, a shape-control agent, and a sulfur source in the synthesis of sulfides. Compared with traditional sulfuration routes, this proposed route is cost-effective and energy-efficient by combining solvothermal synthesis and the sulfuration process. The prepared sulfides were used as catalysts for electrochemical water oxidation and they exhibited excellent oxygen evolution reaction (OER) performance, especially for NiCo 2 S 4 with hierarchical pores. The overpotential ( η ) demand was 337 mV for the current density reaching 10 mA cm −2 and the Tafel slope was 64 mV dec −1 in an alkaline medium (1 M KOH) for NiCo 2 S 4 . In addition, NiCo 2 S 4 demonstrated long-term stability with little deactivation after either thirty hours of continuous operation or two thousand cycles and a high faradaic efficiency of 95.8%. Synergistic effects including a relatively high Brunauer–Emmett–Teller area, abundant active sites, easy diffusion of electrolytes and oxygen gas, and strong structural integrity contribute to the high activity and long-term stability of the catalyst for OER. This study provides a new method for the synthesis of hierarchically structured metal sulfides for energy conversion and storage applications. ","author":[{"dropping-particle":"","family":"Jiang","given":"Jingyun","non-dropping-particle":"","parse-names":false,"suffix":""},{"dropping-particle":"","family":"Yan","given":"Chuanyu","non-dropping-particle":"","parse-names":false,"suffix":""},{"dropping-particle":"","family":"Zhao","given":"Xinhui","non-dropping-particle":"","parse-names":false,"suffix":""},{"dropping-particle":"","family":"Luo","given":"Hongxia","non-dropping-particle":"","parse-names":false,"suffix":""},{"dropping-particle":"","family":"Xue","given":"Zhimin","non-dropping-particle":"","parse-names":false,"suffix":""},{"dropping-particle":"","family":"Mu","given":"Tiancheng","non-dropping-particle":"","parse-names":false,"suffix":""}],"container-title":"Green Chemistry","id":"ITEM-1","issue":"13","issued":{"date-parts":[["2017"]]},"page":"3023-3031","publisher":"Royal Society of Chemistry","title":"A PEGylated deep eutectic solvent for controllable solvothermal synthesis of porous NiCo2S4 for efficient oxygen evolution reaction","type":"article-journal","volume":"19"},"uris":["http://www.mendeley.com/documents/?uuid=19d3a9fe-9553-4d3b-8e50-afd7d7e88ed4"]}],"mendeley":{"formattedCitation":"&lt;sup&gt;62&lt;/sup&gt;","plainTextFormattedCitation":"62","previouslyFormattedCitation":"&lt;sup&gt;61&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62</w:t>
            </w:r>
            <w:r w:rsidRPr="000B06A4">
              <w:rPr>
                <w:rFonts w:ascii="Times" w:hAnsi="Times"/>
                <w:sz w:val="20"/>
                <w:szCs w:val="20"/>
              </w:rPr>
              <w:fldChar w:fldCharType="end"/>
            </w:r>
          </w:p>
        </w:tc>
      </w:tr>
      <w:tr w:rsidR="00F35D51" w:rsidRPr="000B06A4" w14:paraId="04498853" w14:textId="77777777" w:rsidTr="00B05959">
        <w:trPr>
          <w:trHeight w:val="432"/>
        </w:trPr>
        <w:tc>
          <w:tcPr>
            <w:tcW w:w="554" w:type="dxa"/>
            <w:vAlign w:val="center"/>
          </w:tcPr>
          <w:p w14:paraId="5A64DD52"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60</w:t>
            </w:r>
          </w:p>
        </w:tc>
        <w:tc>
          <w:tcPr>
            <w:tcW w:w="2250" w:type="dxa"/>
            <w:vAlign w:val="center"/>
          </w:tcPr>
          <w:p w14:paraId="6A8B6834" w14:textId="77777777" w:rsidR="00F35D51" w:rsidRPr="000B06A4" w:rsidRDefault="00F35D51" w:rsidP="00B05959">
            <w:pPr>
              <w:spacing w:line="276" w:lineRule="auto"/>
              <w:rPr>
                <w:rFonts w:ascii="Times" w:hAnsi="Times"/>
                <w:sz w:val="20"/>
                <w:szCs w:val="20"/>
              </w:rPr>
            </w:pPr>
            <w:proofErr w:type="spellStart"/>
            <w:r w:rsidRPr="000B06A4">
              <w:rPr>
                <w:rFonts w:ascii="Times" w:hAnsi="Times"/>
                <w:sz w:val="20"/>
                <w:szCs w:val="20"/>
              </w:rPr>
              <w:t>CoO</w:t>
            </w:r>
            <w:proofErr w:type="spellEnd"/>
            <w:r w:rsidRPr="000B06A4">
              <w:rPr>
                <w:rFonts w:ascii="Times" w:hAnsi="Times"/>
                <w:sz w:val="20"/>
                <w:szCs w:val="20"/>
              </w:rPr>
              <w:t>/hi-Mn</w:t>
            </w:r>
            <w:r w:rsidRPr="000B06A4">
              <w:rPr>
                <w:rFonts w:ascii="Times" w:hAnsi="Times"/>
                <w:sz w:val="20"/>
                <w:szCs w:val="20"/>
                <w:vertAlign w:val="subscript"/>
              </w:rPr>
              <w:t>3</w:t>
            </w:r>
            <w:r w:rsidRPr="000B06A4">
              <w:rPr>
                <w:rFonts w:ascii="Times" w:hAnsi="Times"/>
                <w:sz w:val="20"/>
                <w:szCs w:val="20"/>
              </w:rPr>
              <w:t>O</w:t>
            </w:r>
            <w:r w:rsidRPr="000B06A4">
              <w:rPr>
                <w:rFonts w:ascii="Times" w:hAnsi="Times"/>
                <w:sz w:val="20"/>
                <w:szCs w:val="20"/>
                <w:vertAlign w:val="subscript"/>
              </w:rPr>
              <w:t>4</w:t>
            </w:r>
          </w:p>
        </w:tc>
        <w:tc>
          <w:tcPr>
            <w:tcW w:w="1133" w:type="dxa"/>
            <w:vAlign w:val="center"/>
          </w:tcPr>
          <w:p w14:paraId="012995C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33644CBC"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29E0A6C9"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667" w:type="dxa"/>
            <w:gridSpan w:val="3"/>
            <w:vAlign w:val="center"/>
          </w:tcPr>
          <w:p w14:paraId="2A6B2DD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378</w:t>
            </w:r>
          </w:p>
        </w:tc>
        <w:tc>
          <w:tcPr>
            <w:tcW w:w="1080" w:type="dxa"/>
            <w:gridSpan w:val="3"/>
            <w:vAlign w:val="center"/>
          </w:tcPr>
          <w:p w14:paraId="6CCB92B9"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61</w:t>
            </w:r>
          </w:p>
        </w:tc>
        <w:tc>
          <w:tcPr>
            <w:tcW w:w="270" w:type="dxa"/>
            <w:gridSpan w:val="3"/>
          </w:tcPr>
          <w:p w14:paraId="58C8A912"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250B0250"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CA @370 mV</w:t>
            </w:r>
          </w:p>
        </w:tc>
        <w:tc>
          <w:tcPr>
            <w:tcW w:w="814" w:type="dxa"/>
            <w:gridSpan w:val="3"/>
            <w:vAlign w:val="center"/>
          </w:tcPr>
          <w:p w14:paraId="32648AA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2.2</w:t>
            </w:r>
          </w:p>
        </w:tc>
        <w:tc>
          <w:tcPr>
            <w:tcW w:w="2766" w:type="dxa"/>
            <w:gridSpan w:val="4"/>
            <w:vAlign w:val="center"/>
          </w:tcPr>
          <w:p w14:paraId="56292A53" w14:textId="1DDFEAED" w:rsidR="00F35D51" w:rsidRPr="000B06A4" w:rsidRDefault="00F35D51" w:rsidP="00B05959">
            <w:pPr>
              <w:spacing w:line="276" w:lineRule="auto"/>
              <w:rPr>
                <w:rFonts w:ascii="Times" w:hAnsi="Times"/>
                <w:sz w:val="20"/>
                <w:szCs w:val="20"/>
              </w:rPr>
            </w:pPr>
            <w:proofErr w:type="spellStart"/>
            <w:r w:rsidRPr="000B06A4">
              <w:rPr>
                <w:rFonts w:ascii="Times" w:hAnsi="Times"/>
                <w:sz w:val="20"/>
                <w:szCs w:val="20"/>
              </w:rPr>
              <w:t>Angew</w:t>
            </w:r>
            <w:proofErr w:type="spellEnd"/>
            <w:r w:rsidRPr="000B06A4">
              <w:rPr>
                <w:rFonts w:ascii="Times" w:hAnsi="Times"/>
                <w:sz w:val="20"/>
                <w:szCs w:val="20"/>
              </w:rPr>
              <w:t xml:space="preserve">. Chem., 2017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{"citationItems":[{"id":"ITEM-1","itemData":{"DOI":"10.1002/anie.201701531","ISSN":"15213773","abstract":"© 2017 Wiley-VCH Verlag GmbH  &amp;  Co. KGaA, Weinheim Engineering high-energy interfacial structures for high-performance electrocatalysis is achieved by chemical coupling of active CoO nanoclusters and high-index facet Mn3O4nano-octahedrons (hi-Mn3O4). A thorough characterization, including synchrotron-based near edge X-ray absorption fine structure, reveals that strong interactions between both components promote the formation of high-energy interfacial Mn-O-Co species and high oxidation state CoO, from which electrons are drawn by MnIII-O present in hi-Mn3O4. The CoO/hi-Mn3O4demonstrates an excellent catalytic performance over the conventional metal oxide-based electrocatalysts, which is reflected by 1.2 times higher oxygen evolution reaction (OER) activity than that of Ru/C and a comparable oxygen reduction reaction (ORR) activity to that of Pt/C as well as a better stability than that of Ru/C (95 % vs. 81 % retained OER activity) and Pt/C (92 % vs. 78 % retained ORR activity after 10 h running) in alkaline electrolyte.","author":[{"dropping-particle":"","family":"Guo","given":"Chunxian","non-dropping-particle":"","parse-names":false,"suffix":""},{"dropping-particle":"","family":"Zheng","given":"Yao","non-dropping-particle":"","parse-names":false,"suffix":""},{"dropping-particle":"","family":"Ran","given":"Jingrun","non-dropping-particle":"","parse-names":false,"suffix":""},{"dropping-particle":"","family":"Xie","given":"Fangxi","non-dropping-particle":"","parse-names":false,"suffix":""},{"dropping-particle":"","family":"Jaroniec","given":"Mietek","non-dropping-particle":"","parse-names":false,"suffix":""},{"dropping-particle":"","family":"Qiao","given":"Shi Zhang","non-dropping-particle":"","parse-names":false,"suffix":""}],"container-title":"Angewandte Chemie - International Edition","id":"ITEM-1","issue":"29","issued":{"date-parts":[["2017"]]},"page":"8539-8543","title":"Engineering High-Energy Interfacial Structures for High-Performance Oxygen-Involving Electrocatalysis","type":"article-journal","volume":"56"},"uris":["http://www.mendeley.com/documents/?uuid=848f6be3-23e8-43b5-86ba-78d6373520be"]}],"mendeley":{"formattedCitation":"&lt;sup&gt;70&lt;/sup&gt;","plainTextFormattedCitation":"70","previouslyFormattedCitation":"&lt;sup&gt;69&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70</w:t>
            </w:r>
            <w:r w:rsidRPr="000B06A4">
              <w:rPr>
                <w:rFonts w:ascii="Times" w:hAnsi="Times"/>
                <w:sz w:val="20"/>
                <w:szCs w:val="20"/>
              </w:rPr>
              <w:fldChar w:fldCharType="end"/>
            </w:r>
          </w:p>
        </w:tc>
      </w:tr>
      <w:tr w:rsidR="00F35D51" w:rsidRPr="000B06A4" w14:paraId="76F9A35E" w14:textId="77777777" w:rsidTr="00B05959">
        <w:trPr>
          <w:trHeight w:val="432"/>
        </w:trPr>
        <w:tc>
          <w:tcPr>
            <w:tcW w:w="554" w:type="dxa"/>
            <w:vAlign w:val="center"/>
          </w:tcPr>
          <w:p w14:paraId="13FF8749"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61</w:t>
            </w:r>
          </w:p>
        </w:tc>
        <w:tc>
          <w:tcPr>
            <w:tcW w:w="2250" w:type="dxa"/>
            <w:vAlign w:val="center"/>
          </w:tcPr>
          <w:p w14:paraId="4CF5B8A9"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Ba</w:t>
            </w:r>
            <w:r w:rsidRPr="000B06A4">
              <w:rPr>
                <w:rFonts w:ascii="Times" w:hAnsi="Times"/>
                <w:sz w:val="20"/>
                <w:szCs w:val="20"/>
                <w:vertAlign w:val="subscript"/>
              </w:rPr>
              <w:t>0.5</w:t>
            </w:r>
            <w:r w:rsidRPr="000B06A4">
              <w:rPr>
                <w:rFonts w:ascii="Times" w:hAnsi="Times"/>
                <w:sz w:val="20"/>
                <w:szCs w:val="20"/>
              </w:rPr>
              <w:t>Sr</w:t>
            </w:r>
            <w:r w:rsidRPr="000B06A4">
              <w:rPr>
                <w:rFonts w:ascii="Times" w:hAnsi="Times"/>
                <w:sz w:val="20"/>
                <w:szCs w:val="20"/>
                <w:vertAlign w:val="subscript"/>
              </w:rPr>
              <w:t>0.5</w:t>
            </w:r>
            <w:r w:rsidRPr="000B06A4">
              <w:rPr>
                <w:rFonts w:ascii="Times" w:hAnsi="Times"/>
                <w:sz w:val="20"/>
                <w:szCs w:val="20"/>
              </w:rPr>
              <w:t>Co</w:t>
            </w:r>
            <w:r w:rsidRPr="000B06A4">
              <w:rPr>
                <w:rFonts w:ascii="Times" w:hAnsi="Times"/>
                <w:sz w:val="20"/>
                <w:szCs w:val="20"/>
                <w:vertAlign w:val="subscript"/>
              </w:rPr>
              <w:t>0.8</w:t>
            </w:r>
            <w:r w:rsidRPr="000B06A4">
              <w:rPr>
                <w:rFonts w:ascii="Times" w:hAnsi="Times"/>
                <w:sz w:val="20"/>
                <w:szCs w:val="20"/>
              </w:rPr>
              <w:t>Fe</w:t>
            </w:r>
            <w:r w:rsidRPr="000B06A4">
              <w:rPr>
                <w:rFonts w:ascii="Times" w:hAnsi="Times"/>
                <w:sz w:val="20"/>
                <w:szCs w:val="20"/>
                <w:vertAlign w:val="subscript"/>
              </w:rPr>
              <w:t>0.2</w:t>
            </w:r>
            <w:r w:rsidRPr="000B06A4">
              <w:rPr>
                <w:rFonts w:ascii="Times" w:hAnsi="Times"/>
                <w:sz w:val="20"/>
                <w:szCs w:val="20"/>
              </w:rPr>
              <w:t>O</w:t>
            </w:r>
            <w:r w:rsidRPr="000B06A4">
              <w:rPr>
                <w:rFonts w:ascii="Times" w:hAnsi="Times"/>
                <w:sz w:val="20"/>
                <w:szCs w:val="20"/>
                <w:vertAlign w:val="subscript"/>
              </w:rPr>
              <w:t>x</w:t>
            </w:r>
          </w:p>
        </w:tc>
        <w:tc>
          <w:tcPr>
            <w:tcW w:w="1133" w:type="dxa"/>
            <w:vAlign w:val="center"/>
          </w:tcPr>
          <w:p w14:paraId="09BA0DA1" w14:textId="77777777" w:rsidR="00F35D51" w:rsidRPr="000B06A4" w:rsidRDefault="00F35D51" w:rsidP="00B05959">
            <w:pPr>
              <w:spacing w:line="276" w:lineRule="auto"/>
              <w:jc w:val="center"/>
              <w:rPr>
                <w:rFonts w:ascii="Times" w:hAnsi="Times"/>
                <w:sz w:val="20"/>
                <w:szCs w:val="20"/>
              </w:rPr>
            </w:pPr>
          </w:p>
        </w:tc>
        <w:tc>
          <w:tcPr>
            <w:tcW w:w="1260" w:type="dxa"/>
            <w:gridSpan w:val="3"/>
            <w:vAlign w:val="center"/>
          </w:tcPr>
          <w:p w14:paraId="41A991FC"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RDE</w:t>
            </w:r>
          </w:p>
        </w:tc>
        <w:tc>
          <w:tcPr>
            <w:tcW w:w="1170" w:type="dxa"/>
            <w:gridSpan w:val="3"/>
            <w:vAlign w:val="center"/>
          </w:tcPr>
          <w:p w14:paraId="215248BD"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0.25</w:t>
            </w:r>
          </w:p>
        </w:tc>
        <w:tc>
          <w:tcPr>
            <w:tcW w:w="667" w:type="dxa"/>
            <w:gridSpan w:val="3"/>
            <w:vAlign w:val="center"/>
          </w:tcPr>
          <w:p w14:paraId="6CBD4C7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380</w:t>
            </w:r>
          </w:p>
        </w:tc>
        <w:tc>
          <w:tcPr>
            <w:tcW w:w="1080" w:type="dxa"/>
            <w:gridSpan w:val="3"/>
            <w:vAlign w:val="center"/>
          </w:tcPr>
          <w:p w14:paraId="352BF203"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60</w:t>
            </w:r>
          </w:p>
        </w:tc>
        <w:tc>
          <w:tcPr>
            <w:tcW w:w="270" w:type="dxa"/>
            <w:gridSpan w:val="3"/>
          </w:tcPr>
          <w:p w14:paraId="71F02325"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24813C47"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w:t>
            </w:r>
          </w:p>
        </w:tc>
        <w:tc>
          <w:tcPr>
            <w:tcW w:w="814" w:type="dxa"/>
            <w:gridSpan w:val="3"/>
            <w:vAlign w:val="center"/>
          </w:tcPr>
          <w:p w14:paraId="0CF230C2"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2766" w:type="dxa"/>
            <w:gridSpan w:val="4"/>
            <w:vAlign w:val="center"/>
          </w:tcPr>
          <w:p w14:paraId="42454876" w14:textId="06916516"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Science, 2011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10.1126/science.1212858","ISBN":"10.1126/science.1212858","ISSN":"0036-8075","PMID":"22033519","author":[{"dropping-particle":"","family":"Suntivich","given":"Jin","non-dropping-particle":"","parse-names":false,"suffix":""},{"dropping-particle":"","family":"May","given":"Kevin J","non-dropping-particle":"","parse-names":false,"suffix":""},{"dropping-particle":"","family":"Gasteiger","given":"Hubert a","non-dropping-particle":"","parse-names":false,"suffix":""},{"dropping-particle":"","family":"Goodenough","given":"John B","non-dropping-particle":"","parse-names":false,"suffix":""},{"dropping-particle":"","family":"Shao-horn","given":"Yang","non-dropping-particle":"","parse-names":false,"suffix":""}],"container-title":"Science","id":"ITEM-1","issue":"December","issued":{"date-parts":[["2011"]]},"page":"2010-2012","title":"A Perovskite Oxide Optimized for Molecular Orbital Principles","type":"article-journal","volume":"334"},"uris":["http://www.mendeley.com/documents/?uuid=e16217da-ff5f-4a87-a874-fbe152390f29"]}],"mendeley":{"formattedCitation":"&lt;sup&gt;71&lt;/sup&gt;","plainTextFormattedCitation":"71","previouslyFormattedCitation":"&lt;sup&gt;70&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71</w:t>
            </w:r>
            <w:r w:rsidRPr="000B06A4">
              <w:rPr>
                <w:rFonts w:ascii="Times" w:hAnsi="Times"/>
                <w:sz w:val="20"/>
                <w:szCs w:val="20"/>
              </w:rPr>
              <w:fldChar w:fldCharType="end"/>
            </w:r>
          </w:p>
        </w:tc>
      </w:tr>
      <w:tr w:rsidR="00F35D51" w:rsidRPr="000B06A4" w14:paraId="1019AFD8" w14:textId="77777777" w:rsidTr="00B05959">
        <w:trPr>
          <w:trHeight w:val="432"/>
        </w:trPr>
        <w:tc>
          <w:tcPr>
            <w:tcW w:w="554" w:type="dxa"/>
            <w:vAlign w:val="center"/>
          </w:tcPr>
          <w:p w14:paraId="61FD3872"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62</w:t>
            </w:r>
          </w:p>
        </w:tc>
        <w:tc>
          <w:tcPr>
            <w:tcW w:w="2250" w:type="dxa"/>
            <w:vAlign w:val="center"/>
          </w:tcPr>
          <w:p w14:paraId="4A6B4B73"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α-Co(OH)</w:t>
            </w:r>
            <w:r w:rsidRPr="000B06A4">
              <w:rPr>
                <w:rFonts w:ascii="Times" w:hAnsi="Times"/>
                <w:sz w:val="20"/>
                <w:szCs w:val="20"/>
                <w:vertAlign w:val="subscript"/>
              </w:rPr>
              <w:t>2</w:t>
            </w:r>
          </w:p>
        </w:tc>
        <w:tc>
          <w:tcPr>
            <w:tcW w:w="1133" w:type="dxa"/>
            <w:vAlign w:val="center"/>
          </w:tcPr>
          <w:p w14:paraId="113A530C"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0590A5C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1934F33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0.28</w:t>
            </w:r>
          </w:p>
        </w:tc>
        <w:tc>
          <w:tcPr>
            <w:tcW w:w="667" w:type="dxa"/>
            <w:gridSpan w:val="3"/>
            <w:vAlign w:val="center"/>
          </w:tcPr>
          <w:p w14:paraId="1F63BE6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380</w:t>
            </w:r>
          </w:p>
        </w:tc>
        <w:tc>
          <w:tcPr>
            <w:tcW w:w="1080" w:type="dxa"/>
            <w:gridSpan w:val="3"/>
            <w:vAlign w:val="center"/>
          </w:tcPr>
          <w:p w14:paraId="508D4AF1"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67</w:t>
            </w:r>
          </w:p>
        </w:tc>
        <w:tc>
          <w:tcPr>
            <w:tcW w:w="270" w:type="dxa"/>
            <w:gridSpan w:val="3"/>
          </w:tcPr>
          <w:p w14:paraId="5780D63E"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04A7E870"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CP @5 mA.cm</w:t>
            </w:r>
            <w:r w:rsidRPr="000B06A4">
              <w:rPr>
                <w:rFonts w:ascii="Times" w:hAnsi="Times"/>
                <w:sz w:val="20"/>
                <w:szCs w:val="20"/>
                <w:vertAlign w:val="superscript"/>
              </w:rPr>
              <w:t>-2</w:t>
            </w:r>
          </w:p>
        </w:tc>
        <w:tc>
          <w:tcPr>
            <w:tcW w:w="814" w:type="dxa"/>
            <w:gridSpan w:val="3"/>
            <w:vAlign w:val="center"/>
          </w:tcPr>
          <w:p w14:paraId="388CB0F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7</w:t>
            </w:r>
          </w:p>
        </w:tc>
        <w:tc>
          <w:tcPr>
            <w:tcW w:w="2766" w:type="dxa"/>
            <w:gridSpan w:val="4"/>
            <w:vAlign w:val="center"/>
          </w:tcPr>
          <w:p w14:paraId="086E720A" w14:textId="75B22355"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Dalton Trans., 2017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{"citationItems":[{"id":"ITEM-1","itemData":{"DOI":"10.1039/c7dt01110e","ISSN":"14779234","abstract":"Identification of active sites for oxygen evolution reaction (OER) plays a key role in the design and fabrication of high-performance cobalt-based electrocatalysts. Identification of active sites for oxygen evolution reaction (OER) plays a key role in the design and fabrication of high-performance cobalt-based electrocatalysts. Herein, we report the synthesis of two types of two-dimensional monometallic cobalt hydroxide nanoplates in aqueous solution for OER: α-Co(OH) 2 with both Co 2+ Td and Co 2+ Oh sites and β-Co(OH) 2 with Co 2+ Oh sites. Electrochemical characterization reveals that α-Co(OH) 2 is more active than β-Co(OH) 2 towards OER. The better activity can be attributed to the presence of Co 2+ Td sites in α-Co(OH) 2 , which are more active than Co 2+ Oh sites. Our finding clarifies the contribution of the two catalytic sites and helps future rational design of high-performance OER electrocatalysts. ","author":[{"dropping-particle":"","family":"Lyu","given":"Fenglei","non-dropping-particle":"","parse-names":false,"suffix":""},{"dropping-particle":"","family":"Bai","given":"Yaocai","non-dropping-particle":"","parse-names":false,"suffix":""},{"dropping-particle":"","family":"Wang","given":"Qingfa","non-dropping-particle":"","parse-names":false,"suffix":""},{"dropping-particle":"","family":"Wang","given":"Li","non-dropping-particle":"","parse-names":false,"suffix":""},{"dropping-particle":"","family":"Zhang","given":"Xiangwen","non-dropping-particle":"","parse-names":false,"suffix":""},{"dropping-particle":"","family":"Yin","given":"Yadong","non-dropping-particle":"","parse-names":false,"suffix":""}],"container-title":"Dalton Transactions","id":"ITEM-1","issue":"32","issued":{"date-parts":[["2017"]]},"page":"10545-10548","publisher":"Royal Society of Chemistry","title":"Phase-controllable synthesis of cobalt hydroxide for electrocatalytic oxygen evolution","type":"article-journal","volume":"46"},"uris":["http://www.mendeley.com/documents/?uuid=fdf46870-d2ed-4021-8bcf-d8fe5ecf21df"]}],"mendeley":{"formattedCitation":"&lt;sup&gt;72&lt;/sup&gt;","plainTextFormattedCitation":"72","previouslyFormattedCitation":"&lt;sup&gt;71&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72</w:t>
            </w:r>
            <w:r w:rsidRPr="000B06A4">
              <w:rPr>
                <w:rFonts w:ascii="Times" w:hAnsi="Times"/>
                <w:sz w:val="20"/>
                <w:szCs w:val="20"/>
              </w:rPr>
              <w:fldChar w:fldCharType="end"/>
            </w:r>
          </w:p>
        </w:tc>
      </w:tr>
      <w:tr w:rsidR="00F35D51" w:rsidRPr="000B06A4" w14:paraId="09898F78" w14:textId="77777777" w:rsidTr="00B05959">
        <w:trPr>
          <w:trHeight w:val="432"/>
        </w:trPr>
        <w:tc>
          <w:tcPr>
            <w:tcW w:w="554" w:type="dxa"/>
            <w:vAlign w:val="center"/>
          </w:tcPr>
          <w:p w14:paraId="447BAC83"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lastRenderedPageBreak/>
              <w:t>63</w:t>
            </w:r>
          </w:p>
        </w:tc>
        <w:tc>
          <w:tcPr>
            <w:tcW w:w="2250" w:type="dxa"/>
            <w:vAlign w:val="center"/>
          </w:tcPr>
          <w:p w14:paraId="5795FC86" w14:textId="77777777" w:rsidR="00F35D51" w:rsidRPr="000B06A4" w:rsidRDefault="00F35D51" w:rsidP="00B05959">
            <w:pPr>
              <w:spacing w:line="276" w:lineRule="auto"/>
              <w:rPr>
                <w:rFonts w:ascii="Times" w:hAnsi="Times"/>
                <w:sz w:val="20"/>
                <w:szCs w:val="20"/>
              </w:rPr>
            </w:pPr>
            <w:proofErr w:type="spellStart"/>
            <w:r w:rsidRPr="000B06A4">
              <w:rPr>
                <w:rFonts w:ascii="Times" w:hAnsi="Times"/>
                <w:sz w:val="20"/>
                <w:szCs w:val="20"/>
              </w:rPr>
              <w:t>CoS</w:t>
            </w:r>
            <w:proofErr w:type="spellEnd"/>
            <w:r w:rsidRPr="000B06A4">
              <w:rPr>
                <w:rFonts w:ascii="Times" w:hAnsi="Times"/>
                <w:sz w:val="20"/>
                <w:szCs w:val="20"/>
              </w:rPr>
              <w:t>-βCo(OH)</w:t>
            </w:r>
            <w:r w:rsidRPr="000B06A4">
              <w:rPr>
                <w:rFonts w:ascii="Times" w:hAnsi="Times"/>
                <w:sz w:val="20"/>
                <w:szCs w:val="20"/>
                <w:vertAlign w:val="subscript"/>
              </w:rPr>
              <w:t>2</w:t>
            </w:r>
            <w:r w:rsidRPr="000B06A4">
              <w:rPr>
                <w:rFonts w:ascii="Times" w:hAnsi="Times"/>
                <w:sz w:val="20"/>
                <w:szCs w:val="20"/>
              </w:rPr>
              <w:t xml:space="preserve"> @aMoS</w:t>
            </w:r>
            <w:r w:rsidRPr="000B06A4">
              <w:rPr>
                <w:rFonts w:ascii="Times" w:hAnsi="Times"/>
                <w:sz w:val="20"/>
                <w:szCs w:val="20"/>
                <w:vertAlign w:val="subscript"/>
              </w:rPr>
              <w:t>2+x</w:t>
            </w:r>
          </w:p>
        </w:tc>
        <w:tc>
          <w:tcPr>
            <w:tcW w:w="1133" w:type="dxa"/>
            <w:vAlign w:val="center"/>
          </w:tcPr>
          <w:p w14:paraId="30057FD7"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5E0628CE"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NF</w:t>
            </w:r>
          </w:p>
        </w:tc>
        <w:tc>
          <w:tcPr>
            <w:tcW w:w="1170" w:type="dxa"/>
            <w:gridSpan w:val="3"/>
            <w:vAlign w:val="center"/>
          </w:tcPr>
          <w:p w14:paraId="2D584E8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w:t>
            </w:r>
          </w:p>
        </w:tc>
        <w:tc>
          <w:tcPr>
            <w:tcW w:w="667" w:type="dxa"/>
            <w:gridSpan w:val="3"/>
            <w:vAlign w:val="center"/>
          </w:tcPr>
          <w:p w14:paraId="2FC9C69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380</w:t>
            </w:r>
          </w:p>
        </w:tc>
        <w:tc>
          <w:tcPr>
            <w:tcW w:w="1080" w:type="dxa"/>
            <w:gridSpan w:val="3"/>
            <w:vAlign w:val="center"/>
          </w:tcPr>
          <w:p w14:paraId="6AD4937A"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68</w:t>
            </w:r>
          </w:p>
        </w:tc>
        <w:tc>
          <w:tcPr>
            <w:tcW w:w="270" w:type="dxa"/>
            <w:gridSpan w:val="3"/>
          </w:tcPr>
          <w:p w14:paraId="782A9C7D"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15C25A47"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CP @10 mA.cm</w:t>
            </w:r>
            <w:r w:rsidRPr="000B06A4">
              <w:rPr>
                <w:rFonts w:ascii="Times" w:hAnsi="Times"/>
                <w:sz w:val="20"/>
                <w:szCs w:val="20"/>
                <w:vertAlign w:val="superscript"/>
              </w:rPr>
              <w:t>-2</w:t>
            </w:r>
          </w:p>
        </w:tc>
        <w:tc>
          <w:tcPr>
            <w:tcW w:w="814" w:type="dxa"/>
            <w:gridSpan w:val="3"/>
            <w:vAlign w:val="center"/>
          </w:tcPr>
          <w:p w14:paraId="5C0E1ACD"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28</w:t>
            </w:r>
          </w:p>
        </w:tc>
        <w:tc>
          <w:tcPr>
            <w:tcW w:w="2766" w:type="dxa"/>
            <w:gridSpan w:val="4"/>
            <w:vAlign w:val="center"/>
          </w:tcPr>
          <w:p w14:paraId="24270F7A" w14:textId="21569493"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Adv. Fun. Mat., 2016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{"citationItems":[{"id":"ITEM-1","itemData":{"DOI":"10.1002/adfm.201602236","ISSN":"16163028","abstract":"© 2016 WILEY-VCH Verlag GmbH  &amp;  Co. KGaA, Weinheim Developing efficient and economical electrocatalysts for hydrogen evolution reaction and oxygen evolution reaction with readily available metals is one of the main challenges for large scale hydrogen/oxygen production. This study reports one step synthesis of cobalt and molybdenum hybrid materials for high performance overall water splitting. The binder-free CoS-doped β-Co(OH) 2 @amorphous MoS 2+ x  is coated on nickel foam (NF) to form 3D networked nanoplates that have large surface area and high durability for electrochemical reactions. The catalytic activity of electrocatalyst for hydrogen evolution is mainly attributed to the unsaturated sulfur site of amorphous MoS 2+ x . Meanwhile, the CoS-doped β-Co(OH) 2  plays the major role in oxygen evolution. CoS-doped β-Co(OH) 2  and aMoS 2+ x  are strongly bound to each other due to CoS x  bridging. This CoSCo(OH) 2 @aMoS 2+ x /NF hybrid exhibits excellent catalytic activity and stability for overall water splitting. For over 100 000 s the cell voltage required to achieve the current density of 10 mA cm –2  is only 1.58 V, which is remarkably low among the commercially available electrocatalysts. The findings open up an easy and inexpensive method of large scale fabrication of bifunctional electrocatalysts for overall water splitting.","author":[{"dropping-particle":"","family":"Yoon","given":"Taeseung","non-dropping-particle":"","parse-names":false,"suffix":""},{"dropping-particle":"","family":"Kim","given":"Kwang S.","non-dropping-particle":"","parse-names":false,"suffix":""}],"container-title":"Advanced Functional Materials","id":"ITEM-1","issue":"41","issued":{"date-parts":[["2016"]]},"page":"7386-7393","title":"One-Step Synthesis of CoS-Doped β-Co(OH)2@Amorphous MoS2+x Hybrid Catalyst Grown on Nickel Foam for High-Performance Electrochemical Overall Water Splitting","type":"article-journal","volume":"26"},"uris":["http://www.mendeley.com/documents/?uuid=ddb7f6b7-2682-4dcf-8f14-258a6e689345"]}],"mendeley":{"formattedCitation":"&lt;sup&gt;73&lt;/sup&gt;","plainTextFormattedCitation":"73","previouslyFormattedCitation":"&lt;sup&gt;72&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73</w:t>
            </w:r>
            <w:r w:rsidRPr="000B06A4">
              <w:rPr>
                <w:rFonts w:ascii="Times" w:hAnsi="Times"/>
                <w:sz w:val="20"/>
                <w:szCs w:val="20"/>
              </w:rPr>
              <w:fldChar w:fldCharType="end"/>
            </w:r>
          </w:p>
        </w:tc>
      </w:tr>
      <w:tr w:rsidR="00F35D51" w:rsidRPr="000B06A4" w14:paraId="65284CDD" w14:textId="77777777" w:rsidTr="00B05959">
        <w:trPr>
          <w:trHeight w:val="432"/>
        </w:trPr>
        <w:tc>
          <w:tcPr>
            <w:tcW w:w="554" w:type="dxa"/>
            <w:vAlign w:val="center"/>
          </w:tcPr>
          <w:p w14:paraId="7D51A164"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64</w:t>
            </w:r>
          </w:p>
        </w:tc>
        <w:tc>
          <w:tcPr>
            <w:tcW w:w="2250" w:type="dxa"/>
            <w:vAlign w:val="center"/>
          </w:tcPr>
          <w:p w14:paraId="3FA97F60"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NiSe</w:t>
            </w:r>
          </w:p>
        </w:tc>
        <w:tc>
          <w:tcPr>
            <w:tcW w:w="1133" w:type="dxa"/>
            <w:vAlign w:val="center"/>
          </w:tcPr>
          <w:p w14:paraId="64885E10"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5E8D83FF"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CC</w:t>
            </w:r>
          </w:p>
        </w:tc>
        <w:tc>
          <w:tcPr>
            <w:tcW w:w="1170" w:type="dxa"/>
            <w:gridSpan w:val="3"/>
            <w:vAlign w:val="center"/>
          </w:tcPr>
          <w:p w14:paraId="760DB4F6"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w:t>
            </w:r>
          </w:p>
        </w:tc>
        <w:tc>
          <w:tcPr>
            <w:tcW w:w="667" w:type="dxa"/>
            <w:gridSpan w:val="3"/>
            <w:vAlign w:val="center"/>
          </w:tcPr>
          <w:p w14:paraId="06E42DB8"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390</w:t>
            </w:r>
          </w:p>
        </w:tc>
        <w:tc>
          <w:tcPr>
            <w:tcW w:w="1080" w:type="dxa"/>
            <w:gridSpan w:val="3"/>
            <w:vAlign w:val="center"/>
          </w:tcPr>
          <w:p w14:paraId="7ABA9221"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225.6</w:t>
            </w:r>
          </w:p>
        </w:tc>
        <w:tc>
          <w:tcPr>
            <w:tcW w:w="270" w:type="dxa"/>
            <w:gridSpan w:val="3"/>
          </w:tcPr>
          <w:p w14:paraId="6284F538"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21C061A7"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w:t>
            </w:r>
          </w:p>
        </w:tc>
        <w:tc>
          <w:tcPr>
            <w:tcW w:w="814" w:type="dxa"/>
            <w:gridSpan w:val="3"/>
            <w:vAlign w:val="center"/>
          </w:tcPr>
          <w:p w14:paraId="6C6F0441"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2766" w:type="dxa"/>
            <w:gridSpan w:val="4"/>
            <w:vAlign w:val="center"/>
          </w:tcPr>
          <w:p w14:paraId="7A03217A" w14:textId="5C78AE8A"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Nano-Micro Lett., 2019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10.1007/s40820-019-0258-0","ISBN":"0123456789","ISSN":"21505551","author":[{"dropping-particle":"","family":"Qian","given":"Zhengxin","non-dropping-particle":"","parse-names":false,"suffix":""},{"dropping-particle":"","family":"Chen","given":"Yinghuan","non-dropping-particle":"","parse-names":false,"suffix":""},{"dropping-particle":"","family":"Tang","given":"Zhenghua","non-dropping-particle":"","parse-names":false,"suffix":""},{"dropping-particle":"","family":"Liu","given":"Zhen","non-dropping-particle":"","parse-names":false,"suffix":""},{"dropping-particle":"","family":"Wang","given":"Xiufang","non-dropping-particle":"","parse-names":false,"suffix":""},{"dropping-particle":"","family":"Tian","given":"Yong","non-dropping-particle":"","parse-names":false,"suffix":""},{"dropping-particle":"","family":"Gao","given":"Wei","non-dropping-particle":"","parse-names":false,"suffix":""}],"container-title":"Nano-Micro Letters","id":"ITEM-1","issue":"1","issued":{"date-parts":[["2019"]]},"publisher":"Springer Singapore","title":"Hollow Nanocages of NixCo1−xSe for Efficient Zinc–Air Batteries and Overall Water Splitting","type":"article-journal","volume":"11"},"uris":["http://www.mendeley.com/documents/?uuid=4617eacf-677e-4276-8ff0-e2ca28d1c356"]}],"mendeley":{"formattedCitation":"&lt;sup&gt;39&lt;/sup&gt;","plainTextFormattedCitation":"39","previouslyFormattedCitation":"&lt;sup&gt;38&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39</w:t>
            </w:r>
            <w:r w:rsidRPr="000B06A4">
              <w:rPr>
                <w:rFonts w:ascii="Times" w:hAnsi="Times"/>
                <w:sz w:val="20"/>
                <w:szCs w:val="20"/>
              </w:rPr>
              <w:fldChar w:fldCharType="end"/>
            </w:r>
          </w:p>
        </w:tc>
      </w:tr>
      <w:tr w:rsidR="00F35D51" w:rsidRPr="000B06A4" w14:paraId="612C9DBA" w14:textId="77777777" w:rsidTr="00B05959">
        <w:trPr>
          <w:trHeight w:val="432"/>
        </w:trPr>
        <w:tc>
          <w:tcPr>
            <w:tcW w:w="554" w:type="dxa"/>
            <w:vAlign w:val="center"/>
          </w:tcPr>
          <w:p w14:paraId="5619AAC0"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65</w:t>
            </w:r>
          </w:p>
        </w:tc>
        <w:tc>
          <w:tcPr>
            <w:tcW w:w="2250" w:type="dxa"/>
            <w:vAlign w:val="center"/>
          </w:tcPr>
          <w:p w14:paraId="31B87A3E"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Co</w:t>
            </w:r>
            <w:r w:rsidRPr="000B06A4">
              <w:rPr>
                <w:rFonts w:ascii="Times" w:hAnsi="Times"/>
                <w:sz w:val="20"/>
                <w:szCs w:val="20"/>
                <w:vertAlign w:val="subscript"/>
              </w:rPr>
              <w:t>3</w:t>
            </w:r>
            <w:r w:rsidRPr="000B06A4">
              <w:rPr>
                <w:rFonts w:ascii="Times" w:hAnsi="Times"/>
                <w:sz w:val="20"/>
                <w:szCs w:val="20"/>
              </w:rPr>
              <w:t>O</w:t>
            </w:r>
            <w:r w:rsidRPr="000B06A4">
              <w:rPr>
                <w:rFonts w:ascii="Times" w:hAnsi="Times"/>
                <w:sz w:val="20"/>
                <w:szCs w:val="20"/>
                <w:vertAlign w:val="subscript"/>
              </w:rPr>
              <w:t xml:space="preserve">4 </w:t>
            </w:r>
            <w:r w:rsidRPr="000B06A4">
              <w:rPr>
                <w:rFonts w:ascii="Times" w:hAnsi="Times"/>
                <w:sz w:val="20"/>
                <w:szCs w:val="20"/>
              </w:rPr>
              <w:t>nanowire</w:t>
            </w:r>
          </w:p>
        </w:tc>
        <w:tc>
          <w:tcPr>
            <w:tcW w:w="1133" w:type="dxa"/>
            <w:vAlign w:val="center"/>
          </w:tcPr>
          <w:p w14:paraId="0D3664FC"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7ACCBD7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1B8D2E43"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0.136</w:t>
            </w:r>
          </w:p>
        </w:tc>
        <w:tc>
          <w:tcPr>
            <w:tcW w:w="667" w:type="dxa"/>
            <w:gridSpan w:val="3"/>
            <w:vAlign w:val="center"/>
          </w:tcPr>
          <w:p w14:paraId="12348474"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400</w:t>
            </w:r>
          </w:p>
        </w:tc>
        <w:tc>
          <w:tcPr>
            <w:tcW w:w="1080" w:type="dxa"/>
            <w:gridSpan w:val="3"/>
            <w:vAlign w:val="center"/>
          </w:tcPr>
          <w:p w14:paraId="03CA0DE4"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72</w:t>
            </w:r>
          </w:p>
        </w:tc>
        <w:tc>
          <w:tcPr>
            <w:tcW w:w="270" w:type="dxa"/>
            <w:gridSpan w:val="3"/>
          </w:tcPr>
          <w:p w14:paraId="79839CB2"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491F53B2"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CA @420 mV</w:t>
            </w:r>
            <w:r w:rsidRPr="000B06A4">
              <w:rPr>
                <w:rFonts w:ascii="Times" w:hAnsi="Times"/>
                <w:sz w:val="20"/>
                <w:szCs w:val="20"/>
              </w:rPr>
              <w:br/>
              <w:t>j=-31%</w:t>
            </w:r>
          </w:p>
        </w:tc>
        <w:tc>
          <w:tcPr>
            <w:tcW w:w="814" w:type="dxa"/>
            <w:gridSpan w:val="3"/>
            <w:vAlign w:val="center"/>
          </w:tcPr>
          <w:p w14:paraId="51DAB76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1.7</w:t>
            </w:r>
          </w:p>
        </w:tc>
        <w:tc>
          <w:tcPr>
            <w:tcW w:w="2766" w:type="dxa"/>
            <w:gridSpan w:val="4"/>
            <w:vAlign w:val="center"/>
          </w:tcPr>
          <w:p w14:paraId="4EBA6E77" w14:textId="7F433F28"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Adv. Ener. Mat., 2014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{"citationItems":[{"id":"ITEM-1","itemData":{"DOI":"10.1002/aenm.201400696","ISSN":"16146840","abstract":"While electrochem. water splitting is one of the most promising methods to store light/elec. energy in chem. bonds, a key challenge remains in the realization of an efficient oxygen evolution reaction catalyst with large surface area, good elec. cond., high catalytic properties, and low fabrication cost.  Here, a facile soln. redn. method is demonstrated for mesoporous Co3O4 nanowires treated with NaBH4.  The high-surface-area mesopore feature leads to efficient surface redn. in soln. at room temp., which allows for retention of the nanowire morphol. and 1D charge transport behavior, while at the same time substantially increasing the oxygen vacancies on the nanowire surface.  Compared to pristine Co3O4 nanowires, the reduced Co3O4 nanowires exhibit a much larger current of 13.1 mA cm-2 at 1.65 V vs reversible hydrogen electrode (RHE) and a much lower onset potential of 1.52 V vs RHE.  Electrochem. supercapacitors based on the reduced Co3O4 nanowires also show a much improved capacitance of 978 F g-1 and reduced charge transfer resistance.  D.-functional theory calcns. reveal that the existence of oxygen vacancies leads to the formation of new gap states in which the electrons previously assocd. with the Co-O bonds tend to be delocalized, resulting in the much higher elec. cond. and electrocatalytic activity. [on SciFinder(R)]","author":[{"dropping-particle":"","family":"Wang","given":"Yongcheng","non-dropping-particle":"","parse-names":false,"suffix":""},{"dropping-particle":"","family":"Zhou","given":"Tong","non-dropping-particle":"","parse-names":false,"suffix":""},{"dropping-particle":"","family":"Jiang","given":"Kun","non-dropping-particle":"","parse-names":false,"suffix":""},{"dropping-particle":"","family":"Da","given":"Peimei","non-dropping-particle":"","parse-names":false,"suffix":""},{"dropping-particle":"","family":"Peng","given":"Zheng","non-dropping-particle":"","parse-names":false,"suffix":""},{"dropping-particle":"","family":"Tang","given":"Jing","non-dropping-particle":"","parse-names":false,"suffix":""},{"dropping-particle":"","family":"Kong","given":"Biao","non-dropping-particle":"","parse-names":false,"suffix":""},{"dropping-particle":"Bin","family":"Cai","given":"Wen","non-dropping-particle":"","parse-names":false,"suffix":""},{"dropping-particle":"","family":"Yang","given":"Zhongqin","non-dropping-particle":"","parse-names":false,"suffix":""},{"dropping-particle":"","family":"Zheng","given":"Gengfeng","non-dropping-particle":"","parse-names":false,"suffix":""}],"container-title":"Advanced Energy Materials","id":"ITEM-1","issue":"16","issued":{"date-parts":[["2014"]]},"page":"1-7","title":"Reduced mesoporous Co 3 O 4 nanowires as efficient water oxidation electrocatalysts and supercapacitor electrodes","type":"article-journal","volume":"4"},"uris":["http://www.mendeley.com/documents/?uuid=1d312c97-5992-49fe-bb60-2109d6cf578f"]}],"mendeley":{"formattedCitation":"&lt;sup&gt;74&lt;/sup&gt;","plainTextFormattedCitation":"74","previouslyFormattedCitation":"&lt;sup&gt;73&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74</w:t>
            </w:r>
            <w:r w:rsidRPr="000B06A4">
              <w:rPr>
                <w:rFonts w:ascii="Times" w:hAnsi="Times"/>
                <w:sz w:val="20"/>
                <w:szCs w:val="20"/>
              </w:rPr>
              <w:fldChar w:fldCharType="end"/>
            </w:r>
          </w:p>
        </w:tc>
      </w:tr>
      <w:tr w:rsidR="00F35D51" w:rsidRPr="000B06A4" w14:paraId="0156B0D4" w14:textId="77777777" w:rsidTr="00B05959">
        <w:trPr>
          <w:trHeight w:val="432"/>
        </w:trPr>
        <w:tc>
          <w:tcPr>
            <w:tcW w:w="554" w:type="dxa"/>
            <w:vAlign w:val="center"/>
          </w:tcPr>
          <w:p w14:paraId="07ABC1E3" w14:textId="77777777" w:rsidR="00F35D51" w:rsidRPr="000B06A4" w:rsidRDefault="00F35D51" w:rsidP="00B05959">
            <w:pPr>
              <w:spacing w:line="276" w:lineRule="auto"/>
              <w:jc w:val="center"/>
              <w:rPr>
                <w:rFonts w:ascii="Times" w:hAnsi="Times"/>
                <w:sz w:val="20"/>
                <w:szCs w:val="20"/>
              </w:rPr>
            </w:pPr>
            <w:r>
              <w:rPr>
                <w:rFonts w:ascii="Times" w:hAnsi="Times"/>
                <w:sz w:val="20"/>
                <w:szCs w:val="20"/>
              </w:rPr>
              <w:t>66</w:t>
            </w:r>
          </w:p>
        </w:tc>
        <w:tc>
          <w:tcPr>
            <w:tcW w:w="2250" w:type="dxa"/>
            <w:vAlign w:val="center"/>
          </w:tcPr>
          <w:p w14:paraId="6339E8B8"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Co</w:t>
            </w:r>
            <w:r w:rsidRPr="000B06A4">
              <w:rPr>
                <w:rFonts w:ascii="Times" w:hAnsi="Times"/>
                <w:sz w:val="20"/>
                <w:szCs w:val="20"/>
                <w:vertAlign w:val="subscript"/>
              </w:rPr>
              <w:t>9</w:t>
            </w:r>
            <w:r w:rsidRPr="000B06A4">
              <w:rPr>
                <w:rFonts w:ascii="Times" w:hAnsi="Times"/>
                <w:sz w:val="20"/>
                <w:szCs w:val="20"/>
              </w:rPr>
              <w:t>S</w:t>
            </w:r>
            <w:r w:rsidRPr="000B06A4">
              <w:rPr>
                <w:rFonts w:ascii="Times" w:hAnsi="Times"/>
                <w:sz w:val="20"/>
                <w:szCs w:val="20"/>
                <w:vertAlign w:val="subscript"/>
              </w:rPr>
              <w:t>8</w:t>
            </w:r>
            <w:r w:rsidRPr="000B06A4">
              <w:rPr>
                <w:rFonts w:ascii="Times" w:hAnsi="Times"/>
                <w:sz w:val="20"/>
                <w:szCs w:val="20"/>
              </w:rPr>
              <w:t>@MoS</w:t>
            </w:r>
            <w:r w:rsidRPr="000B06A4">
              <w:rPr>
                <w:rFonts w:ascii="Times" w:hAnsi="Times"/>
                <w:sz w:val="20"/>
                <w:szCs w:val="20"/>
                <w:vertAlign w:val="subscript"/>
              </w:rPr>
              <w:t>2</w:t>
            </w:r>
            <w:r w:rsidRPr="000B06A4">
              <w:rPr>
                <w:rFonts w:ascii="Times" w:hAnsi="Times"/>
                <w:sz w:val="20"/>
                <w:szCs w:val="20"/>
              </w:rPr>
              <w:t>/CNFs</w:t>
            </w:r>
          </w:p>
        </w:tc>
        <w:tc>
          <w:tcPr>
            <w:tcW w:w="1133" w:type="dxa"/>
            <w:vAlign w:val="center"/>
          </w:tcPr>
          <w:p w14:paraId="3FA1D115"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1 M KOH</w:t>
            </w:r>
          </w:p>
        </w:tc>
        <w:tc>
          <w:tcPr>
            <w:tcW w:w="1260" w:type="dxa"/>
            <w:gridSpan w:val="3"/>
            <w:vAlign w:val="center"/>
          </w:tcPr>
          <w:p w14:paraId="3DDEDE3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GC</w:t>
            </w:r>
          </w:p>
        </w:tc>
        <w:tc>
          <w:tcPr>
            <w:tcW w:w="1170" w:type="dxa"/>
            <w:gridSpan w:val="3"/>
            <w:vAlign w:val="center"/>
          </w:tcPr>
          <w:p w14:paraId="2A0061D7"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0.212</w:t>
            </w:r>
          </w:p>
        </w:tc>
        <w:tc>
          <w:tcPr>
            <w:tcW w:w="667" w:type="dxa"/>
            <w:gridSpan w:val="3"/>
            <w:vAlign w:val="center"/>
          </w:tcPr>
          <w:p w14:paraId="6BB637DD"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430</w:t>
            </w:r>
          </w:p>
        </w:tc>
        <w:tc>
          <w:tcPr>
            <w:tcW w:w="1080" w:type="dxa"/>
            <w:gridSpan w:val="3"/>
            <w:vAlign w:val="center"/>
          </w:tcPr>
          <w:p w14:paraId="488A136B"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61</w:t>
            </w:r>
          </w:p>
        </w:tc>
        <w:tc>
          <w:tcPr>
            <w:tcW w:w="270" w:type="dxa"/>
            <w:gridSpan w:val="3"/>
          </w:tcPr>
          <w:p w14:paraId="7417CCB4" w14:textId="77777777" w:rsidR="00F35D51" w:rsidRPr="000B06A4" w:rsidRDefault="00F35D51" w:rsidP="00B05959">
            <w:pPr>
              <w:spacing w:line="276" w:lineRule="auto"/>
              <w:jc w:val="center"/>
              <w:rPr>
                <w:rFonts w:ascii="Times" w:hAnsi="Times"/>
                <w:sz w:val="20"/>
                <w:szCs w:val="20"/>
              </w:rPr>
            </w:pPr>
          </w:p>
        </w:tc>
        <w:tc>
          <w:tcPr>
            <w:tcW w:w="2340" w:type="dxa"/>
            <w:gridSpan w:val="3"/>
            <w:vAlign w:val="center"/>
          </w:tcPr>
          <w:p w14:paraId="5015179E" w14:textId="77777777" w:rsidR="00F35D51" w:rsidRPr="000B06A4" w:rsidRDefault="00F35D51" w:rsidP="00B05959">
            <w:pPr>
              <w:spacing w:line="276" w:lineRule="auto"/>
              <w:rPr>
                <w:rFonts w:ascii="Times" w:hAnsi="Times"/>
                <w:sz w:val="20"/>
                <w:szCs w:val="20"/>
              </w:rPr>
            </w:pPr>
            <w:r w:rsidRPr="000B06A4">
              <w:rPr>
                <w:rFonts w:ascii="Times" w:hAnsi="Times"/>
                <w:sz w:val="20"/>
                <w:szCs w:val="20"/>
              </w:rPr>
              <w:t>CV 1000 cycles</w:t>
            </w:r>
          </w:p>
        </w:tc>
        <w:tc>
          <w:tcPr>
            <w:tcW w:w="814" w:type="dxa"/>
            <w:gridSpan w:val="3"/>
            <w:vAlign w:val="center"/>
          </w:tcPr>
          <w:p w14:paraId="5437D68C" w14:textId="77777777" w:rsidR="00F35D51" w:rsidRPr="000B06A4" w:rsidRDefault="00F35D51" w:rsidP="00B05959">
            <w:pPr>
              <w:spacing w:line="276" w:lineRule="auto"/>
              <w:jc w:val="center"/>
              <w:rPr>
                <w:rFonts w:ascii="Times" w:hAnsi="Times"/>
                <w:sz w:val="20"/>
                <w:szCs w:val="20"/>
              </w:rPr>
            </w:pPr>
            <w:r w:rsidRPr="000B06A4">
              <w:rPr>
                <w:rFonts w:ascii="Times" w:hAnsi="Times"/>
                <w:sz w:val="20"/>
                <w:szCs w:val="20"/>
              </w:rPr>
              <w:t>-</w:t>
            </w:r>
          </w:p>
        </w:tc>
        <w:tc>
          <w:tcPr>
            <w:tcW w:w="2766" w:type="dxa"/>
            <w:gridSpan w:val="4"/>
            <w:vAlign w:val="center"/>
          </w:tcPr>
          <w:p w14:paraId="7D2EA401" w14:textId="4BBABEC5" w:rsidR="00F35D51" w:rsidRPr="000B06A4" w:rsidRDefault="00F35D51" w:rsidP="00B05959">
            <w:pPr>
              <w:spacing w:line="276" w:lineRule="auto"/>
              <w:rPr>
                <w:rFonts w:ascii="Times" w:hAnsi="Times"/>
                <w:sz w:val="20"/>
                <w:szCs w:val="20"/>
              </w:rPr>
            </w:pPr>
            <w:r w:rsidRPr="000B06A4">
              <w:rPr>
                <w:rFonts w:ascii="Times" w:hAnsi="Times"/>
                <w:sz w:val="20"/>
                <w:szCs w:val="20"/>
              </w:rPr>
              <w:t xml:space="preserve">Adv. Mat., 2015 </w:t>
            </w:r>
            <w:r w:rsidRPr="000B06A4">
              <w:rPr>
                <w:rFonts w:ascii="Times" w:hAnsi="Times"/>
                <w:sz w:val="20"/>
                <w:szCs w:val="20"/>
              </w:rPr>
              <w:fldChar w:fldCharType="begin" w:fldLock="1"/>
            </w:r>
            <w:r w:rsidR="00125386">
              <w:rPr>
                <w:rFonts w:ascii="Times" w:hAnsi="Times"/>
                <w:sz w:val="20"/>
                <w:szCs w:val="20"/>
              </w:rPr>
              <w:instrText>ADDIN CSL_CITATION {"citationItems":[{"id":"ITEM-1","itemData":{"DOI":"10.1002/adma.201501969","ISSN":"15214095","abstract":"A new class of Co9 S8 @MoS2 core-shell structures formed on carbon nanofibers composed of cubic Co9 S8 as cores and layered MoS2 as shells is described. The core-shell design of these nanostructures allows the advantages of MoS2 and Co9 S8 to be combined, serving as a bifunctional electrocatalyst for H2 and O2 evolutions.","author":[{"dropping-particle":"","family":"Zhu","given":"Han","non-dropping-particle":"","parse-names":false,"suffix":""},{"dropping-particle":"","family":"Zhang","given":"Junfeng","non-dropping-particle":"","parse-names":false,"suffix":""},{"dropping-particle":"","family":"Yanzhang","given":"Ruoping","non-dropping-particle":"","parse-names":false,"suffix":""},{"dropping-particle":"","family":"Du","given":"Mingliang","non-dropping-particle":"","parse-names":false,"suffix":""},{"dropping-particle":"","family":"Wang","given":"Qingfa","non-dropping-particle":"","parse-names":false,"suffix":""},{"dropping-particle":"","family":"Gao","given":"Guohua","non-dropping-particle":"","parse-names":false,"suffix":""},{"dropping-particle":"","family":"Wu","given":"Jiandong","non-dropping-particle":"","parse-names":false,"suffix":""},{"dropping-particle":"","family":"Wu","given":"Guangming","non-dropping-particle":"","parse-names":false,"suffix":""},{"dropping-particle":"","family":"Zhang","given":"Ming","non-dropping-particle":"","parse-names":false,"suffix":""},{"dropping-particle":"","family":"Liu","given":"Bo","non-dropping-particle":"","parse-names":false,"suffix":""},{"dropping-particle":"","family":"Yao","given":"Juming","non-dropping-particle":"","parse-names":false,"suffix":""},{"dropping-particle":"","family":"Zhang","given":"Xiangwen","non-dropping-particle":"","parse-names":false,"suffix":""}],"container-title":"Advanced Materials","id":"ITEM-1","issue":"32","issued":{"date-parts":[["2015"]]},"page":"4752-4759","title":"When Cubic Cobalt Sulfide Meets Layered Molybdenum Disulfide: A Core-Shell System Toward Synergetic Electrocatalytic Water Splitting","type":"article-journal","volume":"27"},"uris":["http://www.mendeley.com/documents/?uuid=43c21036-13df-4c57-a1c5-3fe8f3a62559"]}],"mendeley":{"formattedCitation":"&lt;sup&gt;75&lt;/sup&gt;","plainTextFormattedCitation":"75","previouslyFormattedCitation":"&lt;sup&gt;74&lt;/sup&gt;"},"properties":{"noteIndex":0},"schema":"https://github.com/citation-style-language/schema/raw/master/csl-citation.json"}</w:instrText>
            </w:r>
            <w:r w:rsidRPr="000B06A4">
              <w:rPr>
                <w:rFonts w:ascii="Times" w:hAnsi="Times"/>
                <w:sz w:val="20"/>
                <w:szCs w:val="20"/>
              </w:rPr>
              <w:fldChar w:fldCharType="separate"/>
            </w:r>
            <w:r w:rsidR="00125386" w:rsidRPr="00125386">
              <w:rPr>
                <w:rFonts w:ascii="Times" w:hAnsi="Times"/>
                <w:noProof/>
                <w:sz w:val="20"/>
                <w:szCs w:val="20"/>
                <w:vertAlign w:val="superscript"/>
              </w:rPr>
              <w:t>75</w:t>
            </w:r>
            <w:r w:rsidRPr="000B06A4">
              <w:rPr>
                <w:rFonts w:ascii="Times" w:hAnsi="Times"/>
                <w:sz w:val="20"/>
                <w:szCs w:val="20"/>
              </w:rPr>
              <w:fldChar w:fldCharType="end"/>
            </w:r>
          </w:p>
        </w:tc>
      </w:tr>
    </w:tbl>
    <w:p w14:paraId="75CA6F3B" w14:textId="77777777" w:rsidR="00F35D51" w:rsidRPr="000B06A4" w:rsidRDefault="00F35D51" w:rsidP="00F35D51">
      <w:pPr>
        <w:spacing w:line="276" w:lineRule="auto"/>
        <w:rPr>
          <w:rFonts w:ascii="Times" w:hAnsi="Times"/>
          <w:sz w:val="20"/>
          <w:szCs w:val="20"/>
        </w:rPr>
      </w:pPr>
    </w:p>
    <w:p w14:paraId="721A2FCE" w14:textId="76277ED5" w:rsidR="00F35D51" w:rsidRDefault="00F35D51" w:rsidP="00F35D51">
      <w:pPr>
        <w:tabs>
          <w:tab w:val="left" w:pos="0"/>
          <w:tab w:val="left" w:pos="90"/>
        </w:tabs>
        <w:spacing w:line="276" w:lineRule="auto"/>
        <w:ind w:left="-180"/>
        <w:rPr>
          <w:rFonts w:ascii="Times" w:hAnsi="Times"/>
          <w:sz w:val="20"/>
          <w:szCs w:val="20"/>
        </w:rPr>
      </w:pPr>
      <w:r w:rsidRPr="000B06A4">
        <w:rPr>
          <w:rFonts w:ascii="Times" w:hAnsi="Times"/>
          <w:sz w:val="20"/>
          <w:szCs w:val="20"/>
        </w:rPr>
        <w:t>(a) GC: glassy carbon, CP: carbon paper, NF: nickel foam, CC: Carbon Cloth, GF: Graphite Foil (b) Taken @10 mA.cm</w:t>
      </w:r>
      <w:r w:rsidRPr="000B06A4">
        <w:rPr>
          <w:rFonts w:ascii="Times" w:hAnsi="Times"/>
          <w:sz w:val="20"/>
          <w:szCs w:val="20"/>
          <w:vertAlign w:val="superscript"/>
        </w:rPr>
        <w:t>-2</w:t>
      </w:r>
      <w:r w:rsidRPr="000B06A4">
        <w:rPr>
          <w:rFonts w:ascii="Times" w:hAnsi="Times"/>
          <w:sz w:val="20"/>
          <w:szCs w:val="20"/>
        </w:rPr>
        <w:t xml:space="preserve"> (c) CP chronopotentiometry, CA: </w:t>
      </w:r>
      <w:proofErr w:type="spellStart"/>
      <w:r>
        <w:rPr>
          <w:rFonts w:ascii="Times" w:hAnsi="Times"/>
          <w:sz w:val="20"/>
          <w:szCs w:val="20"/>
        </w:rPr>
        <w:t>c</w:t>
      </w:r>
      <w:r w:rsidRPr="000B06A4">
        <w:rPr>
          <w:rFonts w:ascii="Times" w:hAnsi="Times"/>
          <w:sz w:val="20"/>
          <w:szCs w:val="20"/>
        </w:rPr>
        <w:t>hronoampero</w:t>
      </w:r>
      <w:proofErr w:type="spellEnd"/>
    </w:p>
    <w:p w14:paraId="21356567" w14:textId="77777777" w:rsidR="00717A44" w:rsidRDefault="00F35D51" w:rsidP="00F35D51">
      <w:pPr>
        <w:tabs>
          <w:tab w:val="left" w:pos="0"/>
          <w:tab w:val="left" w:pos="90"/>
        </w:tabs>
        <w:spacing w:line="276" w:lineRule="auto"/>
        <w:ind w:left="-180"/>
        <w:rPr>
          <w:rFonts w:ascii="Times" w:hAnsi="Times"/>
          <w:sz w:val="20"/>
          <w:szCs w:val="20"/>
        </w:rPr>
      </w:pPr>
      <w:proofErr w:type="spellStart"/>
      <w:r w:rsidRPr="000B06A4">
        <w:rPr>
          <w:rFonts w:ascii="Times" w:hAnsi="Times"/>
          <w:sz w:val="20"/>
          <w:szCs w:val="20"/>
        </w:rPr>
        <w:t>metry</w:t>
      </w:r>
      <w:proofErr w:type="spellEnd"/>
      <w:r w:rsidRPr="000B06A4">
        <w:rPr>
          <w:rFonts w:ascii="Times" w:hAnsi="Times"/>
          <w:sz w:val="20"/>
          <w:szCs w:val="20"/>
        </w:rPr>
        <w:t xml:space="preserve">, CV: cyclic voltammetry (d) η obtained using Tafel slope </w:t>
      </w:r>
    </w:p>
    <w:p w14:paraId="7AF96979" w14:textId="77777777" w:rsidR="00717A44" w:rsidRDefault="00717A44" w:rsidP="00F35D51">
      <w:pPr>
        <w:tabs>
          <w:tab w:val="left" w:pos="0"/>
          <w:tab w:val="left" w:pos="90"/>
        </w:tabs>
        <w:spacing w:line="276" w:lineRule="auto"/>
        <w:ind w:left="-180"/>
        <w:rPr>
          <w:rFonts w:ascii="Times" w:hAnsi="Times"/>
          <w:sz w:val="20"/>
          <w:szCs w:val="20"/>
        </w:rPr>
      </w:pPr>
    </w:p>
    <w:p w14:paraId="19DB37AF" w14:textId="77777777" w:rsidR="00717A44" w:rsidRDefault="00717A44" w:rsidP="00F35D51">
      <w:pPr>
        <w:tabs>
          <w:tab w:val="left" w:pos="0"/>
          <w:tab w:val="left" w:pos="90"/>
        </w:tabs>
        <w:spacing w:line="276" w:lineRule="auto"/>
        <w:ind w:left="-180"/>
        <w:rPr>
          <w:rFonts w:ascii="Times" w:hAnsi="Times"/>
          <w:sz w:val="20"/>
          <w:szCs w:val="20"/>
        </w:rPr>
      </w:pPr>
    </w:p>
    <w:p w14:paraId="09F3F5C4" w14:textId="69077F6A" w:rsidR="00717A44" w:rsidRPr="00717A44" w:rsidRDefault="00717A44" w:rsidP="00717A44">
      <w:pPr>
        <w:pStyle w:val="Caption"/>
        <w:keepNext/>
        <w:jc w:val="center"/>
      </w:pPr>
      <w:bookmarkStart w:id="8" w:name="_Ref23589935"/>
      <w:bookmarkStart w:id="9" w:name="_Toc29015485"/>
      <w:bookmarkStart w:id="10" w:name="_Toc27260354"/>
      <w:r>
        <w:t>Table</w:t>
      </w:r>
      <w:bookmarkEnd w:id="8"/>
      <w:r>
        <w:t xml:space="preserve"> S9</w:t>
      </w:r>
      <w:r w:rsidR="002957BF">
        <w:t>.</w:t>
      </w:r>
      <w:r>
        <w:t xml:space="preserve"> </w:t>
      </w:r>
      <w:r w:rsidRPr="00717A44">
        <w:rPr>
          <w:b w:val="0"/>
          <w:bCs w:val="0"/>
        </w:rPr>
        <w:t>A review on AEM water electrolyzers</w:t>
      </w:r>
      <w:bookmarkEnd w:id="9"/>
      <w:bookmarkEnd w:id="10"/>
      <w:r w:rsidRPr="00717A44">
        <w:rPr>
          <w:b w:val="0"/>
          <w:bCs w:val="0"/>
        </w:rPr>
        <w:t>. *iR-corrected voltage</w:t>
      </w:r>
    </w:p>
    <w:tbl>
      <w:tblPr>
        <w:tblW w:w="14544" w:type="dxa"/>
        <w:tblInd w:w="-142" w:type="dxa"/>
        <w:tblLayout w:type="fixed"/>
        <w:tblLook w:val="04A0" w:firstRow="1" w:lastRow="0" w:firstColumn="1" w:lastColumn="0" w:noHBand="0" w:noVBand="1"/>
      </w:tblPr>
      <w:tblGrid>
        <w:gridCol w:w="1149"/>
        <w:gridCol w:w="795"/>
        <w:gridCol w:w="1150"/>
        <w:gridCol w:w="7"/>
        <w:gridCol w:w="230"/>
        <w:gridCol w:w="12"/>
        <w:gridCol w:w="1054"/>
        <w:gridCol w:w="1049"/>
        <w:gridCol w:w="1058"/>
        <w:gridCol w:w="8"/>
        <w:gridCol w:w="229"/>
        <w:gridCol w:w="13"/>
        <w:gridCol w:w="1122"/>
        <w:gridCol w:w="8"/>
        <w:gridCol w:w="228"/>
        <w:gridCol w:w="13"/>
        <w:gridCol w:w="860"/>
        <w:gridCol w:w="526"/>
        <w:gridCol w:w="1081"/>
        <w:gridCol w:w="559"/>
        <w:gridCol w:w="1134"/>
        <w:gridCol w:w="1083"/>
        <w:gridCol w:w="1165"/>
        <w:gridCol w:w="11"/>
      </w:tblGrid>
      <w:tr w:rsidR="00717A44" w:rsidRPr="00013DED" w14:paraId="0DBF7FA7" w14:textId="77777777" w:rsidTr="00013DED">
        <w:trPr>
          <w:trHeight w:val="631"/>
        </w:trPr>
        <w:tc>
          <w:tcPr>
            <w:tcW w:w="3101" w:type="dxa"/>
            <w:gridSpan w:val="4"/>
            <w:tcBorders>
              <w:top w:val="nil"/>
              <w:left w:val="nil"/>
              <w:bottom w:val="single" w:sz="4" w:space="0" w:color="auto"/>
              <w:right w:val="nil"/>
            </w:tcBorders>
            <w:shd w:val="clear" w:color="auto" w:fill="auto"/>
            <w:vAlign w:val="center"/>
          </w:tcPr>
          <w:p w14:paraId="6F2814BA" w14:textId="77777777" w:rsidR="00717A44" w:rsidRPr="00013DED" w:rsidRDefault="00717A44" w:rsidP="001C0097">
            <w:pPr>
              <w:jc w:val="center"/>
              <w:rPr>
                <w:rFonts w:ascii="Times" w:hAnsi="Times"/>
                <w:b/>
                <w:bCs/>
                <w:sz w:val="20"/>
                <w:szCs w:val="20"/>
              </w:rPr>
            </w:pPr>
            <w:r w:rsidRPr="00013DED">
              <w:rPr>
                <w:rFonts w:ascii="Times" w:hAnsi="Times"/>
                <w:b/>
                <w:bCs/>
                <w:sz w:val="20"/>
                <w:szCs w:val="20"/>
              </w:rPr>
              <w:t>Anode</w:t>
            </w:r>
          </w:p>
        </w:tc>
        <w:tc>
          <w:tcPr>
            <w:tcW w:w="242" w:type="dxa"/>
            <w:gridSpan w:val="2"/>
            <w:tcBorders>
              <w:top w:val="nil"/>
              <w:left w:val="nil"/>
              <w:right w:val="nil"/>
            </w:tcBorders>
          </w:tcPr>
          <w:p w14:paraId="6FB00A12" w14:textId="77777777" w:rsidR="00717A44" w:rsidRPr="00013DED" w:rsidRDefault="00717A44" w:rsidP="001C0097">
            <w:pPr>
              <w:jc w:val="center"/>
              <w:rPr>
                <w:rFonts w:ascii="Times" w:hAnsi="Times"/>
                <w:b/>
                <w:bCs/>
                <w:sz w:val="20"/>
                <w:szCs w:val="20"/>
              </w:rPr>
            </w:pPr>
          </w:p>
        </w:tc>
        <w:tc>
          <w:tcPr>
            <w:tcW w:w="3169" w:type="dxa"/>
            <w:gridSpan w:val="4"/>
            <w:tcBorders>
              <w:top w:val="nil"/>
              <w:left w:val="nil"/>
              <w:bottom w:val="single" w:sz="4" w:space="0" w:color="auto"/>
              <w:right w:val="nil"/>
            </w:tcBorders>
            <w:shd w:val="clear" w:color="auto" w:fill="auto"/>
            <w:vAlign w:val="center"/>
          </w:tcPr>
          <w:p w14:paraId="4F7F40F6" w14:textId="77777777" w:rsidR="00717A44" w:rsidRPr="00013DED" w:rsidRDefault="00717A44" w:rsidP="001C0097">
            <w:pPr>
              <w:jc w:val="center"/>
              <w:rPr>
                <w:rFonts w:ascii="Times" w:hAnsi="Times"/>
                <w:b/>
                <w:bCs/>
                <w:sz w:val="20"/>
                <w:szCs w:val="20"/>
              </w:rPr>
            </w:pPr>
            <w:r w:rsidRPr="00013DED">
              <w:rPr>
                <w:rFonts w:ascii="Times" w:hAnsi="Times"/>
                <w:b/>
                <w:bCs/>
                <w:sz w:val="20"/>
                <w:szCs w:val="20"/>
              </w:rPr>
              <w:t>Cathode</w:t>
            </w:r>
          </w:p>
        </w:tc>
        <w:tc>
          <w:tcPr>
            <w:tcW w:w="242" w:type="dxa"/>
            <w:gridSpan w:val="2"/>
            <w:tcBorders>
              <w:top w:val="nil"/>
              <w:left w:val="nil"/>
              <w:right w:val="nil"/>
            </w:tcBorders>
          </w:tcPr>
          <w:p w14:paraId="5FEBF0E9" w14:textId="77777777" w:rsidR="00717A44" w:rsidRPr="00013DED" w:rsidRDefault="00717A44" w:rsidP="001C0097">
            <w:pPr>
              <w:jc w:val="center"/>
              <w:rPr>
                <w:rFonts w:ascii="Times" w:hAnsi="Times"/>
                <w:sz w:val="20"/>
                <w:szCs w:val="20"/>
              </w:rPr>
            </w:pPr>
          </w:p>
        </w:tc>
        <w:tc>
          <w:tcPr>
            <w:tcW w:w="1130" w:type="dxa"/>
            <w:gridSpan w:val="2"/>
            <w:tcBorders>
              <w:top w:val="nil"/>
              <w:left w:val="nil"/>
              <w:bottom w:val="single" w:sz="4" w:space="0" w:color="auto"/>
              <w:right w:val="nil"/>
            </w:tcBorders>
            <w:shd w:val="clear" w:color="auto" w:fill="auto"/>
            <w:vAlign w:val="center"/>
          </w:tcPr>
          <w:p w14:paraId="798608C9" w14:textId="77777777" w:rsidR="00717A44" w:rsidRPr="00013DED" w:rsidRDefault="00717A44" w:rsidP="001C0097">
            <w:pPr>
              <w:jc w:val="center"/>
              <w:rPr>
                <w:rFonts w:ascii="Times" w:hAnsi="Times"/>
                <w:sz w:val="20"/>
                <w:szCs w:val="20"/>
              </w:rPr>
            </w:pPr>
          </w:p>
        </w:tc>
        <w:tc>
          <w:tcPr>
            <w:tcW w:w="241" w:type="dxa"/>
            <w:gridSpan w:val="2"/>
            <w:tcBorders>
              <w:top w:val="nil"/>
              <w:left w:val="nil"/>
              <w:right w:val="nil"/>
            </w:tcBorders>
          </w:tcPr>
          <w:p w14:paraId="260C07AC" w14:textId="77777777" w:rsidR="00717A44" w:rsidRPr="00013DED" w:rsidRDefault="00717A44" w:rsidP="001C0097">
            <w:pPr>
              <w:jc w:val="center"/>
              <w:rPr>
                <w:rFonts w:ascii="Times" w:hAnsi="Times"/>
                <w:b/>
                <w:bCs/>
                <w:sz w:val="20"/>
                <w:szCs w:val="20"/>
              </w:rPr>
            </w:pPr>
          </w:p>
        </w:tc>
        <w:tc>
          <w:tcPr>
            <w:tcW w:w="860" w:type="dxa"/>
            <w:tcBorders>
              <w:top w:val="nil"/>
              <w:left w:val="nil"/>
              <w:right w:val="nil"/>
            </w:tcBorders>
          </w:tcPr>
          <w:p w14:paraId="368F26AE" w14:textId="77777777" w:rsidR="00717A44" w:rsidRPr="00013DED" w:rsidRDefault="00717A44" w:rsidP="001C0097">
            <w:pPr>
              <w:jc w:val="center"/>
              <w:rPr>
                <w:rFonts w:ascii="Times" w:hAnsi="Times"/>
                <w:b/>
                <w:bCs/>
                <w:sz w:val="20"/>
                <w:szCs w:val="20"/>
              </w:rPr>
            </w:pPr>
          </w:p>
        </w:tc>
        <w:tc>
          <w:tcPr>
            <w:tcW w:w="4383" w:type="dxa"/>
            <w:gridSpan w:val="5"/>
            <w:tcBorders>
              <w:top w:val="nil"/>
              <w:left w:val="nil"/>
              <w:bottom w:val="single" w:sz="4" w:space="0" w:color="auto"/>
              <w:right w:val="nil"/>
            </w:tcBorders>
            <w:shd w:val="clear" w:color="auto" w:fill="auto"/>
            <w:vAlign w:val="center"/>
          </w:tcPr>
          <w:p w14:paraId="2CCBA8D8" w14:textId="77777777" w:rsidR="00717A44" w:rsidRPr="00013DED" w:rsidRDefault="00717A44" w:rsidP="001C0097">
            <w:pPr>
              <w:jc w:val="center"/>
              <w:rPr>
                <w:rFonts w:ascii="Times" w:hAnsi="Times"/>
                <w:b/>
                <w:bCs/>
                <w:sz w:val="20"/>
                <w:szCs w:val="20"/>
              </w:rPr>
            </w:pPr>
            <w:r w:rsidRPr="00013DED">
              <w:rPr>
                <w:rFonts w:ascii="Times" w:hAnsi="Times"/>
                <w:b/>
                <w:bCs/>
                <w:sz w:val="20"/>
                <w:szCs w:val="20"/>
              </w:rPr>
              <w:t>Operating Conditions</w:t>
            </w:r>
          </w:p>
        </w:tc>
        <w:tc>
          <w:tcPr>
            <w:tcW w:w="1176" w:type="dxa"/>
            <w:gridSpan w:val="2"/>
            <w:tcBorders>
              <w:top w:val="nil"/>
              <w:left w:val="nil"/>
              <w:right w:val="nil"/>
            </w:tcBorders>
            <w:shd w:val="clear" w:color="auto" w:fill="auto"/>
            <w:vAlign w:val="center"/>
          </w:tcPr>
          <w:p w14:paraId="1C1932D3" w14:textId="77777777" w:rsidR="00717A44" w:rsidRPr="00013DED" w:rsidRDefault="00717A44" w:rsidP="001C0097">
            <w:pPr>
              <w:jc w:val="center"/>
              <w:rPr>
                <w:rFonts w:ascii="Times" w:hAnsi="Times"/>
                <w:b/>
                <w:bCs/>
                <w:sz w:val="20"/>
                <w:szCs w:val="20"/>
              </w:rPr>
            </w:pPr>
            <w:r w:rsidRPr="00013DED">
              <w:rPr>
                <w:rFonts w:ascii="Times" w:hAnsi="Times"/>
                <w:b/>
                <w:bCs/>
                <w:sz w:val="20"/>
                <w:szCs w:val="20"/>
              </w:rPr>
              <w:t>Reference</w:t>
            </w:r>
          </w:p>
        </w:tc>
      </w:tr>
      <w:tr w:rsidR="00717A44" w:rsidRPr="00013DED" w14:paraId="34A2E7BE" w14:textId="77777777" w:rsidTr="00013DED">
        <w:trPr>
          <w:gridAfter w:val="1"/>
          <w:wAfter w:w="11" w:type="dxa"/>
          <w:trHeight w:val="631"/>
        </w:trPr>
        <w:tc>
          <w:tcPr>
            <w:tcW w:w="1149" w:type="dxa"/>
            <w:tcBorders>
              <w:top w:val="single" w:sz="4" w:space="0" w:color="auto"/>
              <w:left w:val="nil"/>
              <w:bottom w:val="nil"/>
              <w:right w:val="nil"/>
            </w:tcBorders>
            <w:shd w:val="clear" w:color="auto" w:fill="auto"/>
            <w:vAlign w:val="center"/>
          </w:tcPr>
          <w:p w14:paraId="0690E996" w14:textId="77777777" w:rsidR="00717A44" w:rsidRPr="00013DED" w:rsidRDefault="00717A44" w:rsidP="001C0097">
            <w:pPr>
              <w:rPr>
                <w:rFonts w:ascii="Times" w:hAnsi="Times"/>
                <w:sz w:val="20"/>
                <w:szCs w:val="20"/>
              </w:rPr>
            </w:pPr>
            <w:r w:rsidRPr="00013DED">
              <w:rPr>
                <w:rFonts w:ascii="Times" w:hAnsi="Times"/>
                <w:sz w:val="20"/>
                <w:szCs w:val="20"/>
              </w:rPr>
              <w:t>Catalyst</w:t>
            </w:r>
          </w:p>
        </w:tc>
        <w:tc>
          <w:tcPr>
            <w:tcW w:w="795" w:type="dxa"/>
            <w:tcBorders>
              <w:top w:val="single" w:sz="4" w:space="0" w:color="auto"/>
              <w:left w:val="nil"/>
              <w:bottom w:val="nil"/>
              <w:right w:val="nil"/>
            </w:tcBorders>
            <w:shd w:val="clear" w:color="auto" w:fill="auto"/>
            <w:vAlign w:val="center"/>
          </w:tcPr>
          <w:p w14:paraId="005DD0A6" w14:textId="77777777" w:rsidR="00717A44" w:rsidRPr="00013DED" w:rsidRDefault="00717A44" w:rsidP="001C0097">
            <w:pPr>
              <w:jc w:val="center"/>
              <w:rPr>
                <w:rFonts w:ascii="Times" w:hAnsi="Times"/>
                <w:sz w:val="20"/>
                <w:szCs w:val="20"/>
              </w:rPr>
            </w:pPr>
            <w:r w:rsidRPr="00013DED">
              <w:rPr>
                <w:rFonts w:ascii="Times" w:hAnsi="Times"/>
                <w:sz w:val="20"/>
                <w:szCs w:val="20"/>
              </w:rPr>
              <w:t>GDL</w:t>
            </w:r>
          </w:p>
        </w:tc>
        <w:tc>
          <w:tcPr>
            <w:tcW w:w="1150" w:type="dxa"/>
            <w:tcBorders>
              <w:top w:val="single" w:sz="4" w:space="0" w:color="auto"/>
              <w:left w:val="nil"/>
              <w:bottom w:val="nil"/>
              <w:right w:val="nil"/>
            </w:tcBorders>
            <w:shd w:val="clear" w:color="auto" w:fill="auto"/>
            <w:vAlign w:val="center"/>
          </w:tcPr>
          <w:p w14:paraId="2A1A29C7" w14:textId="77777777" w:rsidR="00717A44" w:rsidRPr="00013DED" w:rsidRDefault="00717A44" w:rsidP="001C0097">
            <w:pPr>
              <w:jc w:val="center"/>
              <w:rPr>
                <w:rFonts w:ascii="Times" w:hAnsi="Times"/>
                <w:sz w:val="20"/>
                <w:szCs w:val="20"/>
              </w:rPr>
            </w:pPr>
            <w:r w:rsidRPr="00013DED">
              <w:rPr>
                <w:rFonts w:ascii="Times" w:hAnsi="Times"/>
                <w:sz w:val="20"/>
                <w:szCs w:val="20"/>
              </w:rPr>
              <w:t>Loading (mg.cm</w:t>
            </w:r>
            <w:r w:rsidRPr="00013DED">
              <w:rPr>
                <w:rFonts w:ascii="Times" w:hAnsi="Times"/>
                <w:sz w:val="20"/>
                <w:szCs w:val="20"/>
                <w:vertAlign w:val="superscript"/>
              </w:rPr>
              <w:t>-2</w:t>
            </w:r>
            <w:r w:rsidRPr="00013DED">
              <w:rPr>
                <w:rFonts w:ascii="Times" w:hAnsi="Times"/>
                <w:sz w:val="20"/>
                <w:szCs w:val="20"/>
              </w:rPr>
              <w:t>)</w:t>
            </w:r>
          </w:p>
        </w:tc>
        <w:tc>
          <w:tcPr>
            <w:tcW w:w="237" w:type="dxa"/>
            <w:gridSpan w:val="2"/>
            <w:tcBorders>
              <w:left w:val="nil"/>
              <w:bottom w:val="nil"/>
              <w:right w:val="nil"/>
            </w:tcBorders>
          </w:tcPr>
          <w:p w14:paraId="48C176FC" w14:textId="77777777" w:rsidR="00717A44" w:rsidRPr="00013DED" w:rsidRDefault="00717A44" w:rsidP="001C0097">
            <w:pPr>
              <w:jc w:val="center"/>
              <w:rPr>
                <w:rFonts w:ascii="Times" w:hAnsi="Times"/>
                <w:sz w:val="20"/>
                <w:szCs w:val="20"/>
              </w:rPr>
            </w:pPr>
          </w:p>
        </w:tc>
        <w:tc>
          <w:tcPr>
            <w:tcW w:w="1066" w:type="dxa"/>
            <w:gridSpan w:val="2"/>
            <w:tcBorders>
              <w:top w:val="single" w:sz="4" w:space="0" w:color="auto"/>
              <w:left w:val="nil"/>
              <w:bottom w:val="nil"/>
              <w:right w:val="nil"/>
            </w:tcBorders>
            <w:shd w:val="clear" w:color="auto" w:fill="auto"/>
            <w:vAlign w:val="center"/>
          </w:tcPr>
          <w:p w14:paraId="40FE728B" w14:textId="77777777" w:rsidR="00717A44" w:rsidRPr="00013DED" w:rsidRDefault="00717A44" w:rsidP="001C0097">
            <w:pPr>
              <w:jc w:val="center"/>
              <w:rPr>
                <w:rFonts w:ascii="Times" w:hAnsi="Times"/>
                <w:sz w:val="20"/>
                <w:szCs w:val="20"/>
              </w:rPr>
            </w:pPr>
            <w:r w:rsidRPr="00013DED">
              <w:rPr>
                <w:rFonts w:ascii="Times" w:hAnsi="Times"/>
                <w:sz w:val="20"/>
                <w:szCs w:val="20"/>
              </w:rPr>
              <w:t>Catalyst</w:t>
            </w:r>
          </w:p>
        </w:tc>
        <w:tc>
          <w:tcPr>
            <w:tcW w:w="1049" w:type="dxa"/>
            <w:tcBorders>
              <w:top w:val="single" w:sz="4" w:space="0" w:color="auto"/>
              <w:left w:val="nil"/>
              <w:bottom w:val="nil"/>
              <w:right w:val="nil"/>
            </w:tcBorders>
            <w:shd w:val="clear" w:color="auto" w:fill="auto"/>
            <w:vAlign w:val="center"/>
          </w:tcPr>
          <w:p w14:paraId="7C7D25E5" w14:textId="77777777" w:rsidR="00717A44" w:rsidRPr="00013DED" w:rsidRDefault="00717A44" w:rsidP="001C0097">
            <w:pPr>
              <w:jc w:val="center"/>
              <w:rPr>
                <w:rFonts w:ascii="Times" w:hAnsi="Times"/>
                <w:sz w:val="20"/>
                <w:szCs w:val="20"/>
              </w:rPr>
            </w:pPr>
            <w:r w:rsidRPr="00013DED">
              <w:rPr>
                <w:rFonts w:ascii="Times" w:hAnsi="Times"/>
                <w:sz w:val="20"/>
                <w:szCs w:val="20"/>
              </w:rPr>
              <w:t>GDL</w:t>
            </w:r>
          </w:p>
        </w:tc>
        <w:tc>
          <w:tcPr>
            <w:tcW w:w="1058" w:type="dxa"/>
            <w:tcBorders>
              <w:top w:val="single" w:sz="4" w:space="0" w:color="auto"/>
              <w:left w:val="nil"/>
              <w:bottom w:val="nil"/>
              <w:right w:val="nil"/>
            </w:tcBorders>
            <w:shd w:val="clear" w:color="auto" w:fill="auto"/>
            <w:vAlign w:val="center"/>
          </w:tcPr>
          <w:p w14:paraId="6823B581" w14:textId="77777777" w:rsidR="00717A44" w:rsidRPr="00013DED" w:rsidRDefault="00717A44" w:rsidP="001C0097">
            <w:pPr>
              <w:jc w:val="center"/>
              <w:rPr>
                <w:rFonts w:ascii="Times" w:hAnsi="Times"/>
                <w:sz w:val="20"/>
                <w:szCs w:val="20"/>
              </w:rPr>
            </w:pPr>
            <w:r w:rsidRPr="00013DED">
              <w:rPr>
                <w:rFonts w:ascii="Times" w:hAnsi="Times"/>
                <w:sz w:val="20"/>
                <w:szCs w:val="20"/>
              </w:rPr>
              <w:t>Loading (mg.cm-</w:t>
            </w:r>
            <w:r w:rsidRPr="00013DED">
              <w:rPr>
                <w:rFonts w:ascii="Times" w:hAnsi="Times"/>
                <w:sz w:val="20"/>
                <w:szCs w:val="20"/>
                <w:vertAlign w:val="superscript"/>
              </w:rPr>
              <w:t>2</w:t>
            </w:r>
            <w:r w:rsidRPr="00013DED">
              <w:rPr>
                <w:rFonts w:ascii="Times" w:hAnsi="Times"/>
                <w:sz w:val="20"/>
                <w:szCs w:val="20"/>
              </w:rPr>
              <w:t>)</w:t>
            </w:r>
          </w:p>
        </w:tc>
        <w:tc>
          <w:tcPr>
            <w:tcW w:w="237" w:type="dxa"/>
            <w:gridSpan w:val="2"/>
            <w:tcBorders>
              <w:left w:val="nil"/>
              <w:bottom w:val="nil"/>
              <w:right w:val="nil"/>
            </w:tcBorders>
          </w:tcPr>
          <w:p w14:paraId="3CF704AF" w14:textId="77777777" w:rsidR="00717A44" w:rsidRPr="00013DED" w:rsidRDefault="00717A44" w:rsidP="001C0097">
            <w:pPr>
              <w:jc w:val="center"/>
              <w:rPr>
                <w:rFonts w:ascii="Times" w:hAnsi="Times"/>
                <w:sz w:val="20"/>
                <w:szCs w:val="20"/>
              </w:rPr>
            </w:pPr>
          </w:p>
        </w:tc>
        <w:tc>
          <w:tcPr>
            <w:tcW w:w="1135" w:type="dxa"/>
            <w:gridSpan w:val="2"/>
            <w:tcBorders>
              <w:top w:val="single" w:sz="4" w:space="0" w:color="auto"/>
              <w:left w:val="nil"/>
              <w:bottom w:val="nil"/>
              <w:right w:val="nil"/>
            </w:tcBorders>
            <w:shd w:val="clear" w:color="auto" w:fill="auto"/>
            <w:vAlign w:val="center"/>
          </w:tcPr>
          <w:p w14:paraId="6B7B79D9" w14:textId="77777777" w:rsidR="00717A44" w:rsidRPr="00013DED" w:rsidRDefault="00717A44" w:rsidP="001C0097">
            <w:pPr>
              <w:jc w:val="center"/>
              <w:rPr>
                <w:rFonts w:ascii="Times" w:hAnsi="Times"/>
                <w:sz w:val="20"/>
                <w:szCs w:val="20"/>
              </w:rPr>
            </w:pPr>
            <w:r w:rsidRPr="00013DED">
              <w:rPr>
                <w:rFonts w:ascii="Times" w:hAnsi="Times"/>
                <w:sz w:val="20"/>
                <w:szCs w:val="20"/>
              </w:rPr>
              <w:t>Membrane</w:t>
            </w:r>
          </w:p>
        </w:tc>
        <w:tc>
          <w:tcPr>
            <w:tcW w:w="236" w:type="dxa"/>
            <w:gridSpan w:val="2"/>
            <w:tcBorders>
              <w:left w:val="nil"/>
              <w:bottom w:val="nil"/>
              <w:right w:val="nil"/>
            </w:tcBorders>
          </w:tcPr>
          <w:p w14:paraId="7AFE7696" w14:textId="77777777" w:rsidR="00717A44" w:rsidRPr="00013DED" w:rsidRDefault="00717A44" w:rsidP="001C0097">
            <w:pPr>
              <w:jc w:val="center"/>
              <w:rPr>
                <w:rFonts w:ascii="Times" w:hAnsi="Times"/>
                <w:sz w:val="20"/>
                <w:szCs w:val="20"/>
              </w:rPr>
            </w:pPr>
          </w:p>
        </w:tc>
        <w:tc>
          <w:tcPr>
            <w:tcW w:w="1399" w:type="dxa"/>
            <w:gridSpan w:val="3"/>
            <w:tcBorders>
              <w:top w:val="single" w:sz="4" w:space="0" w:color="auto"/>
              <w:left w:val="nil"/>
              <w:bottom w:val="nil"/>
              <w:right w:val="nil"/>
            </w:tcBorders>
            <w:shd w:val="clear" w:color="auto" w:fill="auto"/>
            <w:vAlign w:val="center"/>
          </w:tcPr>
          <w:p w14:paraId="0F1842F8" w14:textId="77777777" w:rsidR="00717A44" w:rsidRPr="00013DED" w:rsidRDefault="00717A44" w:rsidP="001C0097">
            <w:pPr>
              <w:jc w:val="center"/>
              <w:rPr>
                <w:rFonts w:ascii="Times" w:hAnsi="Times"/>
                <w:sz w:val="20"/>
                <w:szCs w:val="20"/>
              </w:rPr>
            </w:pPr>
            <w:r w:rsidRPr="00013DED">
              <w:rPr>
                <w:rFonts w:ascii="Times" w:hAnsi="Times"/>
                <w:sz w:val="20"/>
                <w:szCs w:val="20"/>
              </w:rPr>
              <w:t>Cell Voltage (V)</w:t>
            </w:r>
          </w:p>
        </w:tc>
        <w:tc>
          <w:tcPr>
            <w:tcW w:w="1081" w:type="dxa"/>
            <w:tcBorders>
              <w:top w:val="single" w:sz="4" w:space="0" w:color="auto"/>
              <w:left w:val="nil"/>
              <w:bottom w:val="nil"/>
              <w:right w:val="nil"/>
            </w:tcBorders>
            <w:shd w:val="clear" w:color="auto" w:fill="auto"/>
            <w:vAlign w:val="center"/>
          </w:tcPr>
          <w:p w14:paraId="30CDDBEB" w14:textId="5FAFF021" w:rsidR="00717A44" w:rsidRPr="00013DED" w:rsidRDefault="00717A44" w:rsidP="001C0097">
            <w:pPr>
              <w:jc w:val="center"/>
              <w:rPr>
                <w:rFonts w:ascii="Times" w:hAnsi="Times"/>
                <w:sz w:val="20"/>
                <w:szCs w:val="20"/>
              </w:rPr>
            </w:pPr>
            <w:r w:rsidRPr="00013DED">
              <w:rPr>
                <w:rFonts w:ascii="Times" w:hAnsi="Times"/>
                <w:sz w:val="20"/>
                <w:szCs w:val="20"/>
              </w:rPr>
              <w:t>Current Density (A.cm</w:t>
            </w:r>
            <w:r w:rsidRPr="00013DED">
              <w:rPr>
                <w:rFonts w:ascii="Times" w:hAnsi="Times"/>
                <w:sz w:val="20"/>
                <w:szCs w:val="20"/>
                <w:vertAlign w:val="superscript"/>
              </w:rPr>
              <w:t>-2</w:t>
            </w:r>
            <w:r w:rsidRPr="00013DED">
              <w:rPr>
                <w:rFonts w:ascii="Times" w:hAnsi="Times"/>
                <w:sz w:val="20"/>
                <w:szCs w:val="20"/>
              </w:rPr>
              <w:t>)</w:t>
            </w:r>
          </w:p>
        </w:tc>
        <w:tc>
          <w:tcPr>
            <w:tcW w:w="559" w:type="dxa"/>
            <w:tcBorders>
              <w:top w:val="single" w:sz="4" w:space="0" w:color="auto"/>
              <w:left w:val="nil"/>
              <w:bottom w:val="nil"/>
              <w:right w:val="nil"/>
            </w:tcBorders>
            <w:shd w:val="clear" w:color="auto" w:fill="auto"/>
            <w:vAlign w:val="center"/>
          </w:tcPr>
          <w:p w14:paraId="647A8635" w14:textId="77777777" w:rsidR="00717A44" w:rsidRPr="00013DED" w:rsidRDefault="00717A44" w:rsidP="001C0097">
            <w:pPr>
              <w:jc w:val="center"/>
              <w:rPr>
                <w:rFonts w:ascii="Times" w:hAnsi="Times"/>
                <w:sz w:val="20"/>
                <w:szCs w:val="20"/>
              </w:rPr>
            </w:pPr>
            <w:r w:rsidRPr="00013DED">
              <w:rPr>
                <w:rFonts w:ascii="Times" w:hAnsi="Times"/>
                <w:sz w:val="20"/>
                <w:szCs w:val="20"/>
              </w:rPr>
              <w:t>T (</w:t>
            </w:r>
            <w:proofErr w:type="spellStart"/>
            <w:r w:rsidRPr="00013DED">
              <w:rPr>
                <w:rFonts w:ascii="Times" w:hAnsi="Times"/>
                <w:sz w:val="20"/>
                <w:szCs w:val="20"/>
                <w:vertAlign w:val="superscript"/>
              </w:rPr>
              <w:t>o</w:t>
            </w:r>
            <w:r w:rsidRPr="00013DED">
              <w:rPr>
                <w:rFonts w:ascii="Times" w:hAnsi="Times"/>
                <w:sz w:val="20"/>
                <w:szCs w:val="20"/>
              </w:rPr>
              <w:t>C</w:t>
            </w:r>
            <w:proofErr w:type="spellEnd"/>
            <w:r w:rsidRPr="00013DED">
              <w:rPr>
                <w:rFonts w:ascii="Times" w:hAnsi="Times"/>
                <w:sz w:val="20"/>
                <w:szCs w:val="20"/>
              </w:rPr>
              <w:t>)</w:t>
            </w:r>
          </w:p>
        </w:tc>
        <w:tc>
          <w:tcPr>
            <w:tcW w:w="1134" w:type="dxa"/>
            <w:tcBorders>
              <w:top w:val="single" w:sz="4" w:space="0" w:color="auto"/>
              <w:left w:val="nil"/>
              <w:bottom w:val="nil"/>
              <w:right w:val="nil"/>
            </w:tcBorders>
            <w:vAlign w:val="center"/>
          </w:tcPr>
          <w:p w14:paraId="4B7B962A" w14:textId="77777777" w:rsidR="00717A44" w:rsidRPr="00013DED" w:rsidRDefault="00717A44" w:rsidP="001C0097">
            <w:pPr>
              <w:jc w:val="center"/>
              <w:rPr>
                <w:rFonts w:ascii="Times" w:hAnsi="Times"/>
                <w:sz w:val="20"/>
                <w:szCs w:val="20"/>
              </w:rPr>
            </w:pPr>
            <w:r w:rsidRPr="00013DED">
              <w:rPr>
                <w:rFonts w:ascii="Times" w:hAnsi="Times"/>
                <w:sz w:val="20"/>
                <w:szCs w:val="20"/>
              </w:rPr>
              <w:t>Stability (h)</w:t>
            </w:r>
          </w:p>
        </w:tc>
        <w:tc>
          <w:tcPr>
            <w:tcW w:w="1083" w:type="dxa"/>
            <w:tcBorders>
              <w:top w:val="single" w:sz="4" w:space="0" w:color="auto"/>
              <w:left w:val="nil"/>
              <w:bottom w:val="nil"/>
              <w:right w:val="nil"/>
            </w:tcBorders>
            <w:shd w:val="clear" w:color="auto" w:fill="auto"/>
            <w:vAlign w:val="center"/>
          </w:tcPr>
          <w:p w14:paraId="5F3CAD36" w14:textId="77777777" w:rsidR="00717A44" w:rsidRPr="00013DED" w:rsidRDefault="00717A44" w:rsidP="001C0097">
            <w:pPr>
              <w:jc w:val="center"/>
              <w:rPr>
                <w:rFonts w:ascii="Times" w:hAnsi="Times"/>
                <w:sz w:val="20"/>
                <w:szCs w:val="20"/>
              </w:rPr>
            </w:pPr>
            <w:r w:rsidRPr="00013DED">
              <w:rPr>
                <w:rFonts w:ascii="Times" w:hAnsi="Times"/>
                <w:sz w:val="20"/>
                <w:szCs w:val="20"/>
              </w:rPr>
              <w:t>Electrolyte</w:t>
            </w:r>
          </w:p>
        </w:tc>
        <w:tc>
          <w:tcPr>
            <w:tcW w:w="1165" w:type="dxa"/>
            <w:tcBorders>
              <w:left w:val="nil"/>
              <w:bottom w:val="nil"/>
              <w:right w:val="nil"/>
            </w:tcBorders>
            <w:shd w:val="clear" w:color="auto" w:fill="auto"/>
            <w:vAlign w:val="center"/>
          </w:tcPr>
          <w:p w14:paraId="35CDD64C" w14:textId="77777777" w:rsidR="00717A44" w:rsidRPr="00013DED" w:rsidRDefault="00717A44" w:rsidP="001C0097">
            <w:pPr>
              <w:jc w:val="center"/>
              <w:rPr>
                <w:rFonts w:ascii="Times" w:hAnsi="Times"/>
                <w:sz w:val="20"/>
                <w:szCs w:val="20"/>
              </w:rPr>
            </w:pPr>
          </w:p>
        </w:tc>
      </w:tr>
      <w:tr w:rsidR="00717A44" w:rsidRPr="00013DED" w14:paraId="3A6BBB49" w14:textId="77777777" w:rsidTr="00013DED">
        <w:trPr>
          <w:gridAfter w:val="1"/>
          <w:wAfter w:w="11" w:type="dxa"/>
          <w:trHeight w:val="631"/>
        </w:trPr>
        <w:tc>
          <w:tcPr>
            <w:tcW w:w="1149" w:type="dxa"/>
            <w:tcBorders>
              <w:top w:val="nil"/>
              <w:left w:val="nil"/>
              <w:bottom w:val="nil"/>
              <w:right w:val="nil"/>
            </w:tcBorders>
            <w:shd w:val="clear" w:color="auto" w:fill="auto"/>
            <w:vAlign w:val="center"/>
          </w:tcPr>
          <w:p w14:paraId="68A13E76" w14:textId="77777777" w:rsidR="00717A44" w:rsidRPr="00013DED" w:rsidRDefault="00717A44" w:rsidP="001C0097">
            <w:pPr>
              <w:jc w:val="center"/>
              <w:rPr>
                <w:rFonts w:ascii="Times" w:hAnsi="Times"/>
                <w:b/>
                <w:bCs/>
                <w:sz w:val="20"/>
                <w:szCs w:val="20"/>
              </w:rPr>
            </w:pPr>
            <w:r w:rsidRPr="00013DED">
              <w:rPr>
                <w:rFonts w:ascii="Times" w:hAnsi="Times"/>
                <w:b/>
                <w:bCs/>
                <w:sz w:val="20"/>
                <w:szCs w:val="20"/>
              </w:rPr>
              <w:t>(NiCo)</w:t>
            </w:r>
            <w:r w:rsidRPr="00013DED">
              <w:rPr>
                <w:rFonts w:ascii="Times" w:hAnsi="Times"/>
                <w:b/>
                <w:bCs/>
                <w:sz w:val="20"/>
                <w:szCs w:val="20"/>
                <w:vertAlign w:val="subscript"/>
              </w:rPr>
              <w:t>3</w:t>
            </w:r>
            <w:r w:rsidRPr="00013DED">
              <w:rPr>
                <w:rFonts w:ascii="Times" w:hAnsi="Times"/>
                <w:b/>
                <w:bCs/>
                <w:sz w:val="20"/>
                <w:szCs w:val="20"/>
              </w:rPr>
              <w:t>Se</w:t>
            </w:r>
            <w:r w:rsidRPr="00013DED">
              <w:rPr>
                <w:rFonts w:ascii="Times" w:hAnsi="Times"/>
                <w:b/>
                <w:bCs/>
                <w:sz w:val="20"/>
                <w:szCs w:val="20"/>
                <w:vertAlign w:val="subscript"/>
              </w:rPr>
              <w:t>4</w:t>
            </w:r>
          </w:p>
        </w:tc>
        <w:tc>
          <w:tcPr>
            <w:tcW w:w="795" w:type="dxa"/>
            <w:tcBorders>
              <w:top w:val="nil"/>
              <w:left w:val="nil"/>
              <w:bottom w:val="nil"/>
              <w:right w:val="nil"/>
            </w:tcBorders>
            <w:shd w:val="clear" w:color="auto" w:fill="auto"/>
            <w:vAlign w:val="center"/>
          </w:tcPr>
          <w:p w14:paraId="0CE617ED" w14:textId="2F72E851" w:rsidR="00717A44" w:rsidRPr="00013DED" w:rsidRDefault="00717A44" w:rsidP="001C0097">
            <w:pPr>
              <w:jc w:val="center"/>
              <w:rPr>
                <w:rFonts w:ascii="Times" w:hAnsi="Times"/>
                <w:b/>
                <w:bCs/>
                <w:sz w:val="20"/>
                <w:szCs w:val="20"/>
              </w:rPr>
            </w:pPr>
            <w:r w:rsidRPr="00013DED">
              <w:rPr>
                <w:rFonts w:ascii="Times" w:hAnsi="Times"/>
                <w:b/>
                <w:bCs/>
                <w:sz w:val="20"/>
                <w:szCs w:val="20"/>
              </w:rPr>
              <w:t>NF</w:t>
            </w:r>
          </w:p>
        </w:tc>
        <w:tc>
          <w:tcPr>
            <w:tcW w:w="1150" w:type="dxa"/>
            <w:tcBorders>
              <w:top w:val="nil"/>
              <w:left w:val="nil"/>
              <w:bottom w:val="nil"/>
              <w:right w:val="nil"/>
            </w:tcBorders>
            <w:shd w:val="clear" w:color="auto" w:fill="auto"/>
            <w:vAlign w:val="center"/>
          </w:tcPr>
          <w:p w14:paraId="72309784" w14:textId="77777777" w:rsidR="00717A44" w:rsidRPr="00013DED" w:rsidRDefault="00717A44" w:rsidP="001C0097">
            <w:pPr>
              <w:jc w:val="center"/>
              <w:rPr>
                <w:rFonts w:ascii="Times" w:hAnsi="Times"/>
                <w:b/>
                <w:bCs/>
                <w:sz w:val="20"/>
                <w:szCs w:val="20"/>
              </w:rPr>
            </w:pPr>
            <w:r w:rsidRPr="00013DED">
              <w:rPr>
                <w:rFonts w:ascii="Times" w:hAnsi="Times"/>
                <w:b/>
                <w:bCs/>
                <w:sz w:val="20"/>
                <w:szCs w:val="20"/>
              </w:rPr>
              <w:t>2</w:t>
            </w:r>
          </w:p>
        </w:tc>
        <w:tc>
          <w:tcPr>
            <w:tcW w:w="237" w:type="dxa"/>
            <w:gridSpan w:val="2"/>
            <w:tcBorders>
              <w:top w:val="nil"/>
              <w:left w:val="nil"/>
              <w:bottom w:val="nil"/>
              <w:right w:val="nil"/>
            </w:tcBorders>
          </w:tcPr>
          <w:p w14:paraId="4D319A8A" w14:textId="77777777" w:rsidR="00717A44" w:rsidRPr="00013DED" w:rsidRDefault="00717A44" w:rsidP="001C0097">
            <w:pPr>
              <w:jc w:val="center"/>
              <w:rPr>
                <w:rFonts w:ascii="Times" w:hAnsi="Times"/>
                <w:b/>
                <w:bCs/>
                <w:sz w:val="20"/>
                <w:szCs w:val="20"/>
              </w:rPr>
            </w:pPr>
          </w:p>
        </w:tc>
        <w:tc>
          <w:tcPr>
            <w:tcW w:w="1066" w:type="dxa"/>
            <w:gridSpan w:val="2"/>
            <w:tcBorders>
              <w:top w:val="nil"/>
              <w:left w:val="nil"/>
              <w:bottom w:val="nil"/>
              <w:right w:val="nil"/>
            </w:tcBorders>
            <w:shd w:val="clear" w:color="auto" w:fill="auto"/>
            <w:vAlign w:val="center"/>
          </w:tcPr>
          <w:p w14:paraId="03027614" w14:textId="77777777" w:rsidR="00717A44" w:rsidRPr="00013DED" w:rsidRDefault="00717A44" w:rsidP="001C0097">
            <w:pPr>
              <w:jc w:val="center"/>
              <w:rPr>
                <w:rFonts w:ascii="Times" w:hAnsi="Times"/>
                <w:b/>
                <w:bCs/>
                <w:sz w:val="20"/>
                <w:szCs w:val="20"/>
              </w:rPr>
            </w:pPr>
            <w:r w:rsidRPr="00013DED">
              <w:rPr>
                <w:rFonts w:ascii="Times" w:hAnsi="Times"/>
                <w:b/>
                <w:bCs/>
                <w:sz w:val="20"/>
                <w:szCs w:val="20"/>
              </w:rPr>
              <w:t>Pt/C</w:t>
            </w:r>
          </w:p>
        </w:tc>
        <w:tc>
          <w:tcPr>
            <w:tcW w:w="1049" w:type="dxa"/>
            <w:tcBorders>
              <w:top w:val="nil"/>
              <w:left w:val="nil"/>
              <w:bottom w:val="nil"/>
              <w:right w:val="nil"/>
            </w:tcBorders>
            <w:shd w:val="clear" w:color="auto" w:fill="auto"/>
            <w:vAlign w:val="center"/>
          </w:tcPr>
          <w:p w14:paraId="10789DDB" w14:textId="6E9CEE2A" w:rsidR="00717A44" w:rsidRPr="00013DED" w:rsidRDefault="00717A44" w:rsidP="001C0097">
            <w:pPr>
              <w:jc w:val="center"/>
              <w:rPr>
                <w:rFonts w:ascii="Times" w:hAnsi="Times"/>
                <w:b/>
                <w:bCs/>
                <w:sz w:val="20"/>
                <w:szCs w:val="20"/>
              </w:rPr>
            </w:pPr>
            <w:r w:rsidRPr="00013DED">
              <w:rPr>
                <w:rFonts w:ascii="Times" w:hAnsi="Times"/>
                <w:b/>
                <w:bCs/>
                <w:sz w:val="20"/>
                <w:szCs w:val="20"/>
              </w:rPr>
              <w:t>CP</w:t>
            </w:r>
          </w:p>
        </w:tc>
        <w:tc>
          <w:tcPr>
            <w:tcW w:w="1058" w:type="dxa"/>
            <w:tcBorders>
              <w:top w:val="nil"/>
              <w:left w:val="nil"/>
              <w:bottom w:val="nil"/>
              <w:right w:val="nil"/>
            </w:tcBorders>
            <w:shd w:val="clear" w:color="auto" w:fill="auto"/>
            <w:vAlign w:val="center"/>
          </w:tcPr>
          <w:p w14:paraId="7E4CA410" w14:textId="77777777" w:rsidR="00717A44" w:rsidRPr="00013DED" w:rsidRDefault="00717A44" w:rsidP="001C0097">
            <w:pPr>
              <w:jc w:val="center"/>
              <w:rPr>
                <w:rFonts w:ascii="Times" w:hAnsi="Times"/>
                <w:b/>
                <w:bCs/>
                <w:sz w:val="20"/>
                <w:szCs w:val="20"/>
              </w:rPr>
            </w:pPr>
            <w:r w:rsidRPr="00013DED">
              <w:rPr>
                <w:rFonts w:ascii="Times" w:hAnsi="Times"/>
                <w:b/>
                <w:bCs/>
                <w:sz w:val="20"/>
                <w:szCs w:val="20"/>
              </w:rPr>
              <w:t>1</w:t>
            </w:r>
          </w:p>
        </w:tc>
        <w:tc>
          <w:tcPr>
            <w:tcW w:w="237" w:type="dxa"/>
            <w:gridSpan w:val="2"/>
            <w:tcBorders>
              <w:top w:val="nil"/>
              <w:left w:val="nil"/>
              <w:bottom w:val="nil"/>
              <w:right w:val="nil"/>
            </w:tcBorders>
          </w:tcPr>
          <w:p w14:paraId="5D3EF1EC" w14:textId="77777777" w:rsidR="00717A44" w:rsidRPr="00013DED" w:rsidRDefault="00717A44" w:rsidP="001C0097">
            <w:pPr>
              <w:jc w:val="center"/>
              <w:rPr>
                <w:rFonts w:ascii="Times" w:hAnsi="Times"/>
                <w:b/>
                <w:bCs/>
                <w:sz w:val="20"/>
                <w:szCs w:val="20"/>
              </w:rPr>
            </w:pPr>
          </w:p>
        </w:tc>
        <w:tc>
          <w:tcPr>
            <w:tcW w:w="1135" w:type="dxa"/>
            <w:gridSpan w:val="2"/>
            <w:tcBorders>
              <w:top w:val="nil"/>
              <w:left w:val="nil"/>
              <w:bottom w:val="nil"/>
              <w:right w:val="nil"/>
            </w:tcBorders>
            <w:shd w:val="clear" w:color="auto" w:fill="auto"/>
            <w:vAlign w:val="center"/>
          </w:tcPr>
          <w:p w14:paraId="52D3CB2B" w14:textId="77777777" w:rsidR="00717A44" w:rsidRPr="00013DED" w:rsidRDefault="00717A44" w:rsidP="001C0097">
            <w:pPr>
              <w:jc w:val="center"/>
              <w:rPr>
                <w:rFonts w:ascii="Times" w:hAnsi="Times"/>
                <w:b/>
                <w:bCs/>
                <w:sz w:val="20"/>
                <w:szCs w:val="20"/>
              </w:rPr>
            </w:pPr>
            <w:proofErr w:type="spellStart"/>
            <w:r w:rsidRPr="004955AE">
              <w:rPr>
                <w:rFonts w:ascii="Times" w:hAnsi="Times"/>
                <w:b/>
                <w:bCs/>
                <w:sz w:val="20"/>
                <w:szCs w:val="20"/>
              </w:rPr>
              <w:t>Sustainion</w:t>
            </w:r>
            <w:proofErr w:type="spellEnd"/>
          </w:p>
        </w:tc>
        <w:tc>
          <w:tcPr>
            <w:tcW w:w="236" w:type="dxa"/>
            <w:gridSpan w:val="2"/>
            <w:tcBorders>
              <w:top w:val="nil"/>
              <w:left w:val="nil"/>
              <w:bottom w:val="nil"/>
              <w:right w:val="nil"/>
            </w:tcBorders>
          </w:tcPr>
          <w:p w14:paraId="222601B2" w14:textId="77777777" w:rsidR="00717A44" w:rsidRPr="00013DED" w:rsidRDefault="00717A44" w:rsidP="001C0097">
            <w:pPr>
              <w:jc w:val="center"/>
              <w:rPr>
                <w:rFonts w:ascii="Times" w:hAnsi="Times"/>
                <w:b/>
                <w:bCs/>
                <w:sz w:val="20"/>
                <w:szCs w:val="20"/>
              </w:rPr>
            </w:pPr>
          </w:p>
        </w:tc>
        <w:tc>
          <w:tcPr>
            <w:tcW w:w="1399" w:type="dxa"/>
            <w:gridSpan w:val="3"/>
            <w:tcBorders>
              <w:top w:val="nil"/>
              <w:left w:val="nil"/>
              <w:bottom w:val="nil"/>
              <w:right w:val="nil"/>
            </w:tcBorders>
            <w:shd w:val="clear" w:color="auto" w:fill="auto"/>
            <w:vAlign w:val="center"/>
          </w:tcPr>
          <w:p w14:paraId="271BD1AC" w14:textId="77777777" w:rsidR="00717A44" w:rsidRPr="00013DED" w:rsidRDefault="00717A44" w:rsidP="001C0097">
            <w:pPr>
              <w:jc w:val="center"/>
              <w:rPr>
                <w:rFonts w:ascii="Times" w:hAnsi="Times"/>
                <w:b/>
                <w:bCs/>
                <w:sz w:val="20"/>
                <w:szCs w:val="20"/>
              </w:rPr>
            </w:pPr>
            <w:r w:rsidRPr="00013DED">
              <w:rPr>
                <w:rFonts w:ascii="Times" w:hAnsi="Times"/>
                <w:b/>
                <w:bCs/>
                <w:sz w:val="20"/>
                <w:szCs w:val="20"/>
              </w:rPr>
              <w:t>2</w:t>
            </w:r>
          </w:p>
        </w:tc>
        <w:tc>
          <w:tcPr>
            <w:tcW w:w="1081" w:type="dxa"/>
            <w:tcBorders>
              <w:top w:val="nil"/>
              <w:left w:val="nil"/>
              <w:bottom w:val="nil"/>
              <w:right w:val="nil"/>
            </w:tcBorders>
            <w:shd w:val="clear" w:color="auto" w:fill="auto"/>
            <w:vAlign w:val="center"/>
          </w:tcPr>
          <w:p w14:paraId="71477C50" w14:textId="403B4DD5" w:rsidR="00717A44" w:rsidRPr="00013DED" w:rsidRDefault="00717A44" w:rsidP="001C0097">
            <w:pPr>
              <w:jc w:val="center"/>
              <w:rPr>
                <w:rFonts w:ascii="Times" w:hAnsi="Times"/>
                <w:b/>
                <w:bCs/>
                <w:sz w:val="20"/>
                <w:szCs w:val="20"/>
              </w:rPr>
            </w:pPr>
            <w:r w:rsidRPr="00013DED">
              <w:rPr>
                <w:rFonts w:ascii="Times" w:hAnsi="Times"/>
                <w:b/>
                <w:bCs/>
                <w:sz w:val="20"/>
                <w:szCs w:val="20"/>
              </w:rPr>
              <w:t>2</w:t>
            </w:r>
          </w:p>
        </w:tc>
        <w:tc>
          <w:tcPr>
            <w:tcW w:w="559" w:type="dxa"/>
            <w:tcBorders>
              <w:top w:val="nil"/>
              <w:left w:val="nil"/>
              <w:bottom w:val="nil"/>
              <w:right w:val="nil"/>
            </w:tcBorders>
            <w:shd w:val="clear" w:color="auto" w:fill="auto"/>
            <w:vAlign w:val="center"/>
          </w:tcPr>
          <w:p w14:paraId="5E78F82E" w14:textId="77777777" w:rsidR="00717A44" w:rsidRPr="00013DED" w:rsidRDefault="00717A44" w:rsidP="001C0097">
            <w:pPr>
              <w:jc w:val="center"/>
              <w:rPr>
                <w:rFonts w:ascii="Times" w:hAnsi="Times"/>
                <w:b/>
                <w:bCs/>
                <w:sz w:val="20"/>
                <w:szCs w:val="20"/>
              </w:rPr>
            </w:pPr>
            <w:r w:rsidRPr="00013DED">
              <w:rPr>
                <w:rFonts w:ascii="Times" w:hAnsi="Times"/>
                <w:b/>
                <w:bCs/>
                <w:sz w:val="20"/>
                <w:szCs w:val="20"/>
              </w:rPr>
              <w:t>60</w:t>
            </w:r>
          </w:p>
        </w:tc>
        <w:tc>
          <w:tcPr>
            <w:tcW w:w="1134" w:type="dxa"/>
            <w:tcBorders>
              <w:top w:val="nil"/>
              <w:left w:val="nil"/>
              <w:bottom w:val="nil"/>
              <w:right w:val="nil"/>
            </w:tcBorders>
            <w:vAlign w:val="center"/>
          </w:tcPr>
          <w:p w14:paraId="61D5E4EF" w14:textId="77777777" w:rsidR="00717A44" w:rsidRPr="00013DED" w:rsidRDefault="00717A44" w:rsidP="001C0097">
            <w:pPr>
              <w:jc w:val="center"/>
              <w:rPr>
                <w:rFonts w:ascii="Times" w:hAnsi="Times"/>
                <w:b/>
                <w:bCs/>
                <w:sz w:val="20"/>
                <w:szCs w:val="20"/>
              </w:rPr>
            </w:pPr>
            <w:r w:rsidRPr="00013DED">
              <w:rPr>
                <w:rFonts w:ascii="Times" w:hAnsi="Times"/>
                <w:b/>
                <w:bCs/>
                <w:sz w:val="20"/>
                <w:szCs w:val="20"/>
              </w:rPr>
              <w:t>50 @1A.cm</w:t>
            </w:r>
            <w:r w:rsidRPr="00013DED">
              <w:rPr>
                <w:rFonts w:ascii="Times" w:hAnsi="Times"/>
                <w:b/>
                <w:bCs/>
                <w:sz w:val="20"/>
                <w:szCs w:val="20"/>
                <w:vertAlign w:val="superscript"/>
              </w:rPr>
              <w:t>-2</w:t>
            </w:r>
          </w:p>
        </w:tc>
        <w:tc>
          <w:tcPr>
            <w:tcW w:w="1083" w:type="dxa"/>
            <w:tcBorders>
              <w:top w:val="nil"/>
              <w:left w:val="nil"/>
              <w:bottom w:val="nil"/>
              <w:right w:val="nil"/>
            </w:tcBorders>
            <w:shd w:val="clear" w:color="auto" w:fill="auto"/>
            <w:vAlign w:val="center"/>
          </w:tcPr>
          <w:p w14:paraId="65BC9810" w14:textId="77777777" w:rsidR="00717A44" w:rsidRPr="00013DED" w:rsidRDefault="00717A44" w:rsidP="001C0097">
            <w:pPr>
              <w:jc w:val="center"/>
              <w:rPr>
                <w:rFonts w:ascii="Times" w:hAnsi="Times"/>
                <w:b/>
                <w:bCs/>
                <w:sz w:val="20"/>
                <w:szCs w:val="20"/>
              </w:rPr>
            </w:pPr>
            <w:r w:rsidRPr="00013DED">
              <w:rPr>
                <w:rFonts w:ascii="Times" w:hAnsi="Times"/>
                <w:b/>
                <w:bCs/>
                <w:sz w:val="20"/>
                <w:szCs w:val="20"/>
              </w:rPr>
              <w:t>1 M KOH</w:t>
            </w:r>
          </w:p>
        </w:tc>
        <w:tc>
          <w:tcPr>
            <w:tcW w:w="1165" w:type="dxa"/>
            <w:tcBorders>
              <w:top w:val="nil"/>
              <w:left w:val="nil"/>
              <w:bottom w:val="nil"/>
              <w:right w:val="nil"/>
            </w:tcBorders>
            <w:shd w:val="clear" w:color="auto" w:fill="auto"/>
            <w:vAlign w:val="center"/>
          </w:tcPr>
          <w:p w14:paraId="0F228597" w14:textId="77777777" w:rsidR="00717A44" w:rsidRPr="00013DED" w:rsidRDefault="00717A44" w:rsidP="001C0097">
            <w:pPr>
              <w:jc w:val="center"/>
              <w:rPr>
                <w:rFonts w:ascii="Times" w:hAnsi="Times"/>
                <w:b/>
                <w:bCs/>
                <w:sz w:val="20"/>
                <w:szCs w:val="20"/>
              </w:rPr>
            </w:pPr>
            <w:r w:rsidRPr="00013DED">
              <w:rPr>
                <w:rFonts w:ascii="Times" w:hAnsi="Times"/>
                <w:b/>
                <w:bCs/>
                <w:sz w:val="20"/>
                <w:szCs w:val="20"/>
              </w:rPr>
              <w:t>This work</w:t>
            </w:r>
          </w:p>
        </w:tc>
      </w:tr>
      <w:tr w:rsidR="00717A44" w:rsidRPr="00013DED" w14:paraId="15B8A2B7" w14:textId="77777777" w:rsidTr="00013DED">
        <w:trPr>
          <w:gridAfter w:val="1"/>
          <w:wAfter w:w="11" w:type="dxa"/>
          <w:trHeight w:val="631"/>
        </w:trPr>
        <w:tc>
          <w:tcPr>
            <w:tcW w:w="1149" w:type="dxa"/>
            <w:tcBorders>
              <w:top w:val="nil"/>
              <w:left w:val="nil"/>
              <w:bottom w:val="nil"/>
              <w:right w:val="nil"/>
            </w:tcBorders>
            <w:shd w:val="clear" w:color="auto" w:fill="auto"/>
            <w:vAlign w:val="center"/>
          </w:tcPr>
          <w:p w14:paraId="51FCB9A8" w14:textId="77777777" w:rsidR="00717A44" w:rsidRPr="00013DED" w:rsidRDefault="00717A44" w:rsidP="001C0097">
            <w:pPr>
              <w:jc w:val="center"/>
              <w:rPr>
                <w:rFonts w:ascii="Times" w:hAnsi="Times"/>
                <w:b/>
                <w:bCs/>
                <w:sz w:val="20"/>
                <w:szCs w:val="20"/>
              </w:rPr>
            </w:pPr>
            <w:r w:rsidRPr="00013DED">
              <w:rPr>
                <w:rFonts w:ascii="Times" w:hAnsi="Times"/>
                <w:b/>
                <w:bCs/>
                <w:sz w:val="20"/>
                <w:szCs w:val="20"/>
              </w:rPr>
              <w:t>IrO</w:t>
            </w:r>
            <w:r w:rsidRPr="00013DED">
              <w:rPr>
                <w:rFonts w:ascii="Times" w:hAnsi="Times"/>
                <w:b/>
                <w:bCs/>
                <w:sz w:val="20"/>
                <w:szCs w:val="20"/>
                <w:vertAlign w:val="subscript"/>
              </w:rPr>
              <w:t>2</w:t>
            </w:r>
          </w:p>
        </w:tc>
        <w:tc>
          <w:tcPr>
            <w:tcW w:w="795" w:type="dxa"/>
            <w:tcBorders>
              <w:top w:val="nil"/>
              <w:left w:val="nil"/>
              <w:bottom w:val="nil"/>
              <w:right w:val="nil"/>
            </w:tcBorders>
            <w:shd w:val="clear" w:color="auto" w:fill="auto"/>
            <w:vAlign w:val="center"/>
          </w:tcPr>
          <w:p w14:paraId="676B4F93" w14:textId="7EF949CA" w:rsidR="00717A44" w:rsidRPr="00013DED" w:rsidRDefault="00717A44" w:rsidP="001C0097">
            <w:pPr>
              <w:jc w:val="center"/>
              <w:rPr>
                <w:rFonts w:ascii="Times" w:hAnsi="Times"/>
                <w:b/>
                <w:bCs/>
                <w:sz w:val="20"/>
                <w:szCs w:val="20"/>
              </w:rPr>
            </w:pPr>
            <w:r w:rsidRPr="00013DED">
              <w:rPr>
                <w:rFonts w:ascii="Times" w:hAnsi="Times"/>
                <w:b/>
                <w:bCs/>
                <w:sz w:val="20"/>
                <w:szCs w:val="20"/>
              </w:rPr>
              <w:t>NF</w:t>
            </w:r>
          </w:p>
        </w:tc>
        <w:tc>
          <w:tcPr>
            <w:tcW w:w="1150" w:type="dxa"/>
            <w:tcBorders>
              <w:top w:val="nil"/>
              <w:left w:val="nil"/>
              <w:bottom w:val="nil"/>
              <w:right w:val="nil"/>
            </w:tcBorders>
            <w:shd w:val="clear" w:color="auto" w:fill="auto"/>
            <w:vAlign w:val="center"/>
          </w:tcPr>
          <w:p w14:paraId="1AD8A9AC" w14:textId="77777777" w:rsidR="00717A44" w:rsidRPr="00013DED" w:rsidRDefault="00717A44" w:rsidP="001C0097">
            <w:pPr>
              <w:jc w:val="center"/>
              <w:rPr>
                <w:rFonts w:ascii="Times" w:hAnsi="Times"/>
                <w:b/>
                <w:bCs/>
                <w:sz w:val="20"/>
                <w:szCs w:val="20"/>
              </w:rPr>
            </w:pPr>
            <w:r w:rsidRPr="00013DED">
              <w:rPr>
                <w:rFonts w:ascii="Times" w:hAnsi="Times"/>
                <w:b/>
                <w:bCs/>
                <w:sz w:val="20"/>
                <w:szCs w:val="20"/>
              </w:rPr>
              <w:t>2</w:t>
            </w:r>
          </w:p>
        </w:tc>
        <w:tc>
          <w:tcPr>
            <w:tcW w:w="237" w:type="dxa"/>
            <w:gridSpan w:val="2"/>
            <w:tcBorders>
              <w:top w:val="nil"/>
              <w:left w:val="nil"/>
              <w:bottom w:val="nil"/>
              <w:right w:val="nil"/>
            </w:tcBorders>
          </w:tcPr>
          <w:p w14:paraId="04F1FB36" w14:textId="77777777" w:rsidR="00717A44" w:rsidRPr="00013DED" w:rsidRDefault="00717A44" w:rsidP="001C0097">
            <w:pPr>
              <w:jc w:val="center"/>
              <w:rPr>
                <w:rFonts w:ascii="Times" w:hAnsi="Times"/>
                <w:b/>
                <w:bCs/>
                <w:sz w:val="20"/>
                <w:szCs w:val="20"/>
              </w:rPr>
            </w:pPr>
          </w:p>
        </w:tc>
        <w:tc>
          <w:tcPr>
            <w:tcW w:w="1066" w:type="dxa"/>
            <w:gridSpan w:val="2"/>
            <w:tcBorders>
              <w:top w:val="nil"/>
              <w:left w:val="nil"/>
              <w:bottom w:val="nil"/>
              <w:right w:val="nil"/>
            </w:tcBorders>
            <w:shd w:val="clear" w:color="auto" w:fill="auto"/>
            <w:vAlign w:val="center"/>
          </w:tcPr>
          <w:p w14:paraId="523F0448" w14:textId="77777777" w:rsidR="00717A44" w:rsidRPr="00013DED" w:rsidRDefault="00717A44" w:rsidP="001C0097">
            <w:pPr>
              <w:jc w:val="center"/>
              <w:rPr>
                <w:rFonts w:ascii="Times" w:hAnsi="Times"/>
                <w:b/>
                <w:bCs/>
                <w:sz w:val="20"/>
                <w:szCs w:val="20"/>
              </w:rPr>
            </w:pPr>
            <w:r w:rsidRPr="00013DED">
              <w:rPr>
                <w:rFonts w:ascii="Times" w:hAnsi="Times"/>
                <w:b/>
                <w:bCs/>
                <w:sz w:val="20"/>
                <w:szCs w:val="20"/>
              </w:rPr>
              <w:t>Pt/C</w:t>
            </w:r>
          </w:p>
        </w:tc>
        <w:tc>
          <w:tcPr>
            <w:tcW w:w="1049" w:type="dxa"/>
            <w:tcBorders>
              <w:top w:val="nil"/>
              <w:left w:val="nil"/>
              <w:bottom w:val="nil"/>
              <w:right w:val="nil"/>
            </w:tcBorders>
            <w:shd w:val="clear" w:color="auto" w:fill="auto"/>
            <w:vAlign w:val="center"/>
          </w:tcPr>
          <w:p w14:paraId="56942ACD" w14:textId="6752E980" w:rsidR="00717A44" w:rsidRPr="00013DED" w:rsidRDefault="00717A44" w:rsidP="001C0097">
            <w:pPr>
              <w:jc w:val="center"/>
              <w:rPr>
                <w:rFonts w:ascii="Times" w:hAnsi="Times"/>
                <w:b/>
                <w:bCs/>
                <w:sz w:val="20"/>
                <w:szCs w:val="20"/>
              </w:rPr>
            </w:pPr>
            <w:r w:rsidRPr="00013DED">
              <w:rPr>
                <w:rFonts w:ascii="Times" w:hAnsi="Times"/>
                <w:b/>
                <w:bCs/>
                <w:sz w:val="20"/>
                <w:szCs w:val="20"/>
              </w:rPr>
              <w:t>CP</w:t>
            </w:r>
          </w:p>
        </w:tc>
        <w:tc>
          <w:tcPr>
            <w:tcW w:w="1058" w:type="dxa"/>
            <w:tcBorders>
              <w:top w:val="nil"/>
              <w:left w:val="nil"/>
              <w:bottom w:val="nil"/>
              <w:right w:val="nil"/>
            </w:tcBorders>
            <w:shd w:val="clear" w:color="auto" w:fill="auto"/>
            <w:vAlign w:val="center"/>
          </w:tcPr>
          <w:p w14:paraId="0D3AE2DA" w14:textId="77777777" w:rsidR="00717A44" w:rsidRPr="00013DED" w:rsidRDefault="00717A44" w:rsidP="001C0097">
            <w:pPr>
              <w:jc w:val="center"/>
              <w:rPr>
                <w:rFonts w:ascii="Times" w:hAnsi="Times"/>
                <w:b/>
                <w:bCs/>
                <w:sz w:val="20"/>
                <w:szCs w:val="20"/>
              </w:rPr>
            </w:pPr>
            <w:r w:rsidRPr="00013DED">
              <w:rPr>
                <w:rFonts w:ascii="Times" w:hAnsi="Times"/>
                <w:b/>
                <w:bCs/>
                <w:sz w:val="20"/>
                <w:szCs w:val="20"/>
              </w:rPr>
              <w:t>1</w:t>
            </w:r>
          </w:p>
        </w:tc>
        <w:tc>
          <w:tcPr>
            <w:tcW w:w="237" w:type="dxa"/>
            <w:gridSpan w:val="2"/>
            <w:tcBorders>
              <w:top w:val="nil"/>
              <w:left w:val="nil"/>
              <w:bottom w:val="nil"/>
              <w:right w:val="nil"/>
            </w:tcBorders>
          </w:tcPr>
          <w:p w14:paraId="271D79A6" w14:textId="77777777" w:rsidR="00717A44" w:rsidRPr="00013DED" w:rsidRDefault="00717A44" w:rsidP="001C0097">
            <w:pPr>
              <w:jc w:val="center"/>
              <w:rPr>
                <w:rFonts w:ascii="Times" w:hAnsi="Times"/>
                <w:b/>
                <w:bCs/>
                <w:sz w:val="20"/>
                <w:szCs w:val="20"/>
              </w:rPr>
            </w:pPr>
          </w:p>
        </w:tc>
        <w:tc>
          <w:tcPr>
            <w:tcW w:w="1135" w:type="dxa"/>
            <w:gridSpan w:val="2"/>
            <w:tcBorders>
              <w:top w:val="nil"/>
              <w:left w:val="nil"/>
              <w:bottom w:val="nil"/>
              <w:right w:val="nil"/>
            </w:tcBorders>
            <w:shd w:val="clear" w:color="auto" w:fill="auto"/>
            <w:vAlign w:val="center"/>
          </w:tcPr>
          <w:p w14:paraId="30D08E7A" w14:textId="77777777" w:rsidR="00717A44" w:rsidRPr="00013DED" w:rsidRDefault="00717A44" w:rsidP="001C0097">
            <w:pPr>
              <w:jc w:val="center"/>
              <w:rPr>
                <w:rFonts w:ascii="Times" w:hAnsi="Times"/>
                <w:b/>
                <w:bCs/>
                <w:sz w:val="20"/>
                <w:szCs w:val="20"/>
              </w:rPr>
            </w:pPr>
            <w:proofErr w:type="spellStart"/>
            <w:r w:rsidRPr="004955AE">
              <w:rPr>
                <w:rFonts w:ascii="Times" w:hAnsi="Times"/>
                <w:b/>
                <w:bCs/>
                <w:sz w:val="20"/>
                <w:szCs w:val="20"/>
              </w:rPr>
              <w:t>Sustainion</w:t>
            </w:r>
            <w:proofErr w:type="spellEnd"/>
          </w:p>
        </w:tc>
        <w:tc>
          <w:tcPr>
            <w:tcW w:w="236" w:type="dxa"/>
            <w:gridSpan w:val="2"/>
            <w:tcBorders>
              <w:top w:val="nil"/>
              <w:left w:val="nil"/>
              <w:bottom w:val="nil"/>
              <w:right w:val="nil"/>
            </w:tcBorders>
          </w:tcPr>
          <w:p w14:paraId="4BF6A880" w14:textId="77777777" w:rsidR="00717A44" w:rsidRPr="00013DED" w:rsidRDefault="00717A44" w:rsidP="001C0097">
            <w:pPr>
              <w:jc w:val="center"/>
              <w:rPr>
                <w:rFonts w:ascii="Times" w:hAnsi="Times"/>
                <w:b/>
                <w:bCs/>
                <w:sz w:val="20"/>
                <w:szCs w:val="20"/>
              </w:rPr>
            </w:pPr>
          </w:p>
        </w:tc>
        <w:tc>
          <w:tcPr>
            <w:tcW w:w="1399" w:type="dxa"/>
            <w:gridSpan w:val="3"/>
            <w:tcBorders>
              <w:top w:val="nil"/>
              <w:left w:val="nil"/>
              <w:bottom w:val="nil"/>
              <w:right w:val="nil"/>
            </w:tcBorders>
            <w:shd w:val="clear" w:color="auto" w:fill="auto"/>
            <w:vAlign w:val="center"/>
          </w:tcPr>
          <w:p w14:paraId="50AB0998" w14:textId="77777777" w:rsidR="00717A44" w:rsidRPr="00013DED" w:rsidRDefault="00717A44" w:rsidP="001C0097">
            <w:pPr>
              <w:jc w:val="center"/>
              <w:rPr>
                <w:rFonts w:ascii="Times" w:hAnsi="Times"/>
                <w:b/>
                <w:bCs/>
                <w:sz w:val="20"/>
                <w:szCs w:val="20"/>
              </w:rPr>
            </w:pPr>
            <w:r w:rsidRPr="00013DED">
              <w:rPr>
                <w:rFonts w:ascii="Times" w:hAnsi="Times"/>
                <w:b/>
                <w:bCs/>
                <w:sz w:val="20"/>
                <w:szCs w:val="20"/>
              </w:rPr>
              <w:t>2</w:t>
            </w:r>
          </w:p>
        </w:tc>
        <w:tc>
          <w:tcPr>
            <w:tcW w:w="1081" w:type="dxa"/>
            <w:tcBorders>
              <w:top w:val="nil"/>
              <w:left w:val="nil"/>
              <w:bottom w:val="nil"/>
              <w:right w:val="nil"/>
            </w:tcBorders>
            <w:shd w:val="clear" w:color="auto" w:fill="auto"/>
            <w:vAlign w:val="center"/>
          </w:tcPr>
          <w:p w14:paraId="4C9BF6EB" w14:textId="14299ABE" w:rsidR="00717A44" w:rsidRPr="00013DED" w:rsidRDefault="00717A44" w:rsidP="001C0097">
            <w:pPr>
              <w:jc w:val="center"/>
              <w:rPr>
                <w:rFonts w:ascii="Times" w:hAnsi="Times"/>
                <w:b/>
                <w:bCs/>
                <w:sz w:val="20"/>
                <w:szCs w:val="20"/>
              </w:rPr>
            </w:pPr>
            <w:r w:rsidRPr="00013DED">
              <w:rPr>
                <w:rFonts w:ascii="Times" w:hAnsi="Times"/>
                <w:b/>
                <w:bCs/>
                <w:sz w:val="20"/>
                <w:szCs w:val="20"/>
              </w:rPr>
              <w:t>1</w:t>
            </w:r>
          </w:p>
        </w:tc>
        <w:tc>
          <w:tcPr>
            <w:tcW w:w="559" w:type="dxa"/>
            <w:tcBorders>
              <w:top w:val="nil"/>
              <w:left w:val="nil"/>
              <w:bottom w:val="nil"/>
              <w:right w:val="nil"/>
            </w:tcBorders>
            <w:shd w:val="clear" w:color="auto" w:fill="auto"/>
            <w:vAlign w:val="center"/>
          </w:tcPr>
          <w:p w14:paraId="165C6207" w14:textId="77777777" w:rsidR="00717A44" w:rsidRPr="00013DED" w:rsidRDefault="00717A44" w:rsidP="001C0097">
            <w:pPr>
              <w:jc w:val="center"/>
              <w:rPr>
                <w:rFonts w:ascii="Times" w:hAnsi="Times"/>
                <w:b/>
                <w:bCs/>
                <w:sz w:val="20"/>
                <w:szCs w:val="20"/>
              </w:rPr>
            </w:pPr>
            <w:r w:rsidRPr="00013DED">
              <w:rPr>
                <w:rFonts w:ascii="Times" w:hAnsi="Times"/>
                <w:b/>
                <w:bCs/>
                <w:sz w:val="20"/>
                <w:szCs w:val="20"/>
              </w:rPr>
              <w:t>25</w:t>
            </w:r>
          </w:p>
        </w:tc>
        <w:tc>
          <w:tcPr>
            <w:tcW w:w="1134" w:type="dxa"/>
            <w:tcBorders>
              <w:top w:val="nil"/>
              <w:left w:val="nil"/>
              <w:bottom w:val="nil"/>
              <w:right w:val="nil"/>
            </w:tcBorders>
            <w:vAlign w:val="center"/>
          </w:tcPr>
          <w:p w14:paraId="7129530C" w14:textId="77777777" w:rsidR="00717A44" w:rsidRPr="00013DED" w:rsidRDefault="00717A44" w:rsidP="001C0097">
            <w:pPr>
              <w:jc w:val="center"/>
              <w:rPr>
                <w:rFonts w:ascii="Times" w:hAnsi="Times"/>
                <w:b/>
                <w:bCs/>
                <w:sz w:val="20"/>
                <w:szCs w:val="20"/>
              </w:rPr>
            </w:pPr>
            <w:r w:rsidRPr="00013DED">
              <w:rPr>
                <w:rFonts w:ascii="Times" w:hAnsi="Times"/>
                <w:b/>
                <w:bCs/>
                <w:sz w:val="20"/>
                <w:szCs w:val="20"/>
              </w:rPr>
              <w:t>-</w:t>
            </w:r>
          </w:p>
        </w:tc>
        <w:tc>
          <w:tcPr>
            <w:tcW w:w="1083" w:type="dxa"/>
            <w:tcBorders>
              <w:top w:val="nil"/>
              <w:left w:val="nil"/>
              <w:bottom w:val="nil"/>
              <w:right w:val="nil"/>
            </w:tcBorders>
            <w:shd w:val="clear" w:color="auto" w:fill="auto"/>
            <w:vAlign w:val="center"/>
          </w:tcPr>
          <w:p w14:paraId="5963EF84" w14:textId="77777777" w:rsidR="00717A44" w:rsidRPr="00013DED" w:rsidRDefault="00717A44" w:rsidP="001C0097">
            <w:pPr>
              <w:jc w:val="center"/>
              <w:rPr>
                <w:rFonts w:ascii="Times" w:hAnsi="Times"/>
                <w:b/>
                <w:bCs/>
                <w:sz w:val="20"/>
                <w:szCs w:val="20"/>
              </w:rPr>
            </w:pPr>
            <w:r w:rsidRPr="00013DED">
              <w:rPr>
                <w:rFonts w:ascii="Times" w:hAnsi="Times"/>
                <w:b/>
                <w:bCs/>
                <w:sz w:val="20"/>
                <w:szCs w:val="20"/>
              </w:rPr>
              <w:t>1 M KOH</w:t>
            </w:r>
          </w:p>
        </w:tc>
        <w:tc>
          <w:tcPr>
            <w:tcW w:w="1165" w:type="dxa"/>
            <w:tcBorders>
              <w:top w:val="nil"/>
              <w:left w:val="nil"/>
              <w:bottom w:val="nil"/>
              <w:right w:val="nil"/>
            </w:tcBorders>
            <w:shd w:val="clear" w:color="auto" w:fill="auto"/>
            <w:vAlign w:val="center"/>
          </w:tcPr>
          <w:p w14:paraId="69E8740A" w14:textId="77777777" w:rsidR="00717A44" w:rsidRPr="00013DED" w:rsidRDefault="00717A44" w:rsidP="001C0097">
            <w:pPr>
              <w:jc w:val="center"/>
              <w:rPr>
                <w:rFonts w:ascii="Times" w:hAnsi="Times"/>
                <w:b/>
                <w:bCs/>
                <w:sz w:val="20"/>
                <w:szCs w:val="20"/>
              </w:rPr>
            </w:pPr>
            <w:r w:rsidRPr="00013DED">
              <w:rPr>
                <w:rFonts w:ascii="Times" w:hAnsi="Times"/>
                <w:b/>
                <w:bCs/>
                <w:sz w:val="20"/>
                <w:szCs w:val="20"/>
              </w:rPr>
              <w:t>This work</w:t>
            </w:r>
          </w:p>
        </w:tc>
      </w:tr>
      <w:tr w:rsidR="00717A44" w:rsidRPr="00013DED" w14:paraId="62ACFC82" w14:textId="77777777" w:rsidTr="00013DED">
        <w:trPr>
          <w:gridAfter w:val="1"/>
          <w:wAfter w:w="11" w:type="dxa"/>
          <w:trHeight w:val="631"/>
        </w:trPr>
        <w:tc>
          <w:tcPr>
            <w:tcW w:w="1149" w:type="dxa"/>
            <w:tcBorders>
              <w:top w:val="nil"/>
              <w:left w:val="nil"/>
              <w:bottom w:val="nil"/>
              <w:right w:val="nil"/>
            </w:tcBorders>
            <w:shd w:val="clear" w:color="auto" w:fill="auto"/>
            <w:vAlign w:val="center"/>
            <w:hideMark/>
          </w:tcPr>
          <w:p w14:paraId="6746FC5A" w14:textId="77777777" w:rsidR="00717A44" w:rsidRPr="004955AE" w:rsidRDefault="00717A44" w:rsidP="001C0097">
            <w:pPr>
              <w:jc w:val="center"/>
              <w:rPr>
                <w:rFonts w:ascii="Times" w:hAnsi="Times"/>
                <w:color w:val="000000"/>
                <w:sz w:val="20"/>
                <w:szCs w:val="20"/>
              </w:rPr>
            </w:pPr>
            <w:r w:rsidRPr="004955AE">
              <w:rPr>
                <w:rFonts w:ascii="Times" w:hAnsi="Times"/>
                <w:sz w:val="20"/>
                <w:szCs w:val="20"/>
              </w:rPr>
              <w:t>NiFe</w:t>
            </w:r>
            <w:r w:rsidRPr="004955AE">
              <w:rPr>
                <w:rFonts w:ascii="Times" w:hAnsi="Times"/>
                <w:color w:val="000000"/>
                <w:sz w:val="20"/>
                <w:szCs w:val="20"/>
                <w:vertAlign w:val="subscript"/>
              </w:rPr>
              <w:t>2</w:t>
            </w:r>
            <w:r w:rsidRPr="004955AE">
              <w:rPr>
                <w:rFonts w:ascii="Times" w:hAnsi="Times"/>
                <w:color w:val="000000"/>
                <w:sz w:val="20"/>
                <w:szCs w:val="20"/>
              </w:rPr>
              <w:t>O</w:t>
            </w:r>
            <w:r w:rsidRPr="004955AE">
              <w:rPr>
                <w:rFonts w:ascii="Times" w:hAnsi="Times"/>
                <w:color w:val="000000"/>
                <w:sz w:val="20"/>
                <w:szCs w:val="20"/>
                <w:vertAlign w:val="subscript"/>
              </w:rPr>
              <w:t>4</w:t>
            </w:r>
          </w:p>
        </w:tc>
        <w:tc>
          <w:tcPr>
            <w:tcW w:w="795" w:type="dxa"/>
            <w:tcBorders>
              <w:top w:val="nil"/>
              <w:left w:val="nil"/>
              <w:bottom w:val="nil"/>
              <w:right w:val="nil"/>
            </w:tcBorders>
            <w:shd w:val="clear" w:color="auto" w:fill="auto"/>
            <w:vAlign w:val="center"/>
            <w:hideMark/>
          </w:tcPr>
          <w:p w14:paraId="294BF98A" w14:textId="77777777" w:rsidR="00717A44" w:rsidRPr="004955AE" w:rsidRDefault="00717A44" w:rsidP="001C0097">
            <w:pPr>
              <w:jc w:val="center"/>
              <w:rPr>
                <w:rFonts w:ascii="Times" w:hAnsi="Times"/>
                <w:color w:val="000000"/>
                <w:sz w:val="20"/>
                <w:szCs w:val="20"/>
              </w:rPr>
            </w:pPr>
            <w:r w:rsidRPr="004955AE">
              <w:rPr>
                <w:rFonts w:ascii="Times" w:hAnsi="Times"/>
                <w:sz w:val="20"/>
                <w:szCs w:val="20"/>
              </w:rPr>
              <w:t xml:space="preserve">Ni </w:t>
            </w:r>
            <w:r w:rsidRPr="00013DED">
              <w:rPr>
                <w:rFonts w:ascii="Times" w:hAnsi="Times"/>
                <w:sz w:val="20"/>
                <w:szCs w:val="20"/>
              </w:rPr>
              <w:t>felt</w:t>
            </w:r>
          </w:p>
        </w:tc>
        <w:tc>
          <w:tcPr>
            <w:tcW w:w="1150" w:type="dxa"/>
            <w:tcBorders>
              <w:top w:val="nil"/>
              <w:left w:val="nil"/>
              <w:bottom w:val="nil"/>
              <w:right w:val="nil"/>
            </w:tcBorders>
            <w:shd w:val="clear" w:color="auto" w:fill="auto"/>
            <w:vAlign w:val="center"/>
            <w:hideMark/>
          </w:tcPr>
          <w:p w14:paraId="62B0EBBD" w14:textId="77777777" w:rsidR="00717A44" w:rsidRPr="004955AE" w:rsidRDefault="00717A44" w:rsidP="001C0097">
            <w:pPr>
              <w:jc w:val="center"/>
              <w:rPr>
                <w:rFonts w:ascii="Times" w:hAnsi="Times"/>
                <w:color w:val="000000"/>
                <w:sz w:val="20"/>
                <w:szCs w:val="20"/>
              </w:rPr>
            </w:pPr>
            <w:r w:rsidRPr="004955AE">
              <w:rPr>
                <w:rFonts w:ascii="Times" w:hAnsi="Times"/>
                <w:sz w:val="20"/>
                <w:szCs w:val="20"/>
              </w:rPr>
              <w:t>2</w:t>
            </w:r>
          </w:p>
        </w:tc>
        <w:tc>
          <w:tcPr>
            <w:tcW w:w="237" w:type="dxa"/>
            <w:gridSpan w:val="2"/>
            <w:tcBorders>
              <w:top w:val="nil"/>
              <w:left w:val="nil"/>
              <w:bottom w:val="nil"/>
              <w:right w:val="nil"/>
            </w:tcBorders>
          </w:tcPr>
          <w:p w14:paraId="38508BE0" w14:textId="77777777" w:rsidR="00717A44" w:rsidRPr="00013DED" w:rsidRDefault="00717A44" w:rsidP="001C0097">
            <w:pPr>
              <w:jc w:val="center"/>
              <w:rPr>
                <w:rFonts w:ascii="Times" w:hAnsi="Times"/>
                <w:sz w:val="20"/>
                <w:szCs w:val="20"/>
              </w:rPr>
            </w:pPr>
          </w:p>
        </w:tc>
        <w:tc>
          <w:tcPr>
            <w:tcW w:w="1066" w:type="dxa"/>
            <w:gridSpan w:val="2"/>
            <w:tcBorders>
              <w:top w:val="nil"/>
              <w:left w:val="nil"/>
              <w:bottom w:val="nil"/>
              <w:right w:val="nil"/>
            </w:tcBorders>
            <w:shd w:val="clear" w:color="auto" w:fill="auto"/>
            <w:vAlign w:val="center"/>
            <w:hideMark/>
          </w:tcPr>
          <w:p w14:paraId="0512DE87" w14:textId="77777777" w:rsidR="00717A44" w:rsidRPr="004955AE" w:rsidRDefault="00717A44" w:rsidP="001C0097">
            <w:pPr>
              <w:jc w:val="center"/>
              <w:rPr>
                <w:rFonts w:ascii="Times" w:hAnsi="Times"/>
                <w:color w:val="000000"/>
                <w:sz w:val="20"/>
                <w:szCs w:val="20"/>
              </w:rPr>
            </w:pPr>
            <w:proofErr w:type="spellStart"/>
            <w:r w:rsidRPr="004955AE">
              <w:rPr>
                <w:rFonts w:ascii="Times" w:hAnsi="Times"/>
                <w:sz w:val="20"/>
                <w:szCs w:val="20"/>
              </w:rPr>
              <w:t>NiFeCo</w:t>
            </w:r>
            <w:proofErr w:type="spellEnd"/>
          </w:p>
        </w:tc>
        <w:tc>
          <w:tcPr>
            <w:tcW w:w="1049" w:type="dxa"/>
            <w:tcBorders>
              <w:top w:val="nil"/>
              <w:left w:val="nil"/>
              <w:bottom w:val="nil"/>
              <w:right w:val="nil"/>
            </w:tcBorders>
            <w:shd w:val="clear" w:color="auto" w:fill="auto"/>
            <w:vAlign w:val="center"/>
            <w:hideMark/>
          </w:tcPr>
          <w:p w14:paraId="3FEFA5D4" w14:textId="77777777" w:rsidR="00717A44" w:rsidRPr="004955AE" w:rsidRDefault="00717A44" w:rsidP="001C0097">
            <w:pPr>
              <w:jc w:val="center"/>
              <w:rPr>
                <w:rFonts w:ascii="Times" w:hAnsi="Times"/>
                <w:color w:val="000000"/>
                <w:sz w:val="20"/>
                <w:szCs w:val="20"/>
              </w:rPr>
            </w:pPr>
            <w:r w:rsidRPr="004955AE">
              <w:rPr>
                <w:rFonts w:ascii="Times" w:hAnsi="Times"/>
                <w:sz w:val="20"/>
                <w:szCs w:val="20"/>
              </w:rPr>
              <w:t>SS fiber paper</w:t>
            </w:r>
          </w:p>
        </w:tc>
        <w:tc>
          <w:tcPr>
            <w:tcW w:w="1058" w:type="dxa"/>
            <w:tcBorders>
              <w:top w:val="nil"/>
              <w:left w:val="nil"/>
              <w:bottom w:val="nil"/>
              <w:right w:val="nil"/>
            </w:tcBorders>
            <w:shd w:val="clear" w:color="auto" w:fill="auto"/>
            <w:vAlign w:val="center"/>
            <w:hideMark/>
          </w:tcPr>
          <w:p w14:paraId="67B9861D" w14:textId="77777777" w:rsidR="00717A44" w:rsidRPr="004955AE" w:rsidRDefault="00717A44" w:rsidP="001C0097">
            <w:pPr>
              <w:jc w:val="center"/>
              <w:rPr>
                <w:rFonts w:ascii="Times" w:hAnsi="Times"/>
                <w:color w:val="000000"/>
                <w:sz w:val="20"/>
                <w:szCs w:val="20"/>
              </w:rPr>
            </w:pPr>
            <w:r w:rsidRPr="004955AE">
              <w:rPr>
                <w:rFonts w:ascii="Times" w:hAnsi="Times"/>
                <w:sz w:val="20"/>
                <w:szCs w:val="20"/>
              </w:rPr>
              <w:t>2</w:t>
            </w:r>
          </w:p>
        </w:tc>
        <w:tc>
          <w:tcPr>
            <w:tcW w:w="237" w:type="dxa"/>
            <w:gridSpan w:val="2"/>
            <w:tcBorders>
              <w:top w:val="nil"/>
              <w:left w:val="nil"/>
              <w:bottom w:val="nil"/>
              <w:right w:val="nil"/>
            </w:tcBorders>
          </w:tcPr>
          <w:p w14:paraId="535AE70B" w14:textId="77777777" w:rsidR="00717A44" w:rsidRPr="00013DED" w:rsidRDefault="00717A44" w:rsidP="001C0097">
            <w:pPr>
              <w:jc w:val="center"/>
              <w:rPr>
                <w:rFonts w:ascii="Times" w:hAnsi="Times"/>
                <w:sz w:val="20"/>
                <w:szCs w:val="20"/>
              </w:rPr>
            </w:pPr>
          </w:p>
        </w:tc>
        <w:tc>
          <w:tcPr>
            <w:tcW w:w="1135" w:type="dxa"/>
            <w:gridSpan w:val="2"/>
            <w:tcBorders>
              <w:top w:val="nil"/>
              <w:left w:val="nil"/>
              <w:bottom w:val="nil"/>
              <w:right w:val="nil"/>
            </w:tcBorders>
            <w:shd w:val="clear" w:color="auto" w:fill="auto"/>
            <w:vAlign w:val="center"/>
            <w:hideMark/>
          </w:tcPr>
          <w:p w14:paraId="615E6909" w14:textId="77777777" w:rsidR="00717A44" w:rsidRPr="004955AE" w:rsidRDefault="00717A44" w:rsidP="001C0097">
            <w:pPr>
              <w:jc w:val="center"/>
              <w:rPr>
                <w:rFonts w:ascii="Times" w:hAnsi="Times"/>
                <w:color w:val="000000"/>
                <w:sz w:val="20"/>
                <w:szCs w:val="20"/>
              </w:rPr>
            </w:pPr>
            <w:proofErr w:type="spellStart"/>
            <w:r w:rsidRPr="004955AE">
              <w:rPr>
                <w:rFonts w:ascii="Times" w:hAnsi="Times"/>
                <w:sz w:val="20"/>
                <w:szCs w:val="20"/>
              </w:rPr>
              <w:t>Sustainion</w:t>
            </w:r>
            <w:proofErr w:type="spellEnd"/>
          </w:p>
        </w:tc>
        <w:tc>
          <w:tcPr>
            <w:tcW w:w="236" w:type="dxa"/>
            <w:gridSpan w:val="2"/>
            <w:tcBorders>
              <w:top w:val="nil"/>
              <w:left w:val="nil"/>
              <w:bottom w:val="nil"/>
              <w:right w:val="nil"/>
            </w:tcBorders>
          </w:tcPr>
          <w:p w14:paraId="7DF06884" w14:textId="77777777" w:rsidR="00717A44" w:rsidRPr="00013DED" w:rsidRDefault="00717A44" w:rsidP="001C0097">
            <w:pPr>
              <w:jc w:val="center"/>
              <w:rPr>
                <w:rFonts w:ascii="Times" w:hAnsi="Times"/>
                <w:sz w:val="20"/>
                <w:szCs w:val="20"/>
              </w:rPr>
            </w:pPr>
          </w:p>
        </w:tc>
        <w:tc>
          <w:tcPr>
            <w:tcW w:w="1399" w:type="dxa"/>
            <w:gridSpan w:val="3"/>
            <w:tcBorders>
              <w:top w:val="nil"/>
              <w:left w:val="nil"/>
              <w:bottom w:val="nil"/>
              <w:right w:val="nil"/>
            </w:tcBorders>
            <w:shd w:val="clear" w:color="auto" w:fill="auto"/>
            <w:vAlign w:val="center"/>
            <w:hideMark/>
          </w:tcPr>
          <w:p w14:paraId="0AE67F86" w14:textId="77777777" w:rsidR="00717A44" w:rsidRPr="004955AE" w:rsidRDefault="00717A44" w:rsidP="001C0097">
            <w:pPr>
              <w:jc w:val="center"/>
              <w:rPr>
                <w:rFonts w:ascii="Times" w:hAnsi="Times"/>
                <w:color w:val="000000"/>
                <w:sz w:val="20"/>
                <w:szCs w:val="20"/>
              </w:rPr>
            </w:pPr>
            <w:r w:rsidRPr="004955AE">
              <w:rPr>
                <w:rFonts w:ascii="Times" w:hAnsi="Times"/>
                <w:sz w:val="20"/>
                <w:szCs w:val="20"/>
              </w:rPr>
              <w:t>2.13</w:t>
            </w:r>
          </w:p>
        </w:tc>
        <w:tc>
          <w:tcPr>
            <w:tcW w:w="1081" w:type="dxa"/>
            <w:tcBorders>
              <w:top w:val="nil"/>
              <w:left w:val="nil"/>
              <w:bottom w:val="nil"/>
              <w:right w:val="nil"/>
            </w:tcBorders>
            <w:shd w:val="clear" w:color="auto" w:fill="auto"/>
            <w:vAlign w:val="center"/>
            <w:hideMark/>
          </w:tcPr>
          <w:p w14:paraId="47B6FCFD" w14:textId="1B95E5C8" w:rsidR="00717A44" w:rsidRPr="004955AE" w:rsidRDefault="00717A44" w:rsidP="001C0097">
            <w:pPr>
              <w:jc w:val="center"/>
              <w:rPr>
                <w:rFonts w:ascii="Times" w:hAnsi="Times"/>
                <w:color w:val="000000"/>
                <w:sz w:val="20"/>
                <w:szCs w:val="20"/>
              </w:rPr>
            </w:pPr>
            <w:r w:rsidRPr="004955AE">
              <w:rPr>
                <w:rFonts w:ascii="Times" w:hAnsi="Times"/>
                <w:sz w:val="20"/>
                <w:szCs w:val="20"/>
              </w:rPr>
              <w:t>2</w:t>
            </w:r>
          </w:p>
        </w:tc>
        <w:tc>
          <w:tcPr>
            <w:tcW w:w="559" w:type="dxa"/>
            <w:tcBorders>
              <w:top w:val="nil"/>
              <w:left w:val="nil"/>
              <w:bottom w:val="nil"/>
              <w:right w:val="nil"/>
            </w:tcBorders>
            <w:shd w:val="clear" w:color="auto" w:fill="auto"/>
            <w:vAlign w:val="center"/>
            <w:hideMark/>
          </w:tcPr>
          <w:p w14:paraId="5214506C" w14:textId="77777777" w:rsidR="00717A44" w:rsidRPr="004955AE" w:rsidRDefault="00717A44" w:rsidP="001C0097">
            <w:pPr>
              <w:jc w:val="center"/>
              <w:rPr>
                <w:rFonts w:ascii="Times" w:hAnsi="Times"/>
                <w:color w:val="000000"/>
                <w:sz w:val="20"/>
                <w:szCs w:val="20"/>
              </w:rPr>
            </w:pPr>
            <w:r w:rsidRPr="004955AE">
              <w:rPr>
                <w:rFonts w:ascii="Times" w:hAnsi="Times"/>
                <w:sz w:val="20"/>
                <w:szCs w:val="20"/>
              </w:rPr>
              <w:t>60</w:t>
            </w:r>
          </w:p>
        </w:tc>
        <w:tc>
          <w:tcPr>
            <w:tcW w:w="1134" w:type="dxa"/>
            <w:tcBorders>
              <w:top w:val="nil"/>
              <w:left w:val="nil"/>
              <w:bottom w:val="nil"/>
              <w:right w:val="nil"/>
            </w:tcBorders>
            <w:vAlign w:val="center"/>
          </w:tcPr>
          <w:p w14:paraId="705E2941" w14:textId="77777777" w:rsidR="00717A44" w:rsidRPr="00013DED" w:rsidRDefault="00717A44" w:rsidP="001C0097">
            <w:pPr>
              <w:jc w:val="center"/>
              <w:rPr>
                <w:rFonts w:ascii="Times" w:hAnsi="Times"/>
                <w:sz w:val="20"/>
                <w:szCs w:val="20"/>
              </w:rPr>
            </w:pPr>
            <w:r w:rsidRPr="00013DED">
              <w:rPr>
                <w:rFonts w:ascii="Times" w:hAnsi="Times"/>
                <w:sz w:val="20"/>
                <w:szCs w:val="20"/>
              </w:rPr>
              <w:t>-</w:t>
            </w:r>
          </w:p>
        </w:tc>
        <w:tc>
          <w:tcPr>
            <w:tcW w:w="1083" w:type="dxa"/>
            <w:tcBorders>
              <w:top w:val="nil"/>
              <w:left w:val="nil"/>
              <w:bottom w:val="nil"/>
              <w:right w:val="nil"/>
            </w:tcBorders>
            <w:shd w:val="clear" w:color="auto" w:fill="auto"/>
            <w:vAlign w:val="center"/>
            <w:hideMark/>
          </w:tcPr>
          <w:p w14:paraId="6761A3A3" w14:textId="77777777" w:rsidR="00717A44" w:rsidRPr="004955AE" w:rsidRDefault="00717A44" w:rsidP="001C0097">
            <w:pPr>
              <w:jc w:val="center"/>
              <w:rPr>
                <w:rFonts w:ascii="Times" w:hAnsi="Times"/>
                <w:color w:val="000000"/>
                <w:sz w:val="20"/>
                <w:szCs w:val="20"/>
              </w:rPr>
            </w:pPr>
            <w:r w:rsidRPr="004955AE">
              <w:rPr>
                <w:rFonts w:ascii="Times" w:hAnsi="Times"/>
                <w:sz w:val="20"/>
                <w:szCs w:val="20"/>
              </w:rPr>
              <w:t>1</w:t>
            </w:r>
            <w:r w:rsidRPr="00013DED">
              <w:rPr>
                <w:rFonts w:ascii="Times" w:hAnsi="Times"/>
                <w:sz w:val="20"/>
                <w:szCs w:val="20"/>
              </w:rPr>
              <w:t xml:space="preserve"> </w:t>
            </w:r>
            <w:r w:rsidRPr="004955AE">
              <w:rPr>
                <w:rFonts w:ascii="Times" w:hAnsi="Times"/>
                <w:sz w:val="20"/>
                <w:szCs w:val="20"/>
              </w:rPr>
              <w:t>M KOH</w:t>
            </w:r>
          </w:p>
        </w:tc>
        <w:tc>
          <w:tcPr>
            <w:tcW w:w="1165" w:type="dxa"/>
            <w:tcBorders>
              <w:top w:val="nil"/>
              <w:left w:val="nil"/>
              <w:bottom w:val="nil"/>
              <w:right w:val="nil"/>
            </w:tcBorders>
            <w:shd w:val="clear" w:color="auto" w:fill="auto"/>
            <w:vAlign w:val="center"/>
            <w:hideMark/>
          </w:tcPr>
          <w:p w14:paraId="27CF9C54" w14:textId="6C307008" w:rsidR="00717A44" w:rsidRPr="004955AE" w:rsidRDefault="00717A44" w:rsidP="001C0097">
            <w:pPr>
              <w:jc w:val="center"/>
              <w:rPr>
                <w:rFonts w:ascii="Times" w:hAnsi="Times"/>
                <w:color w:val="000000"/>
                <w:sz w:val="20"/>
                <w:szCs w:val="20"/>
              </w:rPr>
            </w:pPr>
            <w:proofErr w:type="spellStart"/>
            <w:r w:rsidRPr="004955AE">
              <w:rPr>
                <w:rFonts w:ascii="Times" w:hAnsi="Times"/>
                <w:sz w:val="20"/>
                <w:szCs w:val="20"/>
              </w:rPr>
              <w:t>Pushkareva</w:t>
            </w:r>
            <w:proofErr w:type="spellEnd"/>
            <w:r w:rsidRPr="004955AE">
              <w:rPr>
                <w:rFonts w:ascii="Times" w:hAnsi="Times"/>
                <w:sz w:val="20"/>
                <w:szCs w:val="20"/>
              </w:rPr>
              <w:t xml:space="preserve"> et al. </w:t>
            </w:r>
            <w:r w:rsidRPr="00013DED">
              <w:rPr>
                <w:rFonts w:ascii="Times" w:hAnsi="Times"/>
                <w:sz w:val="20"/>
                <w:szCs w:val="20"/>
              </w:rPr>
              <w:fldChar w:fldCharType="begin" w:fldLock="1"/>
            </w:r>
            <w:r w:rsidR="00125386">
              <w:rPr>
                <w:rFonts w:ascii="Times" w:hAnsi="Times"/>
                <w:sz w:val="20"/>
                <w:szCs w:val="20"/>
              </w:rPr>
              <w:instrText>ADDIN CSL_CITATION {"citationItems":[{"id":"ITEM-1","itemData":{"DOI":"10.1016/j.ijhydene.2019.11.011","ISSN":"03603199","abstract":"Various anion-exchange membranes (AEMs) were studied in the electrolysis cell using the non-precious metal-based catalysts showing the good potential of selected AEMs in low-cost water electrolysis application. The 0.1–1 M potassium hydroxide electrolyte is applied for high performance electrolysis process, whereas the usage of pure water leads to the significant AEM resistance increase. The post mortem MEA analysis, using SEM is performed to study the structure and morphology of catalyst layers transferred from the electrodes prepared by catalyst coated substrate approach. The importance of the catalyst layer–membrane interface and the binder used to bond the catalyst layer is discussed. AEM electrolysis safety aspect in terms of the hydrogen crossover through the 28 μm thin A-201 membrane is studied. The linear dependency of the permeated hydrogen flux on current density is shown. Hydrogen content in the anode outlet gas is less enough to ensure high safety of the AEM electrolysis technology in the operating currents range.","author":[{"dropping-particle":"V.","family":"Pushkareva","given":"I.","non-dropping-particle":"","parse-names":false,"suffix":""},{"dropping-particle":"","family":"Pushkarev","given":"A. S.","non-dropping-particle":"","parse-names":false,"suffix":""},{"dropping-particle":"","family":"Grigoriev","given":"S. A.","non-dropping-particle":"","parse-names":false,"suffix":""},{"dropping-particle":"","family":"Modisha","given":"P.","non-dropping-particle":"","parse-names":false,"suffix":""},{"dropping-particle":"","family":"Bessarabov","given":"D. G.","non-dropping-particle":"","parse-names":false,"suffix":""}],"container-title":"International Journal of Hydrogen Energy","id":"ITEM-1","issue":"xxxx","issued":{"date-parts":[["2019"]]},"publisher":"Elsevier Ltd","title":"Comparative study of anion exchange membranes for low-cost water electrolysis","type":"article-journal"},"uris":["http://www.mendeley.com/documents/?uuid=02d767f9-9184-45f6-a12b-873e8cc4e6e2"]}],"mendeley":{"formattedCitation":"&lt;sup&gt;76&lt;/sup&gt;","plainTextFormattedCitation":"76","previouslyFormattedCitation":"&lt;sup&gt;75&lt;/sup&gt;"},"properties":{"noteIndex":0},"schema":"https://github.com/citation-style-language/schema/raw/master/csl-citation.json"}</w:instrText>
            </w:r>
            <w:r w:rsidRPr="00013DED">
              <w:rPr>
                <w:rFonts w:ascii="Times" w:hAnsi="Times"/>
                <w:sz w:val="20"/>
                <w:szCs w:val="20"/>
              </w:rPr>
              <w:fldChar w:fldCharType="separate"/>
            </w:r>
            <w:r w:rsidR="00125386" w:rsidRPr="00125386">
              <w:rPr>
                <w:rFonts w:ascii="Times" w:hAnsi="Times"/>
                <w:noProof/>
                <w:sz w:val="20"/>
                <w:szCs w:val="20"/>
                <w:vertAlign w:val="superscript"/>
              </w:rPr>
              <w:t>76</w:t>
            </w:r>
            <w:r w:rsidRPr="00013DED">
              <w:rPr>
                <w:rFonts w:ascii="Times" w:hAnsi="Times"/>
                <w:sz w:val="20"/>
                <w:szCs w:val="20"/>
              </w:rPr>
              <w:fldChar w:fldCharType="end"/>
            </w:r>
          </w:p>
        </w:tc>
      </w:tr>
      <w:tr w:rsidR="00717A44" w:rsidRPr="00013DED" w14:paraId="558B2E2C" w14:textId="77777777" w:rsidTr="00013DED">
        <w:trPr>
          <w:gridAfter w:val="1"/>
          <w:wAfter w:w="11" w:type="dxa"/>
          <w:trHeight w:val="611"/>
        </w:trPr>
        <w:tc>
          <w:tcPr>
            <w:tcW w:w="1149" w:type="dxa"/>
            <w:tcBorders>
              <w:top w:val="nil"/>
              <w:left w:val="nil"/>
              <w:bottom w:val="nil"/>
              <w:right w:val="nil"/>
            </w:tcBorders>
            <w:shd w:val="clear" w:color="auto" w:fill="auto"/>
            <w:vAlign w:val="center"/>
            <w:hideMark/>
          </w:tcPr>
          <w:p w14:paraId="215FF7B2" w14:textId="77777777" w:rsidR="00717A44" w:rsidRPr="004955AE" w:rsidRDefault="00717A44" w:rsidP="001C0097">
            <w:pPr>
              <w:jc w:val="center"/>
              <w:rPr>
                <w:rFonts w:ascii="Times" w:hAnsi="Times"/>
                <w:color w:val="000000"/>
                <w:sz w:val="20"/>
                <w:szCs w:val="20"/>
              </w:rPr>
            </w:pPr>
            <w:r w:rsidRPr="004955AE">
              <w:rPr>
                <w:rFonts w:ascii="Times" w:hAnsi="Times"/>
                <w:color w:val="000000"/>
                <w:sz w:val="20"/>
                <w:szCs w:val="20"/>
              </w:rPr>
              <w:t>IrO</w:t>
            </w:r>
            <w:r w:rsidRPr="004955AE">
              <w:rPr>
                <w:rFonts w:ascii="Times" w:hAnsi="Times"/>
                <w:color w:val="000000"/>
                <w:sz w:val="20"/>
                <w:szCs w:val="20"/>
                <w:vertAlign w:val="subscript"/>
              </w:rPr>
              <w:t>2</w:t>
            </w:r>
          </w:p>
        </w:tc>
        <w:tc>
          <w:tcPr>
            <w:tcW w:w="795" w:type="dxa"/>
            <w:tcBorders>
              <w:top w:val="nil"/>
              <w:left w:val="nil"/>
              <w:bottom w:val="nil"/>
              <w:right w:val="nil"/>
            </w:tcBorders>
            <w:shd w:val="clear" w:color="auto" w:fill="auto"/>
            <w:vAlign w:val="center"/>
            <w:hideMark/>
          </w:tcPr>
          <w:p w14:paraId="79AE33CA" w14:textId="77777777" w:rsidR="00717A44" w:rsidRPr="004955AE" w:rsidRDefault="00717A44" w:rsidP="001C0097">
            <w:pPr>
              <w:jc w:val="center"/>
              <w:rPr>
                <w:rFonts w:ascii="Times" w:hAnsi="Times"/>
                <w:color w:val="000000"/>
                <w:sz w:val="20"/>
                <w:szCs w:val="20"/>
              </w:rPr>
            </w:pPr>
            <w:r w:rsidRPr="004955AE">
              <w:rPr>
                <w:rFonts w:ascii="Times" w:hAnsi="Times"/>
                <w:color w:val="000000"/>
                <w:sz w:val="20"/>
                <w:szCs w:val="20"/>
              </w:rPr>
              <w:t>Ti-based</w:t>
            </w:r>
          </w:p>
        </w:tc>
        <w:tc>
          <w:tcPr>
            <w:tcW w:w="1150" w:type="dxa"/>
            <w:tcBorders>
              <w:top w:val="nil"/>
              <w:left w:val="nil"/>
              <w:bottom w:val="nil"/>
              <w:right w:val="nil"/>
            </w:tcBorders>
            <w:shd w:val="clear" w:color="auto" w:fill="auto"/>
            <w:vAlign w:val="center"/>
            <w:hideMark/>
          </w:tcPr>
          <w:p w14:paraId="2B05BB34" w14:textId="77777777" w:rsidR="00717A44" w:rsidRPr="004955AE" w:rsidRDefault="00717A44" w:rsidP="001C0097">
            <w:pPr>
              <w:jc w:val="center"/>
              <w:rPr>
                <w:rFonts w:ascii="Times" w:hAnsi="Times"/>
                <w:color w:val="000000"/>
                <w:sz w:val="20"/>
                <w:szCs w:val="20"/>
              </w:rPr>
            </w:pPr>
            <w:r w:rsidRPr="004955AE">
              <w:rPr>
                <w:rFonts w:ascii="Times" w:hAnsi="Times"/>
                <w:color w:val="000000"/>
                <w:sz w:val="20"/>
                <w:szCs w:val="20"/>
              </w:rPr>
              <w:t>4</w:t>
            </w:r>
          </w:p>
        </w:tc>
        <w:tc>
          <w:tcPr>
            <w:tcW w:w="237" w:type="dxa"/>
            <w:gridSpan w:val="2"/>
            <w:tcBorders>
              <w:top w:val="nil"/>
              <w:left w:val="nil"/>
              <w:bottom w:val="nil"/>
              <w:right w:val="nil"/>
            </w:tcBorders>
          </w:tcPr>
          <w:p w14:paraId="15EB863F" w14:textId="77777777" w:rsidR="00717A44" w:rsidRPr="00013DED" w:rsidRDefault="00717A44" w:rsidP="001C0097">
            <w:pPr>
              <w:jc w:val="center"/>
              <w:rPr>
                <w:rFonts w:ascii="Times" w:hAnsi="Times"/>
                <w:color w:val="000000"/>
                <w:sz w:val="20"/>
                <w:szCs w:val="20"/>
              </w:rPr>
            </w:pPr>
          </w:p>
        </w:tc>
        <w:tc>
          <w:tcPr>
            <w:tcW w:w="1066" w:type="dxa"/>
            <w:gridSpan w:val="2"/>
            <w:tcBorders>
              <w:top w:val="nil"/>
              <w:left w:val="nil"/>
              <w:bottom w:val="nil"/>
              <w:right w:val="nil"/>
            </w:tcBorders>
            <w:shd w:val="clear" w:color="auto" w:fill="auto"/>
            <w:vAlign w:val="center"/>
            <w:hideMark/>
          </w:tcPr>
          <w:p w14:paraId="0789D5E3" w14:textId="77777777" w:rsidR="00717A44" w:rsidRPr="004955AE" w:rsidRDefault="00717A44" w:rsidP="001C0097">
            <w:pPr>
              <w:jc w:val="center"/>
              <w:rPr>
                <w:rFonts w:ascii="Times" w:hAnsi="Times"/>
                <w:color w:val="000000"/>
                <w:sz w:val="20"/>
                <w:szCs w:val="20"/>
              </w:rPr>
            </w:pPr>
            <w:r w:rsidRPr="004955AE">
              <w:rPr>
                <w:rFonts w:ascii="Times" w:hAnsi="Times"/>
                <w:color w:val="000000"/>
                <w:sz w:val="20"/>
                <w:szCs w:val="20"/>
              </w:rPr>
              <w:t>Pt/C</w:t>
            </w:r>
          </w:p>
        </w:tc>
        <w:tc>
          <w:tcPr>
            <w:tcW w:w="1049" w:type="dxa"/>
            <w:tcBorders>
              <w:top w:val="nil"/>
              <w:left w:val="nil"/>
              <w:bottom w:val="nil"/>
              <w:right w:val="nil"/>
            </w:tcBorders>
            <w:shd w:val="clear" w:color="auto" w:fill="auto"/>
            <w:vAlign w:val="center"/>
            <w:hideMark/>
          </w:tcPr>
          <w:p w14:paraId="4DDF2561" w14:textId="77777777" w:rsidR="00717A44" w:rsidRPr="004955AE" w:rsidRDefault="00717A44" w:rsidP="001C0097">
            <w:pPr>
              <w:jc w:val="center"/>
              <w:rPr>
                <w:rFonts w:ascii="Times" w:hAnsi="Times"/>
                <w:color w:val="000000"/>
                <w:sz w:val="20"/>
                <w:szCs w:val="20"/>
              </w:rPr>
            </w:pPr>
            <w:r w:rsidRPr="004955AE">
              <w:rPr>
                <w:rFonts w:ascii="Times" w:hAnsi="Times"/>
                <w:color w:val="000000"/>
                <w:sz w:val="20"/>
                <w:szCs w:val="20"/>
              </w:rPr>
              <w:t>Carbon-based</w:t>
            </w:r>
          </w:p>
        </w:tc>
        <w:tc>
          <w:tcPr>
            <w:tcW w:w="1058" w:type="dxa"/>
            <w:tcBorders>
              <w:top w:val="nil"/>
              <w:left w:val="nil"/>
              <w:bottom w:val="nil"/>
              <w:right w:val="nil"/>
            </w:tcBorders>
            <w:shd w:val="clear" w:color="auto" w:fill="auto"/>
            <w:vAlign w:val="center"/>
            <w:hideMark/>
          </w:tcPr>
          <w:p w14:paraId="04A9D1C2" w14:textId="77777777" w:rsidR="00717A44" w:rsidRPr="004955AE" w:rsidRDefault="00717A44" w:rsidP="001C0097">
            <w:pPr>
              <w:jc w:val="center"/>
              <w:rPr>
                <w:rFonts w:ascii="Times" w:hAnsi="Times"/>
                <w:color w:val="000000"/>
                <w:sz w:val="20"/>
                <w:szCs w:val="20"/>
              </w:rPr>
            </w:pPr>
            <w:r w:rsidRPr="004955AE">
              <w:rPr>
                <w:rFonts w:ascii="Times" w:hAnsi="Times"/>
                <w:color w:val="000000"/>
                <w:sz w:val="20"/>
                <w:szCs w:val="20"/>
              </w:rPr>
              <w:t>0.4</w:t>
            </w:r>
          </w:p>
        </w:tc>
        <w:tc>
          <w:tcPr>
            <w:tcW w:w="237" w:type="dxa"/>
            <w:gridSpan w:val="2"/>
            <w:tcBorders>
              <w:top w:val="nil"/>
              <w:left w:val="nil"/>
              <w:bottom w:val="nil"/>
              <w:right w:val="nil"/>
            </w:tcBorders>
          </w:tcPr>
          <w:p w14:paraId="01E0B8F3" w14:textId="77777777" w:rsidR="00717A44" w:rsidRPr="00013DED" w:rsidRDefault="00717A44" w:rsidP="001C0097">
            <w:pPr>
              <w:jc w:val="center"/>
              <w:rPr>
                <w:rFonts w:ascii="Times" w:hAnsi="Times"/>
                <w:color w:val="000000"/>
                <w:sz w:val="20"/>
                <w:szCs w:val="20"/>
              </w:rPr>
            </w:pPr>
          </w:p>
        </w:tc>
        <w:tc>
          <w:tcPr>
            <w:tcW w:w="1135" w:type="dxa"/>
            <w:gridSpan w:val="2"/>
            <w:tcBorders>
              <w:top w:val="nil"/>
              <w:left w:val="nil"/>
              <w:bottom w:val="nil"/>
              <w:right w:val="nil"/>
            </w:tcBorders>
            <w:shd w:val="clear" w:color="auto" w:fill="auto"/>
            <w:vAlign w:val="center"/>
            <w:hideMark/>
          </w:tcPr>
          <w:p w14:paraId="252401F8" w14:textId="77777777" w:rsidR="00717A44" w:rsidRPr="004955AE" w:rsidRDefault="00717A44" w:rsidP="001C0097">
            <w:pPr>
              <w:jc w:val="center"/>
              <w:rPr>
                <w:rFonts w:ascii="Times" w:hAnsi="Times"/>
                <w:color w:val="000000"/>
                <w:sz w:val="20"/>
                <w:szCs w:val="20"/>
              </w:rPr>
            </w:pPr>
            <w:r w:rsidRPr="004955AE">
              <w:rPr>
                <w:rFonts w:ascii="Times" w:hAnsi="Times"/>
                <w:color w:val="000000"/>
                <w:sz w:val="20"/>
                <w:szCs w:val="20"/>
              </w:rPr>
              <w:t>FAA-3-50</w:t>
            </w:r>
          </w:p>
        </w:tc>
        <w:tc>
          <w:tcPr>
            <w:tcW w:w="236" w:type="dxa"/>
            <w:gridSpan w:val="2"/>
            <w:tcBorders>
              <w:top w:val="nil"/>
              <w:left w:val="nil"/>
              <w:bottom w:val="nil"/>
              <w:right w:val="nil"/>
            </w:tcBorders>
          </w:tcPr>
          <w:p w14:paraId="716C49B4" w14:textId="77777777" w:rsidR="00717A44" w:rsidRPr="00013DED" w:rsidRDefault="00717A44" w:rsidP="001C0097">
            <w:pPr>
              <w:jc w:val="center"/>
              <w:rPr>
                <w:rFonts w:ascii="Times" w:hAnsi="Times"/>
                <w:color w:val="000000"/>
                <w:sz w:val="20"/>
                <w:szCs w:val="20"/>
              </w:rPr>
            </w:pPr>
          </w:p>
        </w:tc>
        <w:tc>
          <w:tcPr>
            <w:tcW w:w="1399" w:type="dxa"/>
            <w:gridSpan w:val="3"/>
            <w:tcBorders>
              <w:top w:val="nil"/>
              <w:left w:val="nil"/>
              <w:bottom w:val="nil"/>
              <w:right w:val="nil"/>
            </w:tcBorders>
            <w:shd w:val="clear" w:color="auto" w:fill="auto"/>
            <w:vAlign w:val="center"/>
            <w:hideMark/>
          </w:tcPr>
          <w:p w14:paraId="62548197" w14:textId="77777777" w:rsidR="00717A44" w:rsidRPr="004955AE" w:rsidRDefault="00717A44" w:rsidP="001C0097">
            <w:pPr>
              <w:jc w:val="center"/>
              <w:rPr>
                <w:rFonts w:ascii="Times" w:hAnsi="Times"/>
                <w:color w:val="000000"/>
                <w:sz w:val="20"/>
                <w:szCs w:val="20"/>
              </w:rPr>
            </w:pPr>
            <w:r w:rsidRPr="004955AE">
              <w:rPr>
                <w:rFonts w:ascii="Times" w:hAnsi="Times"/>
                <w:color w:val="000000"/>
                <w:sz w:val="20"/>
                <w:szCs w:val="20"/>
              </w:rPr>
              <w:t>1.9</w:t>
            </w:r>
          </w:p>
        </w:tc>
        <w:tc>
          <w:tcPr>
            <w:tcW w:w="1081" w:type="dxa"/>
            <w:tcBorders>
              <w:top w:val="nil"/>
              <w:left w:val="nil"/>
              <w:bottom w:val="nil"/>
              <w:right w:val="nil"/>
            </w:tcBorders>
            <w:shd w:val="clear" w:color="auto" w:fill="auto"/>
            <w:vAlign w:val="center"/>
            <w:hideMark/>
          </w:tcPr>
          <w:p w14:paraId="5EFC59CA" w14:textId="67CD5198" w:rsidR="00717A44" w:rsidRPr="004955AE" w:rsidRDefault="00717A44" w:rsidP="001C0097">
            <w:pPr>
              <w:jc w:val="center"/>
              <w:rPr>
                <w:rFonts w:ascii="Times" w:hAnsi="Times"/>
                <w:color w:val="000000"/>
                <w:sz w:val="20"/>
                <w:szCs w:val="20"/>
              </w:rPr>
            </w:pPr>
            <w:r w:rsidRPr="00013DED">
              <w:rPr>
                <w:rFonts w:ascii="Times" w:hAnsi="Times"/>
                <w:color w:val="000000"/>
                <w:sz w:val="20"/>
                <w:szCs w:val="20"/>
              </w:rPr>
              <w:t>1</w:t>
            </w:r>
            <w:r w:rsidR="002957BF">
              <w:rPr>
                <w:rFonts w:ascii="Times" w:hAnsi="Times"/>
                <w:color w:val="000000"/>
                <w:sz w:val="20"/>
                <w:szCs w:val="20"/>
              </w:rPr>
              <w:t>.5</w:t>
            </w:r>
          </w:p>
        </w:tc>
        <w:tc>
          <w:tcPr>
            <w:tcW w:w="559" w:type="dxa"/>
            <w:tcBorders>
              <w:top w:val="nil"/>
              <w:left w:val="nil"/>
              <w:bottom w:val="nil"/>
              <w:right w:val="nil"/>
            </w:tcBorders>
            <w:shd w:val="clear" w:color="auto" w:fill="auto"/>
            <w:vAlign w:val="center"/>
            <w:hideMark/>
          </w:tcPr>
          <w:p w14:paraId="120D95B8" w14:textId="77777777" w:rsidR="00717A44" w:rsidRPr="004955AE" w:rsidRDefault="00717A44" w:rsidP="001C0097">
            <w:pPr>
              <w:jc w:val="center"/>
              <w:rPr>
                <w:rFonts w:ascii="Times" w:hAnsi="Times"/>
                <w:color w:val="000000"/>
                <w:sz w:val="20"/>
                <w:szCs w:val="20"/>
              </w:rPr>
            </w:pPr>
            <w:r w:rsidRPr="00013DED">
              <w:rPr>
                <w:rFonts w:ascii="Times" w:hAnsi="Times"/>
                <w:color w:val="000000"/>
                <w:sz w:val="20"/>
                <w:szCs w:val="20"/>
              </w:rPr>
              <w:t>60</w:t>
            </w:r>
          </w:p>
        </w:tc>
        <w:tc>
          <w:tcPr>
            <w:tcW w:w="1134" w:type="dxa"/>
            <w:tcBorders>
              <w:top w:val="nil"/>
              <w:left w:val="nil"/>
              <w:bottom w:val="nil"/>
              <w:right w:val="nil"/>
            </w:tcBorders>
            <w:vAlign w:val="center"/>
          </w:tcPr>
          <w:p w14:paraId="2E356692" w14:textId="77777777" w:rsidR="00717A44" w:rsidRPr="00013DED" w:rsidRDefault="00717A44" w:rsidP="001C0097">
            <w:pPr>
              <w:jc w:val="center"/>
              <w:rPr>
                <w:rFonts w:ascii="Times" w:hAnsi="Times"/>
                <w:color w:val="000000"/>
                <w:sz w:val="20"/>
                <w:szCs w:val="20"/>
              </w:rPr>
            </w:pPr>
            <w:r w:rsidRPr="00013DED">
              <w:rPr>
                <w:rFonts w:ascii="Times" w:hAnsi="Times"/>
                <w:color w:val="000000"/>
                <w:sz w:val="20"/>
                <w:szCs w:val="20"/>
              </w:rPr>
              <w:t>-</w:t>
            </w:r>
          </w:p>
        </w:tc>
        <w:tc>
          <w:tcPr>
            <w:tcW w:w="1083" w:type="dxa"/>
            <w:tcBorders>
              <w:top w:val="nil"/>
              <w:left w:val="nil"/>
              <w:bottom w:val="nil"/>
              <w:right w:val="nil"/>
            </w:tcBorders>
            <w:shd w:val="clear" w:color="auto" w:fill="auto"/>
            <w:vAlign w:val="center"/>
            <w:hideMark/>
          </w:tcPr>
          <w:p w14:paraId="51ACC7C1" w14:textId="77777777" w:rsidR="00717A44" w:rsidRPr="004955AE" w:rsidRDefault="00717A44" w:rsidP="001C0097">
            <w:pPr>
              <w:jc w:val="center"/>
              <w:rPr>
                <w:rFonts w:ascii="Times" w:hAnsi="Times"/>
                <w:color w:val="000000"/>
                <w:sz w:val="20"/>
                <w:szCs w:val="20"/>
              </w:rPr>
            </w:pPr>
            <w:r w:rsidRPr="004955AE">
              <w:rPr>
                <w:rFonts w:ascii="Times" w:hAnsi="Times"/>
                <w:color w:val="000000"/>
                <w:sz w:val="20"/>
                <w:szCs w:val="20"/>
              </w:rPr>
              <w:t>1</w:t>
            </w:r>
            <w:r w:rsidRPr="00013DED">
              <w:rPr>
                <w:rFonts w:ascii="Times" w:hAnsi="Times"/>
                <w:color w:val="000000"/>
                <w:sz w:val="20"/>
                <w:szCs w:val="20"/>
              </w:rPr>
              <w:t xml:space="preserve"> </w:t>
            </w:r>
            <w:r w:rsidRPr="004955AE">
              <w:rPr>
                <w:rFonts w:ascii="Times" w:hAnsi="Times"/>
                <w:color w:val="000000"/>
                <w:sz w:val="20"/>
                <w:szCs w:val="20"/>
              </w:rPr>
              <w:t>M KOH</w:t>
            </w:r>
          </w:p>
        </w:tc>
        <w:tc>
          <w:tcPr>
            <w:tcW w:w="1165" w:type="dxa"/>
            <w:tcBorders>
              <w:top w:val="nil"/>
              <w:left w:val="nil"/>
              <w:bottom w:val="nil"/>
              <w:right w:val="nil"/>
            </w:tcBorders>
            <w:shd w:val="clear" w:color="auto" w:fill="auto"/>
            <w:vAlign w:val="center"/>
            <w:hideMark/>
          </w:tcPr>
          <w:p w14:paraId="6C781359" w14:textId="6F50CE6C" w:rsidR="00717A44" w:rsidRPr="004955AE" w:rsidRDefault="00717A44" w:rsidP="001C0097">
            <w:pPr>
              <w:jc w:val="center"/>
              <w:rPr>
                <w:rFonts w:ascii="Times" w:hAnsi="Times"/>
                <w:color w:val="000000"/>
                <w:sz w:val="20"/>
                <w:szCs w:val="20"/>
              </w:rPr>
            </w:pPr>
            <w:r w:rsidRPr="004955AE">
              <w:rPr>
                <w:rFonts w:ascii="Times" w:hAnsi="Times"/>
                <w:color w:val="000000"/>
                <w:sz w:val="20"/>
                <w:szCs w:val="20"/>
              </w:rPr>
              <w:t>J.E Park</w:t>
            </w:r>
            <w:r w:rsidRPr="00013DED">
              <w:rPr>
                <w:rFonts w:ascii="Times" w:hAnsi="Times"/>
                <w:color w:val="000000"/>
                <w:sz w:val="20"/>
                <w:szCs w:val="20"/>
              </w:rPr>
              <w:t xml:space="preserve"> </w:t>
            </w:r>
            <w:r w:rsidRPr="00013DED">
              <w:rPr>
                <w:rFonts w:ascii="Times" w:hAnsi="Times"/>
                <w:sz w:val="20"/>
                <w:szCs w:val="20"/>
              </w:rPr>
              <w:fldChar w:fldCharType="begin" w:fldLock="1"/>
            </w:r>
            <w:r w:rsidR="00125386">
              <w:rPr>
                <w:rFonts w:ascii="Times" w:hAnsi="Times"/>
                <w:sz w:val="20"/>
                <w:szCs w:val="20"/>
              </w:rPr>
              <w:instrText>ADDIN CSL_CITATION {"citationItems":[{"id":"ITEM-1","itemData":{"DOI":"10.1016/j.electacta.2018.10.143","ISSN":"00134686","author":[{"dropping-particle":"","family":"Park","given":"Ji Eun","non-dropping-particle":"","parse-names":false,"suffix":""},{"dropping-particle":"","family":"Kang","given":"Sun Young","non-dropping-particle":"","parse-names":false,"suffix":""},{"dropping-particle":"","family":"Oh","given":"Seung-Hyeon","non-dropping-particle":"","parse-names":false,"suffix":""},{"dropping-particle":"","family":"Kim","given":"Jong Kwan","non-dropping-particle":"","parse-names":false,"suffix":""},{"dropping-particle":"","family":"Lim","given":"Myung Su","non-dropping-particle":"","parse-names":false,"suffix":""},{"dropping-particle":"","family":"Ahn","given":"Chi-Yeong","non-dropping-particle":"","parse-names":false,"suffix":""},{"dropping-particle":"","family":"Cho","given":"Yong-Hun","non-dropping-particle":"","parse-names":false,"suffix":""},{"dropping-particle":"","family":"Sung","given":"Yung-Eun","non-dropping-particle":"","parse-names":false,"suffix":""}],"container-title":"Electrochimica Acta","id":"ITEM-1","issued":{"date-parts":[["2019","2"]]},"page":"99-106","title":"High-performance anion-exchange membrane water electrolysis","type":"article-journal","volume":"295"},"uris":["http://www.mendeley.com/documents/?uuid=7f57de8f-3518-42fa-aca7-26b8fc99548d","http://www.mendeley.com/documents/?uuid=0889ad38-c729-41d8-a60e-9aef5d8b7992"]}],"mendeley":{"formattedCitation":"&lt;sup&gt;77&lt;/sup&gt;","plainTextFormattedCitation":"77","previouslyFormattedCitation":"&lt;sup&gt;76&lt;/sup&gt;"},"properties":{"noteIndex":0},"schema":"https://github.com/citation-style-language/schema/raw/master/csl-citation.json"}</w:instrText>
            </w:r>
            <w:r w:rsidRPr="00013DED">
              <w:rPr>
                <w:rFonts w:ascii="Times" w:hAnsi="Times"/>
                <w:sz w:val="20"/>
                <w:szCs w:val="20"/>
              </w:rPr>
              <w:fldChar w:fldCharType="separate"/>
            </w:r>
            <w:r w:rsidR="00125386" w:rsidRPr="00125386">
              <w:rPr>
                <w:rFonts w:ascii="Times" w:hAnsi="Times"/>
                <w:noProof/>
                <w:sz w:val="20"/>
                <w:szCs w:val="20"/>
                <w:vertAlign w:val="superscript"/>
              </w:rPr>
              <w:t>77</w:t>
            </w:r>
            <w:r w:rsidRPr="00013DED">
              <w:rPr>
                <w:rFonts w:ascii="Times" w:hAnsi="Times"/>
                <w:sz w:val="20"/>
                <w:szCs w:val="20"/>
              </w:rPr>
              <w:fldChar w:fldCharType="end"/>
            </w:r>
          </w:p>
        </w:tc>
      </w:tr>
      <w:tr w:rsidR="00717A44" w:rsidRPr="00013DED" w14:paraId="1E2D8A99" w14:textId="77777777" w:rsidTr="00013DED">
        <w:trPr>
          <w:gridAfter w:val="1"/>
          <w:wAfter w:w="11" w:type="dxa"/>
          <w:trHeight w:val="917"/>
        </w:trPr>
        <w:tc>
          <w:tcPr>
            <w:tcW w:w="1149" w:type="dxa"/>
            <w:tcBorders>
              <w:top w:val="nil"/>
              <w:left w:val="nil"/>
              <w:bottom w:val="nil"/>
              <w:right w:val="nil"/>
            </w:tcBorders>
            <w:shd w:val="clear" w:color="auto" w:fill="auto"/>
            <w:vAlign w:val="center"/>
            <w:hideMark/>
          </w:tcPr>
          <w:p w14:paraId="57773D1A" w14:textId="77777777" w:rsidR="00717A44" w:rsidRPr="004955AE" w:rsidRDefault="00717A44" w:rsidP="001C0097">
            <w:pPr>
              <w:jc w:val="center"/>
              <w:rPr>
                <w:rFonts w:ascii="Times" w:hAnsi="Times"/>
                <w:color w:val="000000"/>
                <w:sz w:val="20"/>
                <w:szCs w:val="20"/>
              </w:rPr>
            </w:pPr>
            <w:proofErr w:type="spellStart"/>
            <w:r w:rsidRPr="00013DED">
              <w:rPr>
                <w:rFonts w:ascii="Times" w:hAnsi="Times"/>
                <w:sz w:val="20"/>
                <w:szCs w:val="20"/>
              </w:rPr>
              <w:t>CuCoOx</w:t>
            </w:r>
            <w:proofErr w:type="spellEnd"/>
            <w:r w:rsidRPr="004955AE">
              <w:rPr>
                <w:rFonts w:ascii="Times" w:hAnsi="Times"/>
                <w:sz w:val="20"/>
                <w:szCs w:val="20"/>
              </w:rPr>
              <w:t xml:space="preserve"> </w:t>
            </w:r>
          </w:p>
        </w:tc>
        <w:tc>
          <w:tcPr>
            <w:tcW w:w="795" w:type="dxa"/>
            <w:tcBorders>
              <w:top w:val="nil"/>
              <w:left w:val="nil"/>
              <w:bottom w:val="nil"/>
              <w:right w:val="nil"/>
            </w:tcBorders>
            <w:shd w:val="clear" w:color="auto" w:fill="auto"/>
            <w:vAlign w:val="center"/>
            <w:hideMark/>
          </w:tcPr>
          <w:p w14:paraId="146FF699" w14:textId="44948557" w:rsidR="00717A44" w:rsidRPr="004955AE" w:rsidRDefault="00FC7195" w:rsidP="001C0097">
            <w:pPr>
              <w:jc w:val="center"/>
              <w:rPr>
                <w:rFonts w:ascii="Times" w:hAnsi="Times"/>
                <w:color w:val="000000"/>
                <w:sz w:val="20"/>
                <w:szCs w:val="20"/>
              </w:rPr>
            </w:pPr>
            <w:r w:rsidRPr="00013DED">
              <w:rPr>
                <w:rFonts w:ascii="Times" w:hAnsi="Times"/>
                <w:sz w:val="20"/>
                <w:szCs w:val="20"/>
              </w:rPr>
              <w:t>NF</w:t>
            </w:r>
          </w:p>
        </w:tc>
        <w:tc>
          <w:tcPr>
            <w:tcW w:w="1150" w:type="dxa"/>
            <w:tcBorders>
              <w:top w:val="nil"/>
              <w:left w:val="nil"/>
              <w:bottom w:val="nil"/>
              <w:right w:val="nil"/>
            </w:tcBorders>
            <w:shd w:val="clear" w:color="auto" w:fill="auto"/>
            <w:vAlign w:val="center"/>
            <w:hideMark/>
          </w:tcPr>
          <w:p w14:paraId="2654117E" w14:textId="77777777" w:rsidR="00717A44" w:rsidRPr="004955AE" w:rsidRDefault="00717A44" w:rsidP="001C0097">
            <w:pPr>
              <w:jc w:val="center"/>
              <w:rPr>
                <w:rFonts w:ascii="Times" w:hAnsi="Times"/>
                <w:color w:val="000000"/>
                <w:sz w:val="20"/>
                <w:szCs w:val="20"/>
              </w:rPr>
            </w:pPr>
            <w:r w:rsidRPr="004955AE">
              <w:rPr>
                <w:rFonts w:ascii="Times" w:hAnsi="Times"/>
                <w:sz w:val="20"/>
                <w:szCs w:val="20"/>
              </w:rPr>
              <w:t>23</w:t>
            </w:r>
          </w:p>
        </w:tc>
        <w:tc>
          <w:tcPr>
            <w:tcW w:w="237" w:type="dxa"/>
            <w:gridSpan w:val="2"/>
            <w:tcBorders>
              <w:top w:val="nil"/>
              <w:left w:val="nil"/>
              <w:bottom w:val="nil"/>
              <w:right w:val="nil"/>
            </w:tcBorders>
          </w:tcPr>
          <w:p w14:paraId="022FD450" w14:textId="77777777" w:rsidR="00717A44" w:rsidRPr="00013DED" w:rsidRDefault="00717A44" w:rsidP="001C0097">
            <w:pPr>
              <w:jc w:val="center"/>
              <w:rPr>
                <w:rFonts w:ascii="Times" w:hAnsi="Times"/>
                <w:sz w:val="20"/>
                <w:szCs w:val="20"/>
              </w:rPr>
            </w:pPr>
          </w:p>
        </w:tc>
        <w:tc>
          <w:tcPr>
            <w:tcW w:w="1066" w:type="dxa"/>
            <w:gridSpan w:val="2"/>
            <w:tcBorders>
              <w:top w:val="nil"/>
              <w:left w:val="nil"/>
              <w:bottom w:val="nil"/>
              <w:right w:val="nil"/>
            </w:tcBorders>
            <w:shd w:val="clear" w:color="auto" w:fill="auto"/>
            <w:vAlign w:val="center"/>
            <w:hideMark/>
          </w:tcPr>
          <w:p w14:paraId="7FF0A3C0" w14:textId="77777777" w:rsidR="00717A44" w:rsidRPr="004955AE" w:rsidRDefault="00717A44" w:rsidP="001C0097">
            <w:pPr>
              <w:jc w:val="center"/>
              <w:rPr>
                <w:rFonts w:ascii="Times" w:hAnsi="Times"/>
                <w:color w:val="000000"/>
                <w:sz w:val="20"/>
                <w:szCs w:val="20"/>
              </w:rPr>
            </w:pPr>
            <w:r w:rsidRPr="004955AE">
              <w:rPr>
                <w:rFonts w:ascii="Times" w:hAnsi="Times"/>
                <w:sz w:val="20"/>
                <w:szCs w:val="20"/>
              </w:rPr>
              <w:t>Pt/C</w:t>
            </w:r>
          </w:p>
        </w:tc>
        <w:tc>
          <w:tcPr>
            <w:tcW w:w="1049" w:type="dxa"/>
            <w:tcBorders>
              <w:top w:val="nil"/>
              <w:left w:val="nil"/>
              <w:bottom w:val="nil"/>
              <w:right w:val="nil"/>
            </w:tcBorders>
            <w:shd w:val="clear" w:color="auto" w:fill="auto"/>
            <w:vAlign w:val="center"/>
            <w:hideMark/>
          </w:tcPr>
          <w:p w14:paraId="4DC700C7" w14:textId="5D098BF1" w:rsidR="00717A44" w:rsidRPr="004955AE" w:rsidRDefault="00FC7195" w:rsidP="001C0097">
            <w:pPr>
              <w:jc w:val="center"/>
              <w:rPr>
                <w:rFonts w:ascii="Times" w:hAnsi="Times"/>
                <w:color w:val="000000"/>
                <w:sz w:val="20"/>
                <w:szCs w:val="20"/>
              </w:rPr>
            </w:pPr>
            <w:r w:rsidRPr="00013DED">
              <w:rPr>
                <w:rFonts w:ascii="Times" w:hAnsi="Times"/>
                <w:sz w:val="20"/>
                <w:szCs w:val="20"/>
              </w:rPr>
              <w:t>CC</w:t>
            </w:r>
          </w:p>
        </w:tc>
        <w:tc>
          <w:tcPr>
            <w:tcW w:w="1058" w:type="dxa"/>
            <w:tcBorders>
              <w:top w:val="nil"/>
              <w:left w:val="nil"/>
              <w:bottom w:val="nil"/>
              <w:right w:val="nil"/>
            </w:tcBorders>
            <w:shd w:val="clear" w:color="auto" w:fill="auto"/>
            <w:vAlign w:val="center"/>
            <w:hideMark/>
          </w:tcPr>
          <w:p w14:paraId="66759ECB" w14:textId="77777777" w:rsidR="00717A44" w:rsidRPr="004955AE" w:rsidRDefault="00717A44" w:rsidP="001C0097">
            <w:pPr>
              <w:jc w:val="center"/>
              <w:rPr>
                <w:rFonts w:ascii="Times" w:hAnsi="Times"/>
                <w:color w:val="000000"/>
                <w:sz w:val="20"/>
                <w:szCs w:val="20"/>
              </w:rPr>
            </w:pPr>
            <w:r w:rsidRPr="004955AE">
              <w:rPr>
                <w:rFonts w:ascii="Times" w:hAnsi="Times"/>
                <w:sz w:val="20"/>
                <w:szCs w:val="20"/>
              </w:rPr>
              <w:t>4</w:t>
            </w:r>
          </w:p>
        </w:tc>
        <w:tc>
          <w:tcPr>
            <w:tcW w:w="237" w:type="dxa"/>
            <w:gridSpan w:val="2"/>
            <w:tcBorders>
              <w:top w:val="nil"/>
              <w:left w:val="nil"/>
              <w:bottom w:val="nil"/>
              <w:right w:val="nil"/>
            </w:tcBorders>
          </w:tcPr>
          <w:p w14:paraId="4959BD0B" w14:textId="77777777" w:rsidR="00717A44" w:rsidRPr="00013DED" w:rsidRDefault="00717A44" w:rsidP="001C0097">
            <w:pPr>
              <w:jc w:val="center"/>
              <w:rPr>
                <w:rFonts w:ascii="Times" w:hAnsi="Times"/>
                <w:sz w:val="20"/>
                <w:szCs w:val="20"/>
              </w:rPr>
            </w:pPr>
          </w:p>
        </w:tc>
        <w:tc>
          <w:tcPr>
            <w:tcW w:w="1135" w:type="dxa"/>
            <w:gridSpan w:val="2"/>
            <w:tcBorders>
              <w:top w:val="nil"/>
              <w:left w:val="nil"/>
              <w:bottom w:val="nil"/>
              <w:right w:val="nil"/>
            </w:tcBorders>
            <w:shd w:val="clear" w:color="auto" w:fill="auto"/>
            <w:vAlign w:val="center"/>
            <w:hideMark/>
          </w:tcPr>
          <w:p w14:paraId="12B62D09" w14:textId="77777777" w:rsidR="00717A44" w:rsidRPr="004955AE" w:rsidRDefault="00717A44" w:rsidP="001C0097">
            <w:pPr>
              <w:jc w:val="center"/>
              <w:rPr>
                <w:rFonts w:ascii="Times" w:hAnsi="Times"/>
                <w:color w:val="000000"/>
                <w:sz w:val="20"/>
                <w:szCs w:val="20"/>
              </w:rPr>
            </w:pPr>
            <w:proofErr w:type="spellStart"/>
            <w:r w:rsidRPr="004955AE">
              <w:rPr>
                <w:rFonts w:ascii="Times" w:hAnsi="Times"/>
                <w:sz w:val="20"/>
                <w:szCs w:val="20"/>
              </w:rPr>
              <w:t>Sustainion</w:t>
            </w:r>
            <w:proofErr w:type="spellEnd"/>
          </w:p>
        </w:tc>
        <w:tc>
          <w:tcPr>
            <w:tcW w:w="236" w:type="dxa"/>
            <w:gridSpan w:val="2"/>
            <w:tcBorders>
              <w:top w:val="nil"/>
              <w:left w:val="nil"/>
              <w:bottom w:val="nil"/>
              <w:right w:val="nil"/>
            </w:tcBorders>
          </w:tcPr>
          <w:p w14:paraId="71EA642B" w14:textId="77777777" w:rsidR="00717A44" w:rsidRPr="00013DED" w:rsidRDefault="00717A44" w:rsidP="001C0097">
            <w:pPr>
              <w:jc w:val="center"/>
              <w:rPr>
                <w:rFonts w:ascii="Times" w:hAnsi="Times"/>
                <w:sz w:val="20"/>
                <w:szCs w:val="20"/>
              </w:rPr>
            </w:pPr>
          </w:p>
        </w:tc>
        <w:tc>
          <w:tcPr>
            <w:tcW w:w="1399" w:type="dxa"/>
            <w:gridSpan w:val="3"/>
            <w:tcBorders>
              <w:top w:val="nil"/>
              <w:left w:val="nil"/>
              <w:bottom w:val="nil"/>
              <w:right w:val="nil"/>
            </w:tcBorders>
            <w:shd w:val="clear" w:color="auto" w:fill="auto"/>
            <w:vAlign w:val="center"/>
            <w:hideMark/>
          </w:tcPr>
          <w:p w14:paraId="4811C4C6" w14:textId="77777777" w:rsidR="00717A44" w:rsidRPr="004955AE" w:rsidRDefault="00717A44" w:rsidP="001C0097">
            <w:pPr>
              <w:jc w:val="center"/>
              <w:rPr>
                <w:rFonts w:ascii="Times" w:hAnsi="Times"/>
                <w:color w:val="000000"/>
                <w:sz w:val="20"/>
                <w:szCs w:val="20"/>
              </w:rPr>
            </w:pPr>
            <w:r w:rsidRPr="004955AE">
              <w:rPr>
                <w:rFonts w:ascii="Times" w:hAnsi="Times"/>
                <w:sz w:val="20"/>
                <w:szCs w:val="20"/>
              </w:rPr>
              <w:t>1.9</w:t>
            </w:r>
          </w:p>
        </w:tc>
        <w:tc>
          <w:tcPr>
            <w:tcW w:w="1081" w:type="dxa"/>
            <w:tcBorders>
              <w:top w:val="nil"/>
              <w:left w:val="nil"/>
              <w:bottom w:val="nil"/>
              <w:right w:val="nil"/>
            </w:tcBorders>
            <w:shd w:val="clear" w:color="auto" w:fill="auto"/>
            <w:vAlign w:val="center"/>
            <w:hideMark/>
          </w:tcPr>
          <w:p w14:paraId="6CB6C335" w14:textId="030AC7B5" w:rsidR="00717A44" w:rsidRPr="004955AE" w:rsidRDefault="00717A44" w:rsidP="001C0097">
            <w:pPr>
              <w:jc w:val="center"/>
              <w:rPr>
                <w:rFonts w:ascii="Times" w:hAnsi="Times"/>
                <w:color w:val="000000"/>
                <w:sz w:val="20"/>
                <w:szCs w:val="20"/>
              </w:rPr>
            </w:pPr>
            <w:r w:rsidRPr="004955AE">
              <w:rPr>
                <w:rFonts w:ascii="Times" w:hAnsi="Times"/>
                <w:sz w:val="20"/>
                <w:szCs w:val="20"/>
              </w:rPr>
              <w:t>1</w:t>
            </w:r>
            <w:r w:rsidR="002957BF">
              <w:rPr>
                <w:rFonts w:ascii="Times" w:hAnsi="Times"/>
                <w:sz w:val="20"/>
                <w:szCs w:val="20"/>
              </w:rPr>
              <w:t>.4</w:t>
            </w:r>
          </w:p>
        </w:tc>
        <w:tc>
          <w:tcPr>
            <w:tcW w:w="559" w:type="dxa"/>
            <w:tcBorders>
              <w:top w:val="nil"/>
              <w:left w:val="nil"/>
              <w:bottom w:val="nil"/>
              <w:right w:val="nil"/>
            </w:tcBorders>
            <w:shd w:val="clear" w:color="auto" w:fill="auto"/>
            <w:vAlign w:val="center"/>
            <w:hideMark/>
          </w:tcPr>
          <w:p w14:paraId="3A6BBBF2" w14:textId="77777777" w:rsidR="00717A44" w:rsidRPr="004955AE" w:rsidRDefault="00717A44" w:rsidP="001C0097">
            <w:pPr>
              <w:jc w:val="center"/>
              <w:rPr>
                <w:rFonts w:ascii="Times" w:hAnsi="Times"/>
                <w:color w:val="000000"/>
                <w:sz w:val="20"/>
                <w:szCs w:val="20"/>
              </w:rPr>
            </w:pPr>
            <w:r w:rsidRPr="004955AE">
              <w:rPr>
                <w:rFonts w:ascii="Times" w:hAnsi="Times"/>
                <w:sz w:val="20"/>
                <w:szCs w:val="20"/>
              </w:rPr>
              <w:t>45</w:t>
            </w:r>
          </w:p>
        </w:tc>
        <w:tc>
          <w:tcPr>
            <w:tcW w:w="1134" w:type="dxa"/>
            <w:tcBorders>
              <w:top w:val="nil"/>
              <w:left w:val="nil"/>
              <w:bottom w:val="nil"/>
              <w:right w:val="nil"/>
            </w:tcBorders>
            <w:vAlign w:val="center"/>
          </w:tcPr>
          <w:p w14:paraId="5215F7C6" w14:textId="77777777" w:rsidR="00717A44" w:rsidRPr="00013DED" w:rsidRDefault="00717A44" w:rsidP="001C0097">
            <w:pPr>
              <w:jc w:val="center"/>
              <w:rPr>
                <w:rFonts w:ascii="Times" w:hAnsi="Times"/>
                <w:sz w:val="20"/>
                <w:szCs w:val="20"/>
              </w:rPr>
            </w:pPr>
            <w:r w:rsidRPr="00013DED">
              <w:rPr>
                <w:rFonts w:ascii="Times" w:hAnsi="Times"/>
                <w:sz w:val="20"/>
                <w:szCs w:val="20"/>
              </w:rPr>
              <w:t>12 @0.5 A.cm</w:t>
            </w:r>
            <w:r w:rsidRPr="00013DED">
              <w:rPr>
                <w:rFonts w:ascii="Times" w:hAnsi="Times"/>
                <w:sz w:val="20"/>
                <w:szCs w:val="20"/>
                <w:vertAlign w:val="superscript"/>
              </w:rPr>
              <w:t>-2</w:t>
            </w:r>
          </w:p>
        </w:tc>
        <w:tc>
          <w:tcPr>
            <w:tcW w:w="1083" w:type="dxa"/>
            <w:tcBorders>
              <w:top w:val="nil"/>
              <w:left w:val="nil"/>
              <w:bottom w:val="nil"/>
              <w:right w:val="nil"/>
            </w:tcBorders>
            <w:shd w:val="clear" w:color="auto" w:fill="auto"/>
            <w:vAlign w:val="center"/>
            <w:hideMark/>
          </w:tcPr>
          <w:p w14:paraId="2FCF3DFF" w14:textId="77777777" w:rsidR="00717A44" w:rsidRPr="004955AE" w:rsidRDefault="00717A44" w:rsidP="001C0097">
            <w:pPr>
              <w:jc w:val="center"/>
              <w:rPr>
                <w:rFonts w:ascii="Times" w:hAnsi="Times"/>
                <w:color w:val="000000"/>
                <w:sz w:val="20"/>
                <w:szCs w:val="20"/>
              </w:rPr>
            </w:pPr>
            <w:r w:rsidRPr="004955AE">
              <w:rPr>
                <w:rFonts w:ascii="Times" w:hAnsi="Times"/>
                <w:sz w:val="20"/>
                <w:szCs w:val="20"/>
              </w:rPr>
              <w:t>1 M KOH</w:t>
            </w:r>
          </w:p>
        </w:tc>
        <w:tc>
          <w:tcPr>
            <w:tcW w:w="1165" w:type="dxa"/>
            <w:tcBorders>
              <w:top w:val="nil"/>
              <w:left w:val="nil"/>
              <w:bottom w:val="nil"/>
              <w:right w:val="nil"/>
            </w:tcBorders>
            <w:shd w:val="clear" w:color="auto" w:fill="auto"/>
            <w:vAlign w:val="center"/>
            <w:hideMark/>
          </w:tcPr>
          <w:p w14:paraId="3C8A3C06" w14:textId="5553AF0E" w:rsidR="00717A44" w:rsidRPr="004955AE" w:rsidRDefault="00717A44" w:rsidP="001C0097">
            <w:pPr>
              <w:jc w:val="center"/>
              <w:rPr>
                <w:rFonts w:ascii="Times" w:hAnsi="Times"/>
                <w:color w:val="000000"/>
                <w:sz w:val="20"/>
                <w:szCs w:val="20"/>
              </w:rPr>
            </w:pPr>
            <w:r w:rsidRPr="004955AE">
              <w:rPr>
                <w:rFonts w:ascii="Times" w:hAnsi="Times"/>
                <w:sz w:val="20"/>
                <w:szCs w:val="20"/>
              </w:rPr>
              <w:t xml:space="preserve">Park et al. </w:t>
            </w:r>
            <w:r w:rsidRPr="00013DED">
              <w:rPr>
                <w:rFonts w:ascii="Times" w:hAnsi="Times"/>
                <w:sz w:val="20"/>
                <w:szCs w:val="20"/>
              </w:rPr>
              <w:fldChar w:fldCharType="begin" w:fldLock="1"/>
            </w:r>
            <w:r w:rsidR="00125386">
              <w:rPr>
                <w:rFonts w:ascii="Times" w:hAnsi="Times"/>
                <w:sz w:val="20"/>
                <w:szCs w:val="20"/>
              </w:rPr>
              <w:instrText>ADDIN CSL_CITATION {"citationItems":[{"id":"ITEM-1","itemData":{"DOI":"10.1021/acssuschemeng.9b06767","ISSN":"2168-0485","author":[{"dropping-particle":"","family":"Park","given":"Yoo Sei","non-dropping-particle":"","parse-names":false,"suffix":""},{"dropping-particle":"","family":"Jang","given":"Myeong Je","non-dropping-particle":"","parse-names":false,"suffix":""},{"dropping-particle":"","family":"Jeong","given":"Jaehoon","non-dropping-particle":"","parse-names":false,"suffix":""},{"dropping-particle":"","family":"Park","given":"Sung Min","non-dropping-particle":"","parse-names":false,"suffix":""},{"dropping-particle":"","family":"Wang","given":"Xiaolei","non-dropping-particle":"","parse-names":false,"suffix":""},{"dropping-particle":"","family":"Seo","given":"Min Ho","non-dropping-particle":"","parse-names":false,"suffix":""},{"dropping-particle":"","family":"Choi","given":"Sung Mook","non-dropping-particle":"","parse-names":false,"suffix":""},{"dropping-particle":"","family":"Yang","given":"Juchan","non-dropping-particle":"","parse-names":false,"suffix":""}],"container-title":"ACS Sustainable Chemistry &amp; Engineering","id":"ITEM-1","issued":{"date-parts":[["2020"]]},"title":"Hierarchical Chestnut-Burr Like Structure of Copper Cobalt Oxide Electrocatalyst Directly Grown on Ni Foam for Anion Exchange Membrane Water Electrolysis","type":"article-journal"},"uris":["http://www.mendeley.com/documents/?uuid=c8fe9c51-1bce-4a5a-a89d-f0af3a3324eb"]}],"mendeley":{"formattedCitation":"&lt;sup&gt;78&lt;/sup&gt;","plainTextFormattedCitation":"78","previouslyFormattedCitation":"&lt;sup&gt;77&lt;/sup&gt;"},"properties":{"noteIndex":0},"schema":"https://github.com/citation-style-language/schema/raw/master/csl-citation.json"}</w:instrText>
            </w:r>
            <w:r w:rsidRPr="00013DED">
              <w:rPr>
                <w:rFonts w:ascii="Times" w:hAnsi="Times"/>
                <w:sz w:val="20"/>
                <w:szCs w:val="20"/>
              </w:rPr>
              <w:fldChar w:fldCharType="separate"/>
            </w:r>
            <w:r w:rsidR="00125386" w:rsidRPr="00125386">
              <w:rPr>
                <w:rFonts w:ascii="Times" w:hAnsi="Times"/>
                <w:noProof/>
                <w:sz w:val="20"/>
                <w:szCs w:val="20"/>
                <w:vertAlign w:val="superscript"/>
              </w:rPr>
              <w:t>78</w:t>
            </w:r>
            <w:r w:rsidRPr="00013DED">
              <w:rPr>
                <w:rFonts w:ascii="Times" w:hAnsi="Times"/>
                <w:sz w:val="20"/>
                <w:szCs w:val="20"/>
              </w:rPr>
              <w:fldChar w:fldCharType="end"/>
            </w:r>
          </w:p>
        </w:tc>
      </w:tr>
      <w:tr w:rsidR="00717A44" w:rsidRPr="00013DED" w14:paraId="352EFBA5" w14:textId="77777777" w:rsidTr="00013DED">
        <w:trPr>
          <w:gridAfter w:val="1"/>
          <w:wAfter w:w="11" w:type="dxa"/>
          <w:trHeight w:val="692"/>
        </w:trPr>
        <w:tc>
          <w:tcPr>
            <w:tcW w:w="1149" w:type="dxa"/>
            <w:tcBorders>
              <w:top w:val="nil"/>
              <w:left w:val="nil"/>
              <w:bottom w:val="nil"/>
              <w:right w:val="nil"/>
            </w:tcBorders>
            <w:shd w:val="clear" w:color="auto" w:fill="auto"/>
            <w:vAlign w:val="center"/>
            <w:hideMark/>
          </w:tcPr>
          <w:p w14:paraId="542ACFF2" w14:textId="77777777" w:rsidR="00717A44" w:rsidRPr="004955AE" w:rsidRDefault="00717A44" w:rsidP="001C0097">
            <w:pPr>
              <w:jc w:val="center"/>
              <w:rPr>
                <w:rFonts w:ascii="Times" w:hAnsi="Times"/>
                <w:color w:val="000000"/>
                <w:sz w:val="20"/>
                <w:szCs w:val="20"/>
              </w:rPr>
            </w:pPr>
            <w:r w:rsidRPr="004955AE">
              <w:rPr>
                <w:rFonts w:ascii="Times" w:hAnsi="Times"/>
                <w:sz w:val="20"/>
                <w:szCs w:val="20"/>
              </w:rPr>
              <w:lastRenderedPageBreak/>
              <w:t>Fe-NiMo-NH</w:t>
            </w:r>
            <w:r w:rsidRPr="004955AE">
              <w:rPr>
                <w:rFonts w:ascii="Times" w:hAnsi="Times"/>
                <w:color w:val="000000"/>
                <w:sz w:val="20"/>
                <w:szCs w:val="20"/>
                <w:vertAlign w:val="subscript"/>
              </w:rPr>
              <w:t>2</w:t>
            </w:r>
            <w:r w:rsidRPr="004955AE">
              <w:rPr>
                <w:rFonts w:ascii="Times" w:hAnsi="Times"/>
                <w:color w:val="000000"/>
                <w:sz w:val="20"/>
                <w:szCs w:val="20"/>
              </w:rPr>
              <w:t>/H</w:t>
            </w:r>
            <w:r w:rsidRPr="004955AE">
              <w:rPr>
                <w:rFonts w:ascii="Times" w:hAnsi="Times"/>
                <w:color w:val="000000"/>
                <w:sz w:val="20"/>
                <w:szCs w:val="20"/>
                <w:vertAlign w:val="subscript"/>
              </w:rPr>
              <w:t>2</w:t>
            </w:r>
          </w:p>
        </w:tc>
        <w:tc>
          <w:tcPr>
            <w:tcW w:w="795" w:type="dxa"/>
            <w:tcBorders>
              <w:top w:val="nil"/>
              <w:left w:val="nil"/>
              <w:bottom w:val="nil"/>
              <w:right w:val="nil"/>
            </w:tcBorders>
            <w:shd w:val="clear" w:color="auto" w:fill="auto"/>
            <w:vAlign w:val="center"/>
            <w:hideMark/>
          </w:tcPr>
          <w:p w14:paraId="097851E1" w14:textId="77777777" w:rsidR="00717A44" w:rsidRPr="004955AE" w:rsidRDefault="00717A44" w:rsidP="001C0097">
            <w:pPr>
              <w:jc w:val="center"/>
              <w:rPr>
                <w:rFonts w:ascii="Times" w:hAnsi="Times"/>
                <w:color w:val="000000"/>
                <w:sz w:val="20"/>
                <w:szCs w:val="20"/>
              </w:rPr>
            </w:pPr>
            <w:r w:rsidRPr="00013DED">
              <w:rPr>
                <w:rFonts w:ascii="Times" w:hAnsi="Times"/>
                <w:sz w:val="20"/>
                <w:szCs w:val="20"/>
              </w:rPr>
              <w:t>Ni Foam</w:t>
            </w:r>
          </w:p>
        </w:tc>
        <w:tc>
          <w:tcPr>
            <w:tcW w:w="1150" w:type="dxa"/>
            <w:tcBorders>
              <w:top w:val="nil"/>
              <w:left w:val="nil"/>
              <w:bottom w:val="nil"/>
              <w:right w:val="nil"/>
            </w:tcBorders>
            <w:shd w:val="clear" w:color="auto" w:fill="auto"/>
            <w:vAlign w:val="center"/>
            <w:hideMark/>
          </w:tcPr>
          <w:p w14:paraId="67E9EBD8" w14:textId="77777777" w:rsidR="00717A44" w:rsidRPr="004955AE" w:rsidRDefault="00717A44" w:rsidP="001C0097">
            <w:pPr>
              <w:jc w:val="center"/>
              <w:rPr>
                <w:rFonts w:ascii="Times" w:hAnsi="Times"/>
                <w:color w:val="000000"/>
                <w:sz w:val="20"/>
                <w:szCs w:val="20"/>
              </w:rPr>
            </w:pPr>
            <w:r w:rsidRPr="004955AE">
              <w:rPr>
                <w:rFonts w:ascii="Times" w:hAnsi="Times"/>
                <w:sz w:val="20"/>
                <w:szCs w:val="20"/>
              </w:rPr>
              <w:t>3</w:t>
            </w:r>
          </w:p>
        </w:tc>
        <w:tc>
          <w:tcPr>
            <w:tcW w:w="237" w:type="dxa"/>
            <w:gridSpan w:val="2"/>
            <w:tcBorders>
              <w:top w:val="nil"/>
              <w:left w:val="nil"/>
              <w:bottom w:val="nil"/>
              <w:right w:val="nil"/>
            </w:tcBorders>
          </w:tcPr>
          <w:p w14:paraId="1409A5C6" w14:textId="77777777" w:rsidR="00717A44" w:rsidRPr="00013DED" w:rsidRDefault="00717A44" w:rsidP="001C0097">
            <w:pPr>
              <w:jc w:val="center"/>
              <w:rPr>
                <w:rFonts w:ascii="Times" w:hAnsi="Times"/>
                <w:sz w:val="20"/>
                <w:szCs w:val="20"/>
              </w:rPr>
            </w:pPr>
          </w:p>
        </w:tc>
        <w:tc>
          <w:tcPr>
            <w:tcW w:w="1066" w:type="dxa"/>
            <w:gridSpan w:val="2"/>
            <w:tcBorders>
              <w:top w:val="nil"/>
              <w:left w:val="nil"/>
              <w:bottom w:val="nil"/>
              <w:right w:val="nil"/>
            </w:tcBorders>
            <w:shd w:val="clear" w:color="auto" w:fill="auto"/>
            <w:vAlign w:val="center"/>
            <w:hideMark/>
          </w:tcPr>
          <w:p w14:paraId="51294A69" w14:textId="77777777" w:rsidR="00717A44" w:rsidRPr="004955AE" w:rsidRDefault="00717A44" w:rsidP="001C0097">
            <w:pPr>
              <w:jc w:val="center"/>
              <w:rPr>
                <w:rFonts w:ascii="Times" w:hAnsi="Times"/>
                <w:color w:val="000000"/>
                <w:sz w:val="20"/>
                <w:szCs w:val="20"/>
              </w:rPr>
            </w:pPr>
            <w:r w:rsidRPr="004955AE">
              <w:rPr>
                <w:rFonts w:ascii="Times" w:hAnsi="Times"/>
                <w:sz w:val="20"/>
                <w:szCs w:val="20"/>
              </w:rPr>
              <w:t>NiMo-NH</w:t>
            </w:r>
            <w:r w:rsidRPr="004955AE">
              <w:rPr>
                <w:rFonts w:ascii="Times" w:hAnsi="Times"/>
                <w:color w:val="000000"/>
                <w:sz w:val="20"/>
                <w:szCs w:val="20"/>
                <w:vertAlign w:val="subscript"/>
              </w:rPr>
              <w:t>3</w:t>
            </w:r>
            <w:r w:rsidRPr="004955AE">
              <w:rPr>
                <w:rFonts w:ascii="Times" w:hAnsi="Times"/>
                <w:color w:val="000000"/>
                <w:sz w:val="20"/>
                <w:szCs w:val="20"/>
              </w:rPr>
              <w:t>/H</w:t>
            </w:r>
            <w:r w:rsidRPr="004955AE">
              <w:rPr>
                <w:rFonts w:ascii="Times" w:hAnsi="Times"/>
                <w:color w:val="000000"/>
                <w:sz w:val="20"/>
                <w:szCs w:val="20"/>
                <w:vertAlign w:val="subscript"/>
              </w:rPr>
              <w:t>2</w:t>
            </w:r>
          </w:p>
        </w:tc>
        <w:tc>
          <w:tcPr>
            <w:tcW w:w="1049" w:type="dxa"/>
            <w:tcBorders>
              <w:top w:val="nil"/>
              <w:left w:val="nil"/>
              <w:bottom w:val="nil"/>
              <w:right w:val="nil"/>
            </w:tcBorders>
            <w:shd w:val="clear" w:color="auto" w:fill="auto"/>
            <w:vAlign w:val="center"/>
            <w:hideMark/>
          </w:tcPr>
          <w:p w14:paraId="381881CD" w14:textId="77777777" w:rsidR="00717A44" w:rsidRPr="004955AE" w:rsidRDefault="00717A44" w:rsidP="001C0097">
            <w:pPr>
              <w:jc w:val="center"/>
              <w:rPr>
                <w:rFonts w:ascii="Times" w:hAnsi="Times"/>
                <w:color w:val="000000"/>
                <w:sz w:val="20"/>
                <w:szCs w:val="20"/>
              </w:rPr>
            </w:pPr>
            <w:r w:rsidRPr="00013DED">
              <w:rPr>
                <w:rFonts w:ascii="Times" w:hAnsi="Times"/>
                <w:sz w:val="20"/>
                <w:szCs w:val="20"/>
              </w:rPr>
              <w:t>Ni Foam</w:t>
            </w:r>
          </w:p>
        </w:tc>
        <w:tc>
          <w:tcPr>
            <w:tcW w:w="1058" w:type="dxa"/>
            <w:tcBorders>
              <w:top w:val="nil"/>
              <w:left w:val="nil"/>
              <w:bottom w:val="nil"/>
              <w:right w:val="nil"/>
            </w:tcBorders>
            <w:shd w:val="clear" w:color="auto" w:fill="auto"/>
            <w:vAlign w:val="center"/>
            <w:hideMark/>
          </w:tcPr>
          <w:p w14:paraId="1F385F48" w14:textId="77777777" w:rsidR="00717A44" w:rsidRPr="004955AE" w:rsidRDefault="00717A44" w:rsidP="001C0097">
            <w:pPr>
              <w:jc w:val="center"/>
              <w:rPr>
                <w:rFonts w:ascii="Times" w:hAnsi="Times"/>
                <w:color w:val="000000"/>
                <w:sz w:val="20"/>
                <w:szCs w:val="20"/>
              </w:rPr>
            </w:pPr>
            <w:r w:rsidRPr="004955AE">
              <w:rPr>
                <w:rFonts w:ascii="Times" w:hAnsi="Times"/>
                <w:sz w:val="20"/>
                <w:szCs w:val="20"/>
              </w:rPr>
              <w:t>3</w:t>
            </w:r>
          </w:p>
        </w:tc>
        <w:tc>
          <w:tcPr>
            <w:tcW w:w="237" w:type="dxa"/>
            <w:gridSpan w:val="2"/>
            <w:tcBorders>
              <w:top w:val="nil"/>
              <w:left w:val="nil"/>
              <w:bottom w:val="nil"/>
              <w:right w:val="nil"/>
            </w:tcBorders>
          </w:tcPr>
          <w:p w14:paraId="50ABFD69" w14:textId="77777777" w:rsidR="00717A44" w:rsidRPr="00013DED" w:rsidRDefault="00717A44" w:rsidP="001C0097">
            <w:pPr>
              <w:jc w:val="center"/>
              <w:rPr>
                <w:rFonts w:ascii="Times" w:hAnsi="Times"/>
                <w:sz w:val="20"/>
                <w:szCs w:val="20"/>
              </w:rPr>
            </w:pPr>
          </w:p>
        </w:tc>
        <w:tc>
          <w:tcPr>
            <w:tcW w:w="1135" w:type="dxa"/>
            <w:gridSpan w:val="2"/>
            <w:tcBorders>
              <w:top w:val="nil"/>
              <w:left w:val="nil"/>
              <w:bottom w:val="nil"/>
              <w:right w:val="nil"/>
            </w:tcBorders>
            <w:shd w:val="clear" w:color="auto" w:fill="auto"/>
            <w:vAlign w:val="center"/>
            <w:hideMark/>
          </w:tcPr>
          <w:p w14:paraId="71257E15" w14:textId="77777777" w:rsidR="00717A44" w:rsidRPr="004955AE" w:rsidRDefault="00717A44" w:rsidP="001C0097">
            <w:pPr>
              <w:jc w:val="center"/>
              <w:rPr>
                <w:rFonts w:ascii="Times" w:hAnsi="Times"/>
                <w:color w:val="000000"/>
                <w:sz w:val="20"/>
                <w:szCs w:val="20"/>
              </w:rPr>
            </w:pPr>
            <w:proofErr w:type="spellStart"/>
            <w:r w:rsidRPr="004955AE">
              <w:rPr>
                <w:rFonts w:ascii="Times" w:hAnsi="Times"/>
                <w:sz w:val="20"/>
                <w:szCs w:val="20"/>
              </w:rPr>
              <w:t>Sustainion</w:t>
            </w:r>
            <w:proofErr w:type="spellEnd"/>
          </w:p>
        </w:tc>
        <w:tc>
          <w:tcPr>
            <w:tcW w:w="236" w:type="dxa"/>
            <w:gridSpan w:val="2"/>
            <w:tcBorders>
              <w:top w:val="nil"/>
              <w:left w:val="nil"/>
              <w:bottom w:val="nil"/>
              <w:right w:val="nil"/>
            </w:tcBorders>
          </w:tcPr>
          <w:p w14:paraId="4662DCC5" w14:textId="77777777" w:rsidR="00717A44" w:rsidRPr="00013DED" w:rsidRDefault="00717A44" w:rsidP="001C0097">
            <w:pPr>
              <w:jc w:val="center"/>
              <w:rPr>
                <w:rFonts w:ascii="Times" w:hAnsi="Times"/>
                <w:sz w:val="20"/>
                <w:szCs w:val="20"/>
              </w:rPr>
            </w:pPr>
          </w:p>
        </w:tc>
        <w:tc>
          <w:tcPr>
            <w:tcW w:w="1399" w:type="dxa"/>
            <w:gridSpan w:val="3"/>
            <w:tcBorders>
              <w:top w:val="nil"/>
              <w:left w:val="nil"/>
              <w:bottom w:val="nil"/>
              <w:right w:val="nil"/>
            </w:tcBorders>
            <w:shd w:val="clear" w:color="auto" w:fill="auto"/>
            <w:vAlign w:val="center"/>
            <w:hideMark/>
          </w:tcPr>
          <w:p w14:paraId="59BC5632" w14:textId="13F722F5" w:rsidR="00717A44" w:rsidRPr="004955AE" w:rsidRDefault="00717A44" w:rsidP="001C0097">
            <w:pPr>
              <w:jc w:val="center"/>
              <w:rPr>
                <w:rFonts w:ascii="Times" w:hAnsi="Times"/>
                <w:color w:val="000000"/>
                <w:sz w:val="20"/>
                <w:szCs w:val="20"/>
              </w:rPr>
            </w:pPr>
            <w:r w:rsidRPr="004955AE">
              <w:rPr>
                <w:rFonts w:ascii="Times" w:hAnsi="Times"/>
                <w:sz w:val="20"/>
                <w:szCs w:val="20"/>
              </w:rPr>
              <w:t>1.57</w:t>
            </w:r>
            <w:r w:rsidR="00721728">
              <w:rPr>
                <w:rFonts w:ascii="Times" w:hAnsi="Times"/>
                <w:sz w:val="20"/>
                <w:szCs w:val="20"/>
              </w:rPr>
              <w:t>*</w:t>
            </w:r>
          </w:p>
        </w:tc>
        <w:tc>
          <w:tcPr>
            <w:tcW w:w="1081" w:type="dxa"/>
            <w:tcBorders>
              <w:top w:val="nil"/>
              <w:left w:val="nil"/>
              <w:bottom w:val="nil"/>
              <w:right w:val="nil"/>
            </w:tcBorders>
            <w:shd w:val="clear" w:color="auto" w:fill="auto"/>
            <w:vAlign w:val="center"/>
            <w:hideMark/>
          </w:tcPr>
          <w:p w14:paraId="294393D5" w14:textId="33067059" w:rsidR="00717A44" w:rsidRPr="004955AE" w:rsidRDefault="00717A44" w:rsidP="001C0097">
            <w:pPr>
              <w:jc w:val="center"/>
              <w:rPr>
                <w:rFonts w:ascii="Times" w:hAnsi="Times"/>
                <w:color w:val="000000"/>
                <w:sz w:val="20"/>
                <w:szCs w:val="20"/>
              </w:rPr>
            </w:pPr>
            <w:r w:rsidRPr="004955AE">
              <w:rPr>
                <w:rFonts w:ascii="Times" w:hAnsi="Times"/>
                <w:sz w:val="20"/>
                <w:szCs w:val="20"/>
              </w:rPr>
              <w:t>1</w:t>
            </w:r>
          </w:p>
        </w:tc>
        <w:tc>
          <w:tcPr>
            <w:tcW w:w="559" w:type="dxa"/>
            <w:tcBorders>
              <w:top w:val="nil"/>
              <w:left w:val="nil"/>
              <w:bottom w:val="nil"/>
              <w:right w:val="nil"/>
            </w:tcBorders>
            <w:shd w:val="clear" w:color="auto" w:fill="auto"/>
            <w:vAlign w:val="center"/>
            <w:hideMark/>
          </w:tcPr>
          <w:p w14:paraId="208B19CA" w14:textId="77777777" w:rsidR="00717A44" w:rsidRPr="004955AE" w:rsidRDefault="00717A44" w:rsidP="001C0097">
            <w:pPr>
              <w:jc w:val="center"/>
              <w:rPr>
                <w:rFonts w:ascii="Times" w:hAnsi="Times"/>
                <w:color w:val="000000"/>
                <w:sz w:val="20"/>
                <w:szCs w:val="20"/>
              </w:rPr>
            </w:pPr>
            <w:r w:rsidRPr="004955AE">
              <w:rPr>
                <w:rFonts w:ascii="Times" w:hAnsi="Times"/>
                <w:sz w:val="20"/>
                <w:szCs w:val="20"/>
              </w:rPr>
              <w:t>80</w:t>
            </w:r>
          </w:p>
        </w:tc>
        <w:tc>
          <w:tcPr>
            <w:tcW w:w="1134" w:type="dxa"/>
            <w:tcBorders>
              <w:top w:val="nil"/>
              <w:left w:val="nil"/>
              <w:bottom w:val="nil"/>
              <w:right w:val="nil"/>
            </w:tcBorders>
            <w:vAlign w:val="center"/>
          </w:tcPr>
          <w:p w14:paraId="136911D5" w14:textId="77777777" w:rsidR="00717A44" w:rsidRPr="00013DED" w:rsidRDefault="00717A44" w:rsidP="001C0097">
            <w:pPr>
              <w:jc w:val="center"/>
              <w:rPr>
                <w:rFonts w:ascii="Times" w:hAnsi="Times"/>
                <w:sz w:val="20"/>
                <w:szCs w:val="20"/>
              </w:rPr>
            </w:pPr>
            <w:r w:rsidRPr="00013DED">
              <w:rPr>
                <w:rFonts w:ascii="Times" w:hAnsi="Times"/>
                <w:sz w:val="20"/>
                <w:szCs w:val="20"/>
              </w:rPr>
              <w:t>25 @ 0.5 A.cm</w:t>
            </w:r>
            <w:r w:rsidRPr="00013DED">
              <w:rPr>
                <w:rFonts w:ascii="Times" w:hAnsi="Times"/>
                <w:sz w:val="20"/>
                <w:szCs w:val="20"/>
                <w:vertAlign w:val="superscript"/>
              </w:rPr>
              <w:t>-2</w:t>
            </w:r>
          </w:p>
        </w:tc>
        <w:tc>
          <w:tcPr>
            <w:tcW w:w="1083" w:type="dxa"/>
            <w:tcBorders>
              <w:top w:val="nil"/>
              <w:left w:val="nil"/>
              <w:bottom w:val="nil"/>
              <w:right w:val="nil"/>
            </w:tcBorders>
            <w:shd w:val="clear" w:color="auto" w:fill="auto"/>
            <w:vAlign w:val="center"/>
            <w:hideMark/>
          </w:tcPr>
          <w:p w14:paraId="40DDDBBD" w14:textId="77777777" w:rsidR="00717A44" w:rsidRPr="004955AE" w:rsidRDefault="00717A44" w:rsidP="001C0097">
            <w:pPr>
              <w:jc w:val="center"/>
              <w:rPr>
                <w:rFonts w:ascii="Times" w:hAnsi="Times"/>
                <w:color w:val="000000"/>
                <w:sz w:val="20"/>
                <w:szCs w:val="20"/>
              </w:rPr>
            </w:pPr>
            <w:r w:rsidRPr="004955AE">
              <w:rPr>
                <w:rFonts w:ascii="Times" w:hAnsi="Times"/>
                <w:sz w:val="20"/>
                <w:szCs w:val="20"/>
              </w:rPr>
              <w:t>1 M KOH</w:t>
            </w:r>
          </w:p>
        </w:tc>
        <w:tc>
          <w:tcPr>
            <w:tcW w:w="1165" w:type="dxa"/>
            <w:tcBorders>
              <w:top w:val="nil"/>
              <w:left w:val="nil"/>
              <w:bottom w:val="nil"/>
              <w:right w:val="nil"/>
            </w:tcBorders>
            <w:shd w:val="clear" w:color="auto" w:fill="auto"/>
            <w:vAlign w:val="center"/>
            <w:hideMark/>
          </w:tcPr>
          <w:p w14:paraId="1A43C6D1" w14:textId="4E551227" w:rsidR="00717A44" w:rsidRPr="004955AE" w:rsidRDefault="00717A44" w:rsidP="001C0097">
            <w:pPr>
              <w:jc w:val="center"/>
              <w:rPr>
                <w:rFonts w:ascii="Times" w:hAnsi="Times"/>
                <w:color w:val="000000"/>
                <w:sz w:val="20"/>
                <w:szCs w:val="20"/>
              </w:rPr>
            </w:pPr>
            <w:r w:rsidRPr="004955AE">
              <w:rPr>
                <w:rFonts w:ascii="Times" w:hAnsi="Times"/>
                <w:sz w:val="20"/>
                <w:szCs w:val="20"/>
              </w:rPr>
              <w:t xml:space="preserve">Chen et al. </w:t>
            </w:r>
            <w:r w:rsidRPr="00013DED">
              <w:rPr>
                <w:rFonts w:ascii="Times" w:hAnsi="Times"/>
                <w:sz w:val="20"/>
                <w:szCs w:val="20"/>
              </w:rPr>
              <w:fldChar w:fldCharType="begin" w:fldLock="1"/>
            </w:r>
            <w:r w:rsidR="00125386">
              <w:rPr>
                <w:rFonts w:ascii="Times" w:hAnsi="Times"/>
                <w:sz w:val="20"/>
                <w:szCs w:val="20"/>
              </w:rPr>
              <w:instrText>ADDIN CSL_CITATION {"citationItems":[{"id":"ITEM-1","itemData":{"DOI":"10.1002/aenm.202002285","ISSN":"1614-6832","abstract":"Alkaline anion exchange membrane (AEM) water electrolysis is a promising technology for producing hydrogen using renewable energies. However, current AEM electrolyzers still employ noble-metal-containing electrocatalysts, or have significant overpotential loss, or both. Here non-noble-metal electrocatalysts for both the hydrogen and oxygen evolution reactions (HER and OER) are developed. Both catalysts are made of a same NiMo oxide. Judicious processing of these materials in a mixed NH3/H2 atmosphere results in a NiMo-NH3/H2 catalyst, which has superior activity in HER, delivering 500 mA cm−2 at an overpotential of 107 mV. Doping Fe ions into the NiMo-NH3/H2 catalyst yields an Fe-NiMo-NH3/H2 catalyst, which is highly active for the OER, delivering 500 mA cm−2 at an overpotential of 244 mV. These catalysts are integrated into an AEM electrolyzer, which delivers 1.0 A cm−2 at 1.57 V at 80 °C in 1 m KOH. The energy conversion efficiency at this current density is as high as 75%. This work demonstrates high-efficiency AEM electrolysis using earth-abundant catalytic materials.","author":[{"dropping-particle":"","family":"Chen","given":"Pengzuo","non-dropping-particle":"","parse-names":false,"suffix":""},{"dropping-particle":"","family":"Hu","given":"Xile","non-dropping-particle":"","parse-names":false,"suffix":""}],"container-title":"Advanced Energy Materials","id":"ITEM-1","issued":{"date-parts":[["2020","9"]]},"page":"2002285","title":"High</w:instrText>
            </w:r>
            <w:r w:rsidR="00125386">
              <w:rPr>
                <w:rFonts w:ascii="Cambria Math" w:hAnsi="Cambria Math" w:cs="Cambria Math"/>
                <w:sz w:val="20"/>
                <w:szCs w:val="20"/>
              </w:rPr>
              <w:instrText>‐</w:instrText>
            </w:r>
            <w:r w:rsidR="00125386">
              <w:rPr>
                <w:rFonts w:ascii="Times" w:hAnsi="Times"/>
                <w:sz w:val="20"/>
                <w:szCs w:val="20"/>
              </w:rPr>
              <w:instrText>Efficiency Anion Exchange Membrane Water Electrolysis Employing Non</w:instrText>
            </w:r>
            <w:r w:rsidR="00125386">
              <w:rPr>
                <w:rFonts w:ascii="Cambria Math" w:hAnsi="Cambria Math" w:cs="Cambria Math"/>
                <w:sz w:val="20"/>
                <w:szCs w:val="20"/>
              </w:rPr>
              <w:instrText>‐</w:instrText>
            </w:r>
            <w:r w:rsidR="00125386">
              <w:rPr>
                <w:rFonts w:ascii="Times" w:hAnsi="Times"/>
                <w:sz w:val="20"/>
                <w:szCs w:val="20"/>
              </w:rPr>
              <w:instrText>Noble Metal Catalysts","type":"article-journal","volume":"2002285"},"uris":["http://www.mendeley.com/documents/?uuid=72c09ef4-e01c-43f1-a287-7f9ea478ed12","http://www.mendeley.com/documents/?uuid=4c2fdf3b-c120-4b30-a90b-c3fc25b130d7"]}],"mendeley":{"formattedCitation":"&lt;sup&gt;79&lt;/sup&gt;","plainTextFormattedCitation":"79","previouslyFormattedCitation":"&lt;sup&gt;78&lt;/sup&gt;"},"properties":{"noteIndex":0},"schema":"https://github.com/citation-style-language/schema/raw/master/csl-citation.json"}</w:instrText>
            </w:r>
            <w:r w:rsidRPr="00013DED">
              <w:rPr>
                <w:rFonts w:ascii="Times" w:hAnsi="Times"/>
                <w:sz w:val="20"/>
                <w:szCs w:val="20"/>
              </w:rPr>
              <w:fldChar w:fldCharType="separate"/>
            </w:r>
            <w:r w:rsidR="00125386" w:rsidRPr="00125386">
              <w:rPr>
                <w:rFonts w:ascii="Times" w:hAnsi="Times"/>
                <w:noProof/>
                <w:sz w:val="20"/>
                <w:szCs w:val="20"/>
                <w:vertAlign w:val="superscript"/>
              </w:rPr>
              <w:t>79</w:t>
            </w:r>
            <w:r w:rsidRPr="00013DED">
              <w:rPr>
                <w:rFonts w:ascii="Times" w:hAnsi="Times"/>
                <w:sz w:val="20"/>
                <w:szCs w:val="20"/>
              </w:rPr>
              <w:fldChar w:fldCharType="end"/>
            </w:r>
          </w:p>
        </w:tc>
      </w:tr>
    </w:tbl>
    <w:p w14:paraId="71A8E380" w14:textId="4D503A59" w:rsidR="00F35D51" w:rsidRDefault="00F35D51" w:rsidP="00F35D51">
      <w:pPr>
        <w:tabs>
          <w:tab w:val="left" w:pos="0"/>
          <w:tab w:val="left" w:pos="90"/>
        </w:tabs>
        <w:spacing w:line="276" w:lineRule="auto"/>
        <w:ind w:left="-180"/>
        <w:rPr>
          <w:rFonts w:ascii="Times" w:hAnsi="Times"/>
          <w:sz w:val="20"/>
          <w:szCs w:val="20"/>
        </w:rPr>
        <w:sectPr w:rsidR="00F35D51" w:rsidSect="0025402A">
          <w:pgSz w:w="16840" w:h="11900" w:orient="landscape"/>
          <w:pgMar w:top="1440" w:right="1440" w:bottom="1440" w:left="1440" w:header="708" w:footer="708" w:gutter="0"/>
          <w:cols w:space="708"/>
          <w:docGrid w:linePitch="360"/>
        </w:sectPr>
      </w:pPr>
      <w:r w:rsidRPr="000B06A4">
        <w:rPr>
          <w:rFonts w:ascii="Times" w:hAnsi="Times"/>
          <w:sz w:val="20"/>
          <w:szCs w:val="20"/>
        </w:rPr>
        <w:br w:type="page"/>
      </w:r>
    </w:p>
    <w:p w14:paraId="772C9477" w14:textId="77777777" w:rsidR="00F35D51" w:rsidRPr="000B06A4" w:rsidRDefault="00F35D51" w:rsidP="00F35D51">
      <w:pPr>
        <w:spacing w:line="276" w:lineRule="auto"/>
        <w:rPr>
          <w:rFonts w:ascii="Times" w:hAnsi="Times"/>
          <w:sz w:val="20"/>
          <w:szCs w:val="20"/>
        </w:rPr>
      </w:pPr>
    </w:p>
    <w:p w14:paraId="044899E3" w14:textId="77777777" w:rsidR="00F35D51" w:rsidRDefault="00F35D51" w:rsidP="00F35D51">
      <w:pPr>
        <w:spacing w:line="480" w:lineRule="auto"/>
        <w:rPr>
          <w:rFonts w:ascii="Times" w:hAnsi="Times"/>
          <w:b/>
          <w:bCs/>
        </w:rPr>
      </w:pPr>
      <w:r w:rsidRPr="00EC726A">
        <w:rPr>
          <w:rFonts w:ascii="Times" w:hAnsi="Times"/>
          <w:b/>
          <w:bCs/>
        </w:rPr>
        <w:t xml:space="preserve">References </w:t>
      </w:r>
    </w:p>
    <w:p w14:paraId="0CAC16BC" w14:textId="7F0A77FD" w:rsidR="00125386" w:rsidRPr="00125386" w:rsidRDefault="00F35D51"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7CF8">
        <w:rPr>
          <w:rFonts w:ascii="Times New Roman" w:eastAsia="Arial Unicode MS" w:hAnsi="Times New Roman" w:cs="Times New Roman"/>
          <w:b/>
          <w:bCs/>
          <w:iCs/>
        </w:rPr>
        <w:fldChar w:fldCharType="begin" w:fldLock="1"/>
      </w:r>
      <w:r w:rsidRPr="00127CF8">
        <w:rPr>
          <w:rFonts w:ascii="Times New Roman" w:eastAsia="Arial Unicode MS" w:hAnsi="Times New Roman" w:cs="Times New Roman"/>
          <w:b/>
          <w:bCs/>
          <w:iCs/>
        </w:rPr>
        <w:instrText xml:space="preserve">ADDIN Mendeley Bibliography CSL_BIBLIOGRAPHY </w:instrText>
      </w:r>
      <w:r w:rsidRPr="00127CF8">
        <w:rPr>
          <w:rFonts w:ascii="Times New Roman" w:eastAsia="Arial Unicode MS" w:hAnsi="Times New Roman" w:cs="Times New Roman"/>
          <w:b/>
          <w:bCs/>
          <w:iCs/>
        </w:rPr>
        <w:fldChar w:fldCharType="separate"/>
      </w:r>
      <w:r w:rsidR="00125386" w:rsidRPr="00125386">
        <w:rPr>
          <w:rFonts w:ascii="Times New Roman" w:hAnsi="Times New Roman" w:cs="Times New Roman"/>
          <w:noProof/>
          <w:lang w:val="en-US"/>
        </w:rPr>
        <w:t>1</w:t>
      </w:r>
      <w:r w:rsidR="00125386" w:rsidRPr="00125386">
        <w:rPr>
          <w:rFonts w:ascii="Times New Roman" w:hAnsi="Times New Roman" w:cs="Times New Roman"/>
          <w:noProof/>
          <w:lang w:val="en-US"/>
        </w:rPr>
        <w:tab/>
        <w:t xml:space="preserve">S. Ghobrial, D. W. Kirk and S. J. Thorpe, Amorphous Ni-Nb-Y Alloys as Hydrogen Evolution Electrocatalysts, </w:t>
      </w:r>
      <w:r w:rsidR="00125386" w:rsidRPr="00125386">
        <w:rPr>
          <w:rFonts w:ascii="Times New Roman" w:hAnsi="Times New Roman" w:cs="Times New Roman"/>
          <w:i/>
          <w:iCs/>
          <w:noProof/>
          <w:lang w:val="en-US"/>
        </w:rPr>
        <w:t>Electrocatalysis</w:t>
      </w:r>
      <w:r w:rsidR="00125386" w:rsidRPr="00125386">
        <w:rPr>
          <w:rFonts w:ascii="Times New Roman" w:hAnsi="Times New Roman" w:cs="Times New Roman"/>
          <w:noProof/>
          <w:lang w:val="en-US"/>
        </w:rPr>
        <w:t xml:space="preserve">, 2019, </w:t>
      </w:r>
      <w:r w:rsidR="00125386" w:rsidRPr="00125386">
        <w:rPr>
          <w:rFonts w:ascii="Times New Roman" w:hAnsi="Times New Roman" w:cs="Times New Roman"/>
          <w:b/>
          <w:bCs/>
          <w:noProof/>
          <w:lang w:val="en-US"/>
        </w:rPr>
        <w:t>10</w:t>
      </w:r>
      <w:r w:rsidR="00125386" w:rsidRPr="00125386">
        <w:rPr>
          <w:rFonts w:ascii="Times New Roman" w:hAnsi="Times New Roman" w:cs="Times New Roman"/>
          <w:noProof/>
          <w:lang w:val="en-US"/>
        </w:rPr>
        <w:t>, 243–252.</w:t>
      </w:r>
    </w:p>
    <w:p w14:paraId="40F0ED0F"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2</w:t>
      </w:r>
      <w:r w:rsidRPr="00125386">
        <w:rPr>
          <w:rFonts w:ascii="Times New Roman" w:hAnsi="Times New Roman" w:cs="Times New Roman"/>
          <w:noProof/>
          <w:lang w:val="en-US"/>
        </w:rPr>
        <w:tab/>
        <w:t xml:space="preserve">M. S. El-eskandarany, Cyclic phase transformations of mechanically alloyed Co 75 Ti 25 powders, 2002, </w:t>
      </w:r>
      <w:r w:rsidRPr="00125386">
        <w:rPr>
          <w:rFonts w:ascii="Times New Roman" w:hAnsi="Times New Roman" w:cs="Times New Roman"/>
          <w:b/>
          <w:bCs/>
          <w:noProof/>
          <w:lang w:val="en-US"/>
        </w:rPr>
        <w:t>50</w:t>
      </w:r>
      <w:r w:rsidRPr="00125386">
        <w:rPr>
          <w:rFonts w:ascii="Times New Roman" w:hAnsi="Times New Roman" w:cs="Times New Roman"/>
          <w:noProof/>
          <w:lang w:val="en-US"/>
        </w:rPr>
        <w:t>, 1113–1123.</w:t>
      </w:r>
    </w:p>
    <w:p w14:paraId="75C32C37"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3</w:t>
      </w:r>
      <w:r w:rsidRPr="00125386">
        <w:rPr>
          <w:rFonts w:ascii="Times New Roman" w:hAnsi="Times New Roman" w:cs="Times New Roman"/>
          <w:noProof/>
          <w:lang w:val="en-US"/>
        </w:rPr>
        <w:tab/>
        <w:t xml:space="preserve">G. Fan, F. Guo, Z. Hu, M. Quan and K. Lu, Amorphization of selenium induced by high-energy ball milling, </w:t>
      </w:r>
      <w:r w:rsidRPr="00125386">
        <w:rPr>
          <w:rFonts w:ascii="Times New Roman" w:hAnsi="Times New Roman" w:cs="Times New Roman"/>
          <w:i/>
          <w:iCs/>
          <w:noProof/>
          <w:lang w:val="en-US"/>
        </w:rPr>
        <w:t>Phys. Rev. B - Condens. Matter Mater. Phys.</w:t>
      </w:r>
      <w:r w:rsidRPr="00125386">
        <w:rPr>
          <w:rFonts w:ascii="Times New Roman" w:hAnsi="Times New Roman" w:cs="Times New Roman"/>
          <w:noProof/>
          <w:lang w:val="en-US"/>
        </w:rPr>
        <w:t xml:space="preserve">, 1997, </w:t>
      </w:r>
      <w:r w:rsidRPr="00125386">
        <w:rPr>
          <w:rFonts w:ascii="Times New Roman" w:hAnsi="Times New Roman" w:cs="Times New Roman"/>
          <w:b/>
          <w:bCs/>
          <w:noProof/>
          <w:lang w:val="en-US"/>
        </w:rPr>
        <w:t>55</w:t>
      </w:r>
      <w:r w:rsidRPr="00125386">
        <w:rPr>
          <w:rFonts w:ascii="Times New Roman" w:hAnsi="Times New Roman" w:cs="Times New Roman"/>
          <w:noProof/>
          <w:lang w:val="en-US"/>
        </w:rPr>
        <w:t>, 11010–11013.</w:t>
      </w:r>
    </w:p>
    <w:p w14:paraId="5B843D07"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4</w:t>
      </w:r>
      <w:r w:rsidRPr="00125386">
        <w:rPr>
          <w:rFonts w:ascii="Times New Roman" w:hAnsi="Times New Roman" w:cs="Times New Roman"/>
          <w:noProof/>
          <w:lang w:val="en-US"/>
        </w:rPr>
        <w:tab/>
        <w:t xml:space="preserve">C. Suryanarayana, </w:t>
      </w:r>
      <w:r w:rsidRPr="00125386">
        <w:rPr>
          <w:rFonts w:ascii="Times New Roman" w:hAnsi="Times New Roman" w:cs="Times New Roman"/>
          <w:i/>
          <w:iCs/>
          <w:noProof/>
          <w:lang w:val="en-US"/>
        </w:rPr>
        <w:t>Mechanical Alloying And Milling</w:t>
      </w:r>
      <w:r w:rsidRPr="00125386">
        <w:rPr>
          <w:rFonts w:ascii="Times New Roman" w:hAnsi="Times New Roman" w:cs="Times New Roman"/>
          <w:noProof/>
          <w:lang w:val="en-US"/>
        </w:rPr>
        <w:t>, CRC Press, 2004, illustrate., 2004.</w:t>
      </w:r>
    </w:p>
    <w:p w14:paraId="7B2629E7"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5</w:t>
      </w:r>
      <w:r w:rsidRPr="00125386">
        <w:rPr>
          <w:rFonts w:ascii="Times New Roman" w:hAnsi="Times New Roman" w:cs="Times New Roman"/>
          <w:noProof/>
          <w:lang w:val="en-US"/>
        </w:rPr>
        <w:tab/>
        <w:t xml:space="preserve">K. M. Cole, D. W. Kirk and S. J. Thorpe, In Situ Raman Study of Amorphous and Crystalline Ni-Co Alloys for the Alkaline Oxygen Evolution Reaction, </w:t>
      </w:r>
      <w:r w:rsidRPr="00125386">
        <w:rPr>
          <w:rFonts w:ascii="Times New Roman" w:hAnsi="Times New Roman" w:cs="Times New Roman"/>
          <w:i/>
          <w:iCs/>
          <w:noProof/>
          <w:lang w:val="en-US"/>
        </w:rPr>
        <w:t>J. Electrochem. Soc.</w:t>
      </w:r>
      <w:r w:rsidRPr="00125386">
        <w:rPr>
          <w:rFonts w:ascii="Times New Roman" w:hAnsi="Times New Roman" w:cs="Times New Roman"/>
          <w:noProof/>
          <w:lang w:val="en-US"/>
        </w:rPr>
        <w:t xml:space="preserve">, 2018, </w:t>
      </w:r>
      <w:r w:rsidRPr="00125386">
        <w:rPr>
          <w:rFonts w:ascii="Times New Roman" w:hAnsi="Times New Roman" w:cs="Times New Roman"/>
          <w:b/>
          <w:bCs/>
          <w:noProof/>
          <w:lang w:val="en-US"/>
        </w:rPr>
        <w:t>165</w:t>
      </w:r>
      <w:r w:rsidRPr="00125386">
        <w:rPr>
          <w:rFonts w:ascii="Times New Roman" w:hAnsi="Times New Roman" w:cs="Times New Roman"/>
          <w:noProof/>
          <w:lang w:val="en-US"/>
        </w:rPr>
        <w:t>, J3122–J3129.</w:t>
      </w:r>
    </w:p>
    <w:p w14:paraId="0222867F"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6</w:t>
      </w:r>
      <w:r w:rsidRPr="00125386">
        <w:rPr>
          <w:rFonts w:ascii="Times New Roman" w:hAnsi="Times New Roman" w:cs="Times New Roman"/>
          <w:noProof/>
          <w:lang w:val="en-US"/>
        </w:rPr>
        <w:tab/>
        <w:t xml:space="preserve">B. Zhang, X. Zheng, O. Voznyy, R. Comin, M. Bajdich, F. P. G. De Arquer, C. T. Dinh, F. Fan, M. Yuan, A. Janmohamed, H. L. Xin and H. Yang, Homogeneously dispersed, multimetal oxygen-evolving catalysts, </w:t>
      </w:r>
      <w:r w:rsidRPr="00125386">
        <w:rPr>
          <w:rFonts w:ascii="Times New Roman" w:hAnsi="Times New Roman" w:cs="Times New Roman"/>
          <w:i/>
          <w:iCs/>
          <w:noProof/>
          <w:lang w:val="en-US"/>
        </w:rPr>
        <w:t>Science</w:t>
      </w:r>
      <w:r w:rsidRPr="00125386">
        <w:rPr>
          <w:rFonts w:ascii="Times New Roman" w:hAnsi="Times New Roman" w:cs="Times New Roman"/>
          <w:noProof/>
          <w:lang w:val="en-US"/>
        </w:rPr>
        <w:t xml:space="preserve">, 2016, </w:t>
      </w:r>
      <w:r w:rsidRPr="00125386">
        <w:rPr>
          <w:rFonts w:ascii="Times New Roman" w:hAnsi="Times New Roman" w:cs="Times New Roman"/>
          <w:b/>
          <w:bCs/>
          <w:noProof/>
          <w:lang w:val="en-US"/>
        </w:rPr>
        <w:t>352</w:t>
      </w:r>
      <w:r w:rsidRPr="00125386">
        <w:rPr>
          <w:rFonts w:ascii="Times New Roman" w:hAnsi="Times New Roman" w:cs="Times New Roman"/>
          <w:noProof/>
          <w:lang w:val="en-US"/>
        </w:rPr>
        <w:t>, 333–338.</w:t>
      </w:r>
    </w:p>
    <w:p w14:paraId="018E681E"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7</w:t>
      </w:r>
      <w:r w:rsidRPr="00125386">
        <w:rPr>
          <w:rFonts w:ascii="Times New Roman" w:hAnsi="Times New Roman" w:cs="Times New Roman"/>
          <w:noProof/>
          <w:lang w:val="en-US"/>
        </w:rPr>
        <w:tab/>
        <w:t xml:space="preserve">S. Klaus, Y. Cai, M. W. Louie, L. Trotochaud and A. T. Bell, Effects of Fe electrolyte impurities on Ni(OH)2/NiOOH structure and oxygen evolution activity, </w:t>
      </w:r>
      <w:r w:rsidRPr="00125386">
        <w:rPr>
          <w:rFonts w:ascii="Times New Roman" w:hAnsi="Times New Roman" w:cs="Times New Roman"/>
          <w:i/>
          <w:iCs/>
          <w:noProof/>
          <w:lang w:val="en-US"/>
        </w:rPr>
        <w:t>J. Phys. Chem. C</w:t>
      </w:r>
      <w:r w:rsidRPr="00125386">
        <w:rPr>
          <w:rFonts w:ascii="Times New Roman" w:hAnsi="Times New Roman" w:cs="Times New Roman"/>
          <w:noProof/>
          <w:lang w:val="en-US"/>
        </w:rPr>
        <w:t xml:space="preserve">, 2015, </w:t>
      </w:r>
      <w:r w:rsidRPr="00125386">
        <w:rPr>
          <w:rFonts w:ascii="Times New Roman" w:hAnsi="Times New Roman" w:cs="Times New Roman"/>
          <w:b/>
          <w:bCs/>
          <w:noProof/>
          <w:lang w:val="en-US"/>
        </w:rPr>
        <w:t>119</w:t>
      </w:r>
      <w:r w:rsidRPr="00125386">
        <w:rPr>
          <w:rFonts w:ascii="Times New Roman" w:hAnsi="Times New Roman" w:cs="Times New Roman"/>
          <w:noProof/>
          <w:lang w:val="en-US"/>
        </w:rPr>
        <w:t>, 7243–7254.</w:t>
      </w:r>
    </w:p>
    <w:p w14:paraId="4F3D004C"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8</w:t>
      </w:r>
      <w:r w:rsidRPr="00125386">
        <w:rPr>
          <w:rFonts w:ascii="Times New Roman" w:hAnsi="Times New Roman" w:cs="Times New Roman"/>
          <w:noProof/>
          <w:lang w:val="en-US"/>
        </w:rPr>
        <w:tab/>
        <w:t xml:space="preserve">A. C. Garcia and M. T. M. Koper, Effect of Saturating the Electrolyte with Oxygen on the Activity for the Oxygen Evolution Reaction, </w:t>
      </w:r>
      <w:r w:rsidRPr="00125386">
        <w:rPr>
          <w:rFonts w:ascii="Times New Roman" w:hAnsi="Times New Roman" w:cs="Times New Roman"/>
          <w:i/>
          <w:iCs/>
          <w:noProof/>
          <w:lang w:val="en-US"/>
        </w:rPr>
        <w:t>ACS Catal.</w:t>
      </w:r>
      <w:r w:rsidRPr="00125386">
        <w:rPr>
          <w:rFonts w:ascii="Times New Roman" w:hAnsi="Times New Roman" w:cs="Times New Roman"/>
          <w:noProof/>
          <w:lang w:val="en-US"/>
        </w:rPr>
        <w:t xml:space="preserve">, 2018, </w:t>
      </w:r>
      <w:r w:rsidRPr="00125386">
        <w:rPr>
          <w:rFonts w:ascii="Times New Roman" w:hAnsi="Times New Roman" w:cs="Times New Roman"/>
          <w:b/>
          <w:bCs/>
          <w:noProof/>
          <w:lang w:val="en-US"/>
        </w:rPr>
        <w:t>8</w:t>
      </w:r>
      <w:r w:rsidRPr="00125386">
        <w:rPr>
          <w:rFonts w:ascii="Times New Roman" w:hAnsi="Times New Roman" w:cs="Times New Roman"/>
          <w:noProof/>
          <w:lang w:val="en-US"/>
        </w:rPr>
        <w:t>, 9359–9363.</w:t>
      </w:r>
    </w:p>
    <w:p w14:paraId="72413353"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9</w:t>
      </w:r>
      <w:r w:rsidRPr="00125386">
        <w:rPr>
          <w:rFonts w:ascii="Times New Roman" w:hAnsi="Times New Roman" w:cs="Times New Roman"/>
          <w:noProof/>
          <w:lang w:val="en-US"/>
        </w:rPr>
        <w:tab/>
        <w:t xml:space="preserve">G. Li, L. Anderson, Y. Chen, M. Pan and P.-Y. Abel Chuang, New insights into evaluating catalyst activity and stability for oxygen evolution reactions in alkaline media, </w:t>
      </w:r>
      <w:r w:rsidRPr="00125386">
        <w:rPr>
          <w:rFonts w:ascii="Times New Roman" w:hAnsi="Times New Roman" w:cs="Times New Roman"/>
          <w:i/>
          <w:iCs/>
          <w:noProof/>
          <w:lang w:val="en-US"/>
        </w:rPr>
        <w:t>Sustain. Energy Fuels</w:t>
      </w:r>
      <w:r w:rsidRPr="00125386">
        <w:rPr>
          <w:rFonts w:ascii="Times New Roman" w:hAnsi="Times New Roman" w:cs="Times New Roman"/>
          <w:noProof/>
          <w:lang w:val="en-US"/>
        </w:rPr>
        <w:t xml:space="preserve">, 2018, </w:t>
      </w:r>
      <w:r w:rsidRPr="00125386">
        <w:rPr>
          <w:rFonts w:ascii="Times New Roman" w:hAnsi="Times New Roman" w:cs="Times New Roman"/>
          <w:b/>
          <w:bCs/>
          <w:noProof/>
          <w:lang w:val="en-US"/>
        </w:rPr>
        <w:t>2</w:t>
      </w:r>
      <w:r w:rsidRPr="00125386">
        <w:rPr>
          <w:rFonts w:ascii="Times New Roman" w:hAnsi="Times New Roman" w:cs="Times New Roman"/>
          <w:noProof/>
          <w:lang w:val="en-US"/>
        </w:rPr>
        <w:t>, 237–251.</w:t>
      </w:r>
    </w:p>
    <w:p w14:paraId="4A5AEE70"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10</w:t>
      </w:r>
      <w:r w:rsidRPr="00125386">
        <w:rPr>
          <w:rFonts w:ascii="Times New Roman" w:hAnsi="Times New Roman" w:cs="Times New Roman"/>
          <w:noProof/>
          <w:lang w:val="en-US"/>
        </w:rPr>
        <w:tab/>
        <w:t>H. Zhang, J. Zheng, Y. Chao, K. Zhang and Z. Zhu, Surface engineering of FeCo-based electrocatalysts non-noble metals for water oxidation †, 2018, 7254–7261.</w:t>
      </w:r>
    </w:p>
    <w:p w14:paraId="1D7A1F1F"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11</w:t>
      </w:r>
      <w:r w:rsidRPr="00125386">
        <w:rPr>
          <w:rFonts w:ascii="Times New Roman" w:hAnsi="Times New Roman" w:cs="Times New Roman"/>
          <w:noProof/>
          <w:lang w:val="en-US"/>
        </w:rPr>
        <w:tab/>
        <w:t xml:space="preserve">B. Ravel and M. Newville, ATHENA, ARTEMIS, HEPHAESTUS: Data analysis for X-ray absorption spectroscopy using IFEFFIT, </w:t>
      </w:r>
      <w:r w:rsidRPr="00125386">
        <w:rPr>
          <w:rFonts w:ascii="Times New Roman" w:hAnsi="Times New Roman" w:cs="Times New Roman"/>
          <w:i/>
          <w:iCs/>
          <w:noProof/>
          <w:lang w:val="en-US"/>
        </w:rPr>
        <w:t>J. Synchrotron Radiat.</w:t>
      </w:r>
      <w:r w:rsidRPr="00125386">
        <w:rPr>
          <w:rFonts w:ascii="Times New Roman" w:hAnsi="Times New Roman" w:cs="Times New Roman"/>
          <w:noProof/>
          <w:lang w:val="en-US"/>
        </w:rPr>
        <w:t xml:space="preserve">, 2005, </w:t>
      </w:r>
      <w:r w:rsidRPr="00125386">
        <w:rPr>
          <w:rFonts w:ascii="Times New Roman" w:hAnsi="Times New Roman" w:cs="Times New Roman"/>
          <w:b/>
          <w:bCs/>
          <w:noProof/>
          <w:lang w:val="en-US"/>
        </w:rPr>
        <w:t>12</w:t>
      </w:r>
      <w:r w:rsidRPr="00125386">
        <w:rPr>
          <w:rFonts w:ascii="Times New Roman" w:hAnsi="Times New Roman" w:cs="Times New Roman"/>
          <w:noProof/>
          <w:lang w:val="en-US"/>
        </w:rPr>
        <w:t>, 537–541.</w:t>
      </w:r>
    </w:p>
    <w:p w14:paraId="7108B955"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12</w:t>
      </w:r>
      <w:r w:rsidRPr="00125386">
        <w:rPr>
          <w:rFonts w:ascii="Times New Roman" w:hAnsi="Times New Roman" w:cs="Times New Roman"/>
          <w:noProof/>
          <w:lang w:val="en-US"/>
        </w:rPr>
        <w:tab/>
        <w:t xml:space="preserve">J. P. Perdew, K. Burke and M. Ernzerhof, Generalized gradient approximation made simple, </w:t>
      </w:r>
      <w:r w:rsidRPr="00125386">
        <w:rPr>
          <w:rFonts w:ascii="Times New Roman" w:hAnsi="Times New Roman" w:cs="Times New Roman"/>
          <w:i/>
          <w:iCs/>
          <w:noProof/>
          <w:lang w:val="en-US"/>
        </w:rPr>
        <w:t>Phys. Rev. Lett.</w:t>
      </w:r>
      <w:r w:rsidRPr="00125386">
        <w:rPr>
          <w:rFonts w:ascii="Times New Roman" w:hAnsi="Times New Roman" w:cs="Times New Roman"/>
          <w:noProof/>
          <w:lang w:val="en-US"/>
        </w:rPr>
        <w:t xml:space="preserve">, 1996, </w:t>
      </w:r>
      <w:r w:rsidRPr="00125386">
        <w:rPr>
          <w:rFonts w:ascii="Times New Roman" w:hAnsi="Times New Roman" w:cs="Times New Roman"/>
          <w:b/>
          <w:bCs/>
          <w:noProof/>
          <w:lang w:val="en-US"/>
        </w:rPr>
        <w:t>77</w:t>
      </w:r>
      <w:r w:rsidRPr="00125386">
        <w:rPr>
          <w:rFonts w:ascii="Times New Roman" w:hAnsi="Times New Roman" w:cs="Times New Roman"/>
          <w:noProof/>
          <w:lang w:val="en-US"/>
        </w:rPr>
        <w:t>, 3865–3868.</w:t>
      </w:r>
    </w:p>
    <w:p w14:paraId="76BAE03F"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13</w:t>
      </w:r>
      <w:r w:rsidRPr="00125386">
        <w:rPr>
          <w:rFonts w:ascii="Times New Roman" w:hAnsi="Times New Roman" w:cs="Times New Roman"/>
          <w:noProof/>
          <w:lang w:val="en-US"/>
        </w:rPr>
        <w:tab/>
        <w:t xml:space="preserve">S. Grimme, J. Antony, S. Ehrlich and H. Krieg, A consistent and accurate ab initio parametrization of density functional dispersion correction (DFT-D) for the 94 </w:t>
      </w:r>
      <w:r w:rsidRPr="00125386">
        <w:rPr>
          <w:rFonts w:ascii="Times New Roman" w:hAnsi="Times New Roman" w:cs="Times New Roman"/>
          <w:noProof/>
          <w:lang w:val="en-US"/>
        </w:rPr>
        <w:lastRenderedPageBreak/>
        <w:t xml:space="preserve">elements H-Pu, </w:t>
      </w:r>
      <w:r w:rsidRPr="00125386">
        <w:rPr>
          <w:rFonts w:ascii="Times New Roman" w:hAnsi="Times New Roman" w:cs="Times New Roman"/>
          <w:i/>
          <w:iCs/>
          <w:noProof/>
          <w:lang w:val="en-US"/>
        </w:rPr>
        <w:t>J. Chem. Phys.</w:t>
      </w:r>
      <w:r w:rsidRPr="00125386">
        <w:rPr>
          <w:rFonts w:ascii="Times New Roman" w:hAnsi="Times New Roman" w:cs="Times New Roman"/>
          <w:noProof/>
          <w:lang w:val="en-US"/>
        </w:rPr>
        <w:t>, , DOI:10.1063/1.3382344.</w:t>
      </w:r>
    </w:p>
    <w:p w14:paraId="7A39C027"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14</w:t>
      </w:r>
      <w:r w:rsidRPr="00125386">
        <w:rPr>
          <w:rFonts w:ascii="Times New Roman" w:hAnsi="Times New Roman" w:cs="Times New Roman"/>
          <w:noProof/>
          <w:lang w:val="en-US"/>
        </w:rPr>
        <w:tab/>
        <w:t xml:space="preserve">S. Grimme, Semiempirical GGA-type density functional constructed with a long-range dispersion correction, </w:t>
      </w:r>
      <w:r w:rsidRPr="00125386">
        <w:rPr>
          <w:rFonts w:ascii="Times New Roman" w:hAnsi="Times New Roman" w:cs="Times New Roman"/>
          <w:i/>
          <w:iCs/>
          <w:noProof/>
          <w:lang w:val="en-US"/>
        </w:rPr>
        <w:t>J. Comput. Chem.</w:t>
      </w:r>
      <w:r w:rsidRPr="00125386">
        <w:rPr>
          <w:rFonts w:ascii="Times New Roman" w:hAnsi="Times New Roman" w:cs="Times New Roman"/>
          <w:noProof/>
          <w:lang w:val="en-US"/>
        </w:rPr>
        <w:t xml:space="preserve">, 2006, </w:t>
      </w:r>
      <w:r w:rsidRPr="00125386">
        <w:rPr>
          <w:rFonts w:ascii="Times New Roman" w:hAnsi="Times New Roman" w:cs="Times New Roman"/>
          <w:b/>
          <w:bCs/>
          <w:noProof/>
          <w:lang w:val="en-US"/>
        </w:rPr>
        <w:t>27</w:t>
      </w:r>
      <w:r w:rsidRPr="00125386">
        <w:rPr>
          <w:rFonts w:ascii="Times New Roman" w:hAnsi="Times New Roman" w:cs="Times New Roman"/>
          <w:noProof/>
          <w:lang w:val="en-US"/>
        </w:rPr>
        <w:t>, 1787–1799.</w:t>
      </w:r>
    </w:p>
    <w:p w14:paraId="148D8E55"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15</w:t>
      </w:r>
      <w:r w:rsidRPr="00125386">
        <w:rPr>
          <w:rFonts w:ascii="Times New Roman" w:hAnsi="Times New Roman" w:cs="Times New Roman"/>
          <w:noProof/>
          <w:lang w:val="en-US"/>
        </w:rPr>
        <w:tab/>
        <w:t xml:space="preserve">N. Troullier and J. L. Martins, Efficient pseudopotentials for plane-wave calculations, </w:t>
      </w:r>
      <w:r w:rsidRPr="00125386">
        <w:rPr>
          <w:rFonts w:ascii="Times New Roman" w:hAnsi="Times New Roman" w:cs="Times New Roman"/>
          <w:i/>
          <w:iCs/>
          <w:noProof/>
          <w:lang w:val="en-US"/>
        </w:rPr>
        <w:t>Phys. Rev. B</w:t>
      </w:r>
      <w:r w:rsidRPr="00125386">
        <w:rPr>
          <w:rFonts w:ascii="Times New Roman" w:hAnsi="Times New Roman" w:cs="Times New Roman"/>
          <w:noProof/>
          <w:lang w:val="en-US"/>
        </w:rPr>
        <w:t xml:space="preserve">, 1991, </w:t>
      </w:r>
      <w:r w:rsidRPr="00125386">
        <w:rPr>
          <w:rFonts w:ascii="Times New Roman" w:hAnsi="Times New Roman" w:cs="Times New Roman"/>
          <w:b/>
          <w:bCs/>
          <w:noProof/>
          <w:lang w:val="en-US"/>
        </w:rPr>
        <w:t>43</w:t>
      </w:r>
      <w:r w:rsidRPr="00125386">
        <w:rPr>
          <w:rFonts w:ascii="Times New Roman" w:hAnsi="Times New Roman" w:cs="Times New Roman"/>
          <w:noProof/>
          <w:lang w:val="en-US"/>
        </w:rPr>
        <w:t>, 1993–2006.</w:t>
      </w:r>
    </w:p>
    <w:p w14:paraId="159A1797"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16</w:t>
      </w:r>
      <w:r w:rsidRPr="00125386">
        <w:rPr>
          <w:rFonts w:ascii="Times New Roman" w:hAnsi="Times New Roman" w:cs="Times New Roman"/>
          <w:noProof/>
          <w:lang w:val="en-US"/>
        </w:rPr>
        <w:tab/>
        <w:t xml:space="preserve">P. Giannozzi, S. Baroni, N. Bonini, M. Calandra, R. Car, C. Cavazzoni, D. Ceresoli, G. L. Chiarotti, M. Cococcioni, I. Dabo, A. Dal Corso, S. De Gironcoli, S. Fabris, G. Fratesi, R. Gebauer, U. Gerstmann, C. Gougoussis, A. Kokalj, M. Lazzeri, L. Martin-Samos, N. Marzari, F. Mauri, R. Mazzarello, S. Paolini, A. Pasquarello, L. Paulatto, C. Sbraccia, S. Scandolo, G. Sclauzero, A. P. Seitsonen, A. Smogunov, P. Umari and R. M. Wentzcovitch, QUANTUM ESPRESSO: A modular and open-source software project for quantum simulations of materials, </w:t>
      </w:r>
      <w:r w:rsidRPr="00125386">
        <w:rPr>
          <w:rFonts w:ascii="Times New Roman" w:hAnsi="Times New Roman" w:cs="Times New Roman"/>
          <w:i/>
          <w:iCs/>
          <w:noProof/>
          <w:lang w:val="en-US"/>
        </w:rPr>
        <w:t>J. Phys. Condens. Matter</w:t>
      </w:r>
      <w:r w:rsidRPr="00125386">
        <w:rPr>
          <w:rFonts w:ascii="Times New Roman" w:hAnsi="Times New Roman" w:cs="Times New Roman"/>
          <w:noProof/>
          <w:lang w:val="en-US"/>
        </w:rPr>
        <w:t>, , DOI:10.1088/0953-8984/21/39/395502.</w:t>
      </w:r>
    </w:p>
    <w:p w14:paraId="5387C4FC"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17</w:t>
      </w:r>
      <w:r w:rsidRPr="00125386">
        <w:rPr>
          <w:rFonts w:ascii="Times New Roman" w:hAnsi="Times New Roman" w:cs="Times New Roman"/>
          <w:noProof/>
          <w:lang w:val="en-US"/>
        </w:rPr>
        <w:tab/>
        <w:t xml:space="preserve">C. M. Gabardo, C. P. O’Brien, J. P. Edwards, C. McCallum, Y. Xu, C. T. Dinh, J. Li, E. H. Sargent and D. Sinton, Continuous Carbon Dioxide Electroreduction to Concentrated Multi-carbon Products Using a Membrane Electrode Assembly, </w:t>
      </w:r>
      <w:r w:rsidRPr="00125386">
        <w:rPr>
          <w:rFonts w:ascii="Times New Roman" w:hAnsi="Times New Roman" w:cs="Times New Roman"/>
          <w:i/>
          <w:iCs/>
          <w:noProof/>
          <w:lang w:val="en-US"/>
        </w:rPr>
        <w:t>Joule</w:t>
      </w:r>
      <w:r w:rsidRPr="00125386">
        <w:rPr>
          <w:rFonts w:ascii="Times New Roman" w:hAnsi="Times New Roman" w:cs="Times New Roman"/>
          <w:noProof/>
          <w:lang w:val="en-US"/>
        </w:rPr>
        <w:t xml:space="preserve">, 2019, </w:t>
      </w:r>
      <w:r w:rsidRPr="00125386">
        <w:rPr>
          <w:rFonts w:ascii="Times New Roman" w:hAnsi="Times New Roman" w:cs="Times New Roman"/>
          <w:b/>
          <w:bCs/>
          <w:noProof/>
          <w:lang w:val="en-US"/>
        </w:rPr>
        <w:t>3</w:t>
      </w:r>
      <w:r w:rsidRPr="00125386">
        <w:rPr>
          <w:rFonts w:ascii="Times New Roman" w:hAnsi="Times New Roman" w:cs="Times New Roman"/>
          <w:noProof/>
          <w:lang w:val="en-US"/>
        </w:rPr>
        <w:t>, 2777–2791.</w:t>
      </w:r>
    </w:p>
    <w:p w14:paraId="1A9CDC2E"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18</w:t>
      </w:r>
      <w:r w:rsidRPr="00125386">
        <w:rPr>
          <w:rFonts w:ascii="Times New Roman" w:hAnsi="Times New Roman" w:cs="Times New Roman"/>
          <w:noProof/>
          <w:lang w:val="en-US"/>
        </w:rPr>
        <w:tab/>
        <w:t xml:space="preserve">F. Yu, H. Zhou, Y. Huang, J. Sun, F. Qin, J. Bao, W. A. Goddard, S. Chen and Z. Ren, High-performance bifunctional porous non-noble metal phosphide catalyst for overall water splitting, </w:t>
      </w:r>
      <w:r w:rsidRPr="00125386">
        <w:rPr>
          <w:rFonts w:ascii="Times New Roman" w:hAnsi="Times New Roman" w:cs="Times New Roman"/>
          <w:i/>
          <w:iCs/>
          <w:noProof/>
          <w:lang w:val="en-US"/>
        </w:rPr>
        <w:t>Nat. Commun.</w:t>
      </w:r>
      <w:r w:rsidRPr="00125386">
        <w:rPr>
          <w:rFonts w:ascii="Times New Roman" w:hAnsi="Times New Roman" w:cs="Times New Roman"/>
          <w:noProof/>
          <w:lang w:val="en-US"/>
        </w:rPr>
        <w:t xml:space="preserve">, 2018, </w:t>
      </w:r>
      <w:r w:rsidRPr="00125386">
        <w:rPr>
          <w:rFonts w:ascii="Times New Roman" w:hAnsi="Times New Roman" w:cs="Times New Roman"/>
          <w:b/>
          <w:bCs/>
          <w:noProof/>
          <w:lang w:val="en-US"/>
        </w:rPr>
        <w:t>9</w:t>
      </w:r>
      <w:r w:rsidRPr="00125386">
        <w:rPr>
          <w:rFonts w:ascii="Times New Roman" w:hAnsi="Times New Roman" w:cs="Times New Roman"/>
          <w:noProof/>
          <w:lang w:val="en-US"/>
        </w:rPr>
        <w:t>, 1–9.</w:t>
      </w:r>
    </w:p>
    <w:p w14:paraId="0EB78204"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19</w:t>
      </w:r>
      <w:r w:rsidRPr="00125386">
        <w:rPr>
          <w:rFonts w:ascii="Times New Roman" w:hAnsi="Times New Roman" w:cs="Times New Roman"/>
          <w:noProof/>
          <w:lang w:val="en-US"/>
        </w:rPr>
        <w:tab/>
        <w:t xml:space="preserve">H. Zhou, F. Yu, Q. Zhu, J. Sun, F. Qin, L. Yu, J. Bao, Y. Yu, S. Chen and Z. Ren, Water splitting by electrolysis at high current densities under 1.6 volts, </w:t>
      </w:r>
      <w:r w:rsidRPr="00125386">
        <w:rPr>
          <w:rFonts w:ascii="Times New Roman" w:hAnsi="Times New Roman" w:cs="Times New Roman"/>
          <w:i/>
          <w:iCs/>
          <w:noProof/>
          <w:lang w:val="en-US"/>
        </w:rPr>
        <w:t>Energy Environ. Sci.</w:t>
      </w:r>
      <w:r w:rsidRPr="00125386">
        <w:rPr>
          <w:rFonts w:ascii="Times New Roman" w:hAnsi="Times New Roman" w:cs="Times New Roman"/>
          <w:noProof/>
          <w:lang w:val="en-US"/>
        </w:rPr>
        <w:t xml:space="preserve">, 2018, </w:t>
      </w:r>
      <w:r w:rsidRPr="00125386">
        <w:rPr>
          <w:rFonts w:ascii="Times New Roman" w:hAnsi="Times New Roman" w:cs="Times New Roman"/>
          <w:b/>
          <w:bCs/>
          <w:noProof/>
          <w:lang w:val="en-US"/>
        </w:rPr>
        <w:t>11</w:t>
      </w:r>
      <w:r w:rsidRPr="00125386">
        <w:rPr>
          <w:rFonts w:ascii="Times New Roman" w:hAnsi="Times New Roman" w:cs="Times New Roman"/>
          <w:noProof/>
          <w:lang w:val="en-US"/>
        </w:rPr>
        <w:t>, 2858–2864.</w:t>
      </w:r>
    </w:p>
    <w:p w14:paraId="31039ADC"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20</w:t>
      </w:r>
      <w:r w:rsidRPr="00125386">
        <w:rPr>
          <w:rFonts w:ascii="Times New Roman" w:hAnsi="Times New Roman" w:cs="Times New Roman"/>
          <w:noProof/>
          <w:lang w:val="en-US"/>
        </w:rPr>
        <w:tab/>
        <w:t xml:space="preserve">P. Zhang, L. Li, D. Nordlund, H. Chen, L. Fan, B. Zhang, X. Sheng, Q. Daniel and L. Sun, Dendritic core-shell nickel-iron-copper metal/metal oxide electrode for efficient electrocatalytic water oxidation, </w:t>
      </w:r>
      <w:r w:rsidRPr="00125386">
        <w:rPr>
          <w:rFonts w:ascii="Times New Roman" w:hAnsi="Times New Roman" w:cs="Times New Roman"/>
          <w:i/>
          <w:iCs/>
          <w:noProof/>
          <w:lang w:val="en-US"/>
        </w:rPr>
        <w:t>Nat. Commun.</w:t>
      </w:r>
      <w:r w:rsidRPr="00125386">
        <w:rPr>
          <w:rFonts w:ascii="Times New Roman" w:hAnsi="Times New Roman" w:cs="Times New Roman"/>
          <w:noProof/>
          <w:lang w:val="en-US"/>
        </w:rPr>
        <w:t xml:space="preserve">, 2018, </w:t>
      </w:r>
      <w:r w:rsidRPr="00125386">
        <w:rPr>
          <w:rFonts w:ascii="Times New Roman" w:hAnsi="Times New Roman" w:cs="Times New Roman"/>
          <w:b/>
          <w:bCs/>
          <w:noProof/>
          <w:lang w:val="en-US"/>
        </w:rPr>
        <w:t>9</w:t>
      </w:r>
      <w:r w:rsidRPr="00125386">
        <w:rPr>
          <w:rFonts w:ascii="Times New Roman" w:hAnsi="Times New Roman" w:cs="Times New Roman"/>
          <w:noProof/>
          <w:lang w:val="en-US"/>
        </w:rPr>
        <w:t>, 1–10.</w:t>
      </w:r>
    </w:p>
    <w:p w14:paraId="7258C7BB"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21</w:t>
      </w:r>
      <w:r w:rsidRPr="00125386">
        <w:rPr>
          <w:rFonts w:ascii="Times New Roman" w:hAnsi="Times New Roman" w:cs="Times New Roman"/>
          <w:noProof/>
          <w:lang w:val="en-US"/>
        </w:rPr>
        <w:tab/>
        <w:t xml:space="preserve">W. Zhou, X. J. Wu, X. Cao, X. Huang, C. Tan, J. Tian, H. Liu, J. Wang and H. Zhang, Ni3S2 nanorods/Ni foam composite electrode with low overpotential for electrocatalytic oxygen evolution, </w:t>
      </w:r>
      <w:r w:rsidRPr="00125386">
        <w:rPr>
          <w:rFonts w:ascii="Times New Roman" w:hAnsi="Times New Roman" w:cs="Times New Roman"/>
          <w:i/>
          <w:iCs/>
          <w:noProof/>
          <w:lang w:val="en-US"/>
        </w:rPr>
        <w:t>Energy Environ. Sci.</w:t>
      </w:r>
      <w:r w:rsidRPr="00125386">
        <w:rPr>
          <w:rFonts w:ascii="Times New Roman" w:hAnsi="Times New Roman" w:cs="Times New Roman"/>
          <w:noProof/>
          <w:lang w:val="en-US"/>
        </w:rPr>
        <w:t xml:space="preserve">, 2013, </w:t>
      </w:r>
      <w:r w:rsidRPr="00125386">
        <w:rPr>
          <w:rFonts w:ascii="Times New Roman" w:hAnsi="Times New Roman" w:cs="Times New Roman"/>
          <w:b/>
          <w:bCs/>
          <w:noProof/>
          <w:lang w:val="en-US"/>
        </w:rPr>
        <w:t>6</w:t>
      </w:r>
      <w:r w:rsidRPr="00125386">
        <w:rPr>
          <w:rFonts w:ascii="Times New Roman" w:hAnsi="Times New Roman" w:cs="Times New Roman"/>
          <w:noProof/>
          <w:lang w:val="en-US"/>
        </w:rPr>
        <w:t>, 2921–2924.</w:t>
      </w:r>
    </w:p>
    <w:p w14:paraId="52F33AA8"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22</w:t>
      </w:r>
      <w:r w:rsidRPr="00125386">
        <w:rPr>
          <w:rFonts w:ascii="Times New Roman" w:hAnsi="Times New Roman" w:cs="Times New Roman"/>
          <w:noProof/>
          <w:lang w:val="en-US"/>
        </w:rPr>
        <w:tab/>
        <w:t xml:space="preserve">D. Wu, Y. Wei, X. Ren, X. Ji, Y. Liu, X. Guo, Z. Liu, A. M. Asiri, Q. Wei and X. Sun, Co(OH)2 Nanoparticle-Encapsulating Conductive Nanowires Array: Room-Temperature Electrochemical Preparation for High-Performance Water Oxidation Electrocatalysis, </w:t>
      </w:r>
      <w:r w:rsidRPr="00125386">
        <w:rPr>
          <w:rFonts w:ascii="Times New Roman" w:hAnsi="Times New Roman" w:cs="Times New Roman"/>
          <w:i/>
          <w:iCs/>
          <w:noProof/>
          <w:lang w:val="en-US"/>
        </w:rPr>
        <w:t>Adv. Mater.</w:t>
      </w:r>
      <w:r w:rsidRPr="00125386">
        <w:rPr>
          <w:rFonts w:ascii="Times New Roman" w:hAnsi="Times New Roman" w:cs="Times New Roman"/>
          <w:noProof/>
          <w:lang w:val="en-US"/>
        </w:rPr>
        <w:t xml:space="preserve">, 2018, </w:t>
      </w:r>
      <w:r w:rsidRPr="00125386">
        <w:rPr>
          <w:rFonts w:ascii="Times New Roman" w:hAnsi="Times New Roman" w:cs="Times New Roman"/>
          <w:b/>
          <w:bCs/>
          <w:noProof/>
          <w:lang w:val="en-US"/>
        </w:rPr>
        <w:t>30</w:t>
      </w:r>
      <w:r w:rsidRPr="00125386">
        <w:rPr>
          <w:rFonts w:ascii="Times New Roman" w:hAnsi="Times New Roman" w:cs="Times New Roman"/>
          <w:noProof/>
          <w:lang w:val="en-US"/>
        </w:rPr>
        <w:t>, 1–7.</w:t>
      </w:r>
    </w:p>
    <w:p w14:paraId="581E2442"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23</w:t>
      </w:r>
      <w:r w:rsidRPr="00125386">
        <w:rPr>
          <w:rFonts w:ascii="Times New Roman" w:hAnsi="Times New Roman" w:cs="Times New Roman"/>
          <w:noProof/>
          <w:lang w:val="en-US"/>
        </w:rPr>
        <w:tab/>
        <w:t xml:space="preserve">X. Lu and C. Zhao, Electrodeposition of hierarchically structured three-dimensional </w:t>
      </w:r>
      <w:r w:rsidRPr="00125386">
        <w:rPr>
          <w:rFonts w:ascii="Times New Roman" w:hAnsi="Times New Roman" w:cs="Times New Roman"/>
          <w:noProof/>
          <w:lang w:val="en-US"/>
        </w:rPr>
        <w:lastRenderedPageBreak/>
        <w:t xml:space="preserve">nickel–iron electrodes for efficient oxygen evolution at high current densities, </w:t>
      </w:r>
      <w:r w:rsidRPr="00125386">
        <w:rPr>
          <w:rFonts w:ascii="Times New Roman" w:hAnsi="Times New Roman" w:cs="Times New Roman"/>
          <w:i/>
          <w:iCs/>
          <w:noProof/>
          <w:lang w:val="en-US"/>
        </w:rPr>
        <w:t>Nat. Communiations</w:t>
      </w:r>
      <w:r w:rsidRPr="00125386">
        <w:rPr>
          <w:rFonts w:ascii="Times New Roman" w:hAnsi="Times New Roman" w:cs="Times New Roman"/>
          <w:noProof/>
          <w:lang w:val="en-US"/>
        </w:rPr>
        <w:t xml:space="preserve">, 2015, </w:t>
      </w:r>
      <w:r w:rsidRPr="00125386">
        <w:rPr>
          <w:rFonts w:ascii="Times New Roman" w:hAnsi="Times New Roman" w:cs="Times New Roman"/>
          <w:b/>
          <w:bCs/>
          <w:noProof/>
          <w:lang w:val="en-US"/>
        </w:rPr>
        <w:t>122</w:t>
      </w:r>
      <w:r w:rsidRPr="00125386">
        <w:rPr>
          <w:rFonts w:ascii="Times New Roman" w:hAnsi="Times New Roman" w:cs="Times New Roman"/>
          <w:noProof/>
          <w:lang w:val="en-US"/>
        </w:rPr>
        <w:t>, 128–136.</w:t>
      </w:r>
    </w:p>
    <w:p w14:paraId="1761E107"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24</w:t>
      </w:r>
      <w:r w:rsidRPr="00125386">
        <w:rPr>
          <w:rFonts w:ascii="Times New Roman" w:hAnsi="Times New Roman" w:cs="Times New Roman"/>
          <w:noProof/>
          <w:lang w:val="en-US"/>
        </w:rPr>
        <w:tab/>
        <w:t xml:space="preserve">C. Xia, Q. Jiang, C. Zhao, M. N. Hedhili and H. N. Alshareef, Selenide-Based Electrocatalysts and Scaffolds for Water Oxidation Applications, </w:t>
      </w:r>
      <w:r w:rsidRPr="00125386">
        <w:rPr>
          <w:rFonts w:ascii="Times New Roman" w:hAnsi="Times New Roman" w:cs="Times New Roman"/>
          <w:i/>
          <w:iCs/>
          <w:noProof/>
          <w:lang w:val="en-US"/>
        </w:rPr>
        <w:t>Adv. Mater.</w:t>
      </w:r>
      <w:r w:rsidRPr="00125386">
        <w:rPr>
          <w:rFonts w:ascii="Times New Roman" w:hAnsi="Times New Roman" w:cs="Times New Roman"/>
          <w:noProof/>
          <w:lang w:val="en-US"/>
        </w:rPr>
        <w:t xml:space="preserve">, 2016, </w:t>
      </w:r>
      <w:r w:rsidRPr="00125386">
        <w:rPr>
          <w:rFonts w:ascii="Times New Roman" w:hAnsi="Times New Roman" w:cs="Times New Roman"/>
          <w:b/>
          <w:bCs/>
          <w:noProof/>
          <w:lang w:val="en-US"/>
        </w:rPr>
        <w:t>28</w:t>
      </w:r>
      <w:r w:rsidRPr="00125386">
        <w:rPr>
          <w:rFonts w:ascii="Times New Roman" w:hAnsi="Times New Roman" w:cs="Times New Roman"/>
          <w:noProof/>
          <w:lang w:val="en-US"/>
        </w:rPr>
        <w:t>, 77–85.</w:t>
      </w:r>
    </w:p>
    <w:p w14:paraId="21029659"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25</w:t>
      </w:r>
      <w:r w:rsidRPr="00125386">
        <w:rPr>
          <w:rFonts w:ascii="Times New Roman" w:hAnsi="Times New Roman" w:cs="Times New Roman"/>
          <w:noProof/>
          <w:lang w:val="en-US"/>
        </w:rPr>
        <w:tab/>
        <w:t xml:space="preserve">B. Zhang, B. Zhang, X. Zheng, O. Voznyy, R. Comin, M. Bajdich, M. García-melchor, L. Han, J. Xu, M. Liu, L. Zheng, F. P. G. De Arquer, C. T. Dinh, F. Fan, M. Yuan, E. Yassitepe, N. Chen, T. Regier, P. Liu, Y. Li, P. De Luna, H. L. Xin, H. Yang, A. Vojvodic and E. H. Sargent, Homogeneously dispersed , multimetal oxygen-evolving catalysts, </w:t>
      </w:r>
      <w:r w:rsidRPr="00125386">
        <w:rPr>
          <w:rFonts w:ascii="Times New Roman" w:hAnsi="Times New Roman" w:cs="Times New Roman"/>
          <w:i/>
          <w:iCs/>
          <w:noProof/>
          <w:lang w:val="en-US"/>
        </w:rPr>
        <w:t>Science (80-. ).</w:t>
      </w:r>
      <w:r w:rsidRPr="00125386">
        <w:rPr>
          <w:rFonts w:ascii="Times New Roman" w:hAnsi="Times New Roman" w:cs="Times New Roman"/>
          <w:noProof/>
          <w:lang w:val="en-US"/>
        </w:rPr>
        <w:t xml:space="preserve">, 2016, </w:t>
      </w:r>
      <w:r w:rsidRPr="00125386">
        <w:rPr>
          <w:rFonts w:ascii="Times New Roman" w:hAnsi="Times New Roman" w:cs="Times New Roman"/>
          <w:b/>
          <w:bCs/>
          <w:noProof/>
          <w:lang w:val="en-US"/>
        </w:rPr>
        <w:t>352</w:t>
      </w:r>
      <w:r w:rsidRPr="00125386">
        <w:rPr>
          <w:rFonts w:ascii="Times New Roman" w:hAnsi="Times New Roman" w:cs="Times New Roman"/>
          <w:noProof/>
          <w:lang w:val="en-US"/>
        </w:rPr>
        <w:t>, 333.</w:t>
      </w:r>
    </w:p>
    <w:p w14:paraId="7B4E8EC6"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26</w:t>
      </w:r>
      <w:r w:rsidRPr="00125386">
        <w:rPr>
          <w:rFonts w:ascii="Times New Roman" w:hAnsi="Times New Roman" w:cs="Times New Roman"/>
          <w:noProof/>
          <w:lang w:val="en-US"/>
        </w:rPr>
        <w:tab/>
        <w:t xml:space="preserve">T. Liu, A. M. Asiri and X. Sun, Electrodeposited Co-doped NiSe2 nanoparticles film: A good electrocatalyst for efficient water splitting, </w:t>
      </w:r>
      <w:r w:rsidRPr="00125386">
        <w:rPr>
          <w:rFonts w:ascii="Times New Roman" w:hAnsi="Times New Roman" w:cs="Times New Roman"/>
          <w:i/>
          <w:iCs/>
          <w:noProof/>
          <w:lang w:val="en-US"/>
        </w:rPr>
        <w:t>Nanoscale</w:t>
      </w:r>
      <w:r w:rsidRPr="00125386">
        <w:rPr>
          <w:rFonts w:ascii="Times New Roman" w:hAnsi="Times New Roman" w:cs="Times New Roman"/>
          <w:noProof/>
          <w:lang w:val="en-US"/>
        </w:rPr>
        <w:t xml:space="preserve">, 2016, </w:t>
      </w:r>
      <w:r w:rsidRPr="00125386">
        <w:rPr>
          <w:rFonts w:ascii="Times New Roman" w:hAnsi="Times New Roman" w:cs="Times New Roman"/>
          <w:b/>
          <w:bCs/>
          <w:noProof/>
          <w:lang w:val="en-US"/>
        </w:rPr>
        <w:t>8</w:t>
      </w:r>
      <w:r w:rsidRPr="00125386">
        <w:rPr>
          <w:rFonts w:ascii="Times New Roman" w:hAnsi="Times New Roman" w:cs="Times New Roman"/>
          <w:noProof/>
          <w:lang w:val="en-US"/>
        </w:rPr>
        <w:t>, 3911–3915.</w:t>
      </w:r>
    </w:p>
    <w:p w14:paraId="0FC835D9"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27</w:t>
      </w:r>
      <w:r w:rsidRPr="00125386">
        <w:rPr>
          <w:rFonts w:ascii="Times New Roman" w:hAnsi="Times New Roman" w:cs="Times New Roman"/>
          <w:noProof/>
          <w:lang w:val="en-US"/>
        </w:rPr>
        <w:tab/>
        <w:t xml:space="preserve">Z. Wang, J. Li, X. Tian, X. Wang, Y. Yu, K. A. Owusu, L. He and L. Mai, Porous Nickel-Iron Selenide Nanosheets as Highly Efficient Electrocatalysts for Oxygen Evolution Reaction, </w:t>
      </w:r>
      <w:r w:rsidRPr="00125386">
        <w:rPr>
          <w:rFonts w:ascii="Times New Roman" w:hAnsi="Times New Roman" w:cs="Times New Roman"/>
          <w:i/>
          <w:iCs/>
          <w:noProof/>
          <w:lang w:val="en-US"/>
        </w:rPr>
        <w:t>ACS Appl. Mater. Interfaces</w:t>
      </w:r>
      <w:r w:rsidRPr="00125386">
        <w:rPr>
          <w:rFonts w:ascii="Times New Roman" w:hAnsi="Times New Roman" w:cs="Times New Roman"/>
          <w:noProof/>
          <w:lang w:val="en-US"/>
        </w:rPr>
        <w:t xml:space="preserve">, 2016, </w:t>
      </w:r>
      <w:r w:rsidRPr="00125386">
        <w:rPr>
          <w:rFonts w:ascii="Times New Roman" w:hAnsi="Times New Roman" w:cs="Times New Roman"/>
          <w:b/>
          <w:bCs/>
          <w:noProof/>
          <w:lang w:val="en-US"/>
        </w:rPr>
        <w:t>8</w:t>
      </w:r>
      <w:r w:rsidRPr="00125386">
        <w:rPr>
          <w:rFonts w:ascii="Times New Roman" w:hAnsi="Times New Roman" w:cs="Times New Roman"/>
          <w:noProof/>
          <w:lang w:val="en-US"/>
        </w:rPr>
        <w:t>, 19386–19392.</w:t>
      </w:r>
    </w:p>
    <w:p w14:paraId="0EC67950"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28</w:t>
      </w:r>
      <w:r w:rsidRPr="00125386">
        <w:rPr>
          <w:rFonts w:ascii="Times New Roman" w:hAnsi="Times New Roman" w:cs="Times New Roman"/>
          <w:noProof/>
          <w:lang w:val="en-US"/>
        </w:rPr>
        <w:tab/>
        <w:t xml:space="preserve">J. X. Feng, H. Xu, Y. T. Dong, S. H. Ye, Y. X. Tong and G. R. Li, FeOOH/Co/FeOOH Hybrid Nanotube Arrays as High-Performance Electrocatalysts for the Oxygen Evolution Reaction, </w:t>
      </w:r>
      <w:r w:rsidRPr="00125386">
        <w:rPr>
          <w:rFonts w:ascii="Times New Roman" w:hAnsi="Times New Roman" w:cs="Times New Roman"/>
          <w:i/>
          <w:iCs/>
          <w:noProof/>
          <w:lang w:val="en-US"/>
        </w:rPr>
        <w:t>Angew. Chemie - Int. Ed.</w:t>
      </w:r>
      <w:r w:rsidRPr="00125386">
        <w:rPr>
          <w:rFonts w:ascii="Times New Roman" w:hAnsi="Times New Roman" w:cs="Times New Roman"/>
          <w:noProof/>
          <w:lang w:val="en-US"/>
        </w:rPr>
        <w:t xml:space="preserve">, 2016, </w:t>
      </w:r>
      <w:r w:rsidRPr="00125386">
        <w:rPr>
          <w:rFonts w:ascii="Times New Roman" w:hAnsi="Times New Roman" w:cs="Times New Roman"/>
          <w:b/>
          <w:bCs/>
          <w:noProof/>
          <w:lang w:val="en-US"/>
        </w:rPr>
        <w:t>55</w:t>
      </w:r>
      <w:r w:rsidRPr="00125386">
        <w:rPr>
          <w:rFonts w:ascii="Times New Roman" w:hAnsi="Times New Roman" w:cs="Times New Roman"/>
          <w:noProof/>
          <w:lang w:val="en-US"/>
        </w:rPr>
        <w:t>, 3694–3698.</w:t>
      </w:r>
    </w:p>
    <w:p w14:paraId="6F289D5E"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29</w:t>
      </w:r>
      <w:r w:rsidRPr="00125386">
        <w:rPr>
          <w:rFonts w:ascii="Times New Roman" w:hAnsi="Times New Roman" w:cs="Times New Roman"/>
          <w:noProof/>
          <w:lang w:val="en-US"/>
        </w:rPr>
        <w:tab/>
        <w:t xml:space="preserve">Z. Wang, H. Liu, R. Ge, X. Ren, J. Ren, D. Yang, L. Zhang and X. Sun, Phosphorus-Doped Co3O4 Nanowire Array: A Highly Efficient Bifunctional Electrocatalyst for Overall Water Splitting, </w:t>
      </w:r>
      <w:r w:rsidRPr="00125386">
        <w:rPr>
          <w:rFonts w:ascii="Times New Roman" w:hAnsi="Times New Roman" w:cs="Times New Roman"/>
          <w:i/>
          <w:iCs/>
          <w:noProof/>
          <w:lang w:val="en-US"/>
        </w:rPr>
        <w:t>ACS Catal.</w:t>
      </w:r>
      <w:r w:rsidRPr="00125386">
        <w:rPr>
          <w:rFonts w:ascii="Times New Roman" w:hAnsi="Times New Roman" w:cs="Times New Roman"/>
          <w:noProof/>
          <w:lang w:val="en-US"/>
        </w:rPr>
        <w:t xml:space="preserve">, 2018, </w:t>
      </w:r>
      <w:r w:rsidRPr="00125386">
        <w:rPr>
          <w:rFonts w:ascii="Times New Roman" w:hAnsi="Times New Roman" w:cs="Times New Roman"/>
          <w:b/>
          <w:bCs/>
          <w:noProof/>
          <w:lang w:val="en-US"/>
        </w:rPr>
        <w:t>8</w:t>
      </w:r>
      <w:r w:rsidRPr="00125386">
        <w:rPr>
          <w:rFonts w:ascii="Times New Roman" w:hAnsi="Times New Roman" w:cs="Times New Roman"/>
          <w:noProof/>
          <w:lang w:val="en-US"/>
        </w:rPr>
        <w:t>, 2236–2241.</w:t>
      </w:r>
    </w:p>
    <w:p w14:paraId="042A1EE8"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30</w:t>
      </w:r>
      <w:r w:rsidRPr="00125386">
        <w:rPr>
          <w:rFonts w:ascii="Times New Roman" w:hAnsi="Times New Roman" w:cs="Times New Roman"/>
          <w:noProof/>
          <w:lang w:val="en-US"/>
        </w:rPr>
        <w:tab/>
        <w:t xml:space="preserve">C. Tang, N. Cheng, Z. Pu, W. Xing and X. Sun, NiSe Nanowire Film Supported on Nickel Foam: An Efficient and Stable 3D Bifunctional Electrode for Full Water Splitting, </w:t>
      </w:r>
      <w:r w:rsidRPr="00125386">
        <w:rPr>
          <w:rFonts w:ascii="Times New Roman" w:hAnsi="Times New Roman" w:cs="Times New Roman"/>
          <w:i/>
          <w:iCs/>
          <w:noProof/>
          <w:lang w:val="en-US"/>
        </w:rPr>
        <w:t>Angew. Chemie - Int. Ed.</w:t>
      </w:r>
      <w:r w:rsidRPr="00125386">
        <w:rPr>
          <w:rFonts w:ascii="Times New Roman" w:hAnsi="Times New Roman" w:cs="Times New Roman"/>
          <w:noProof/>
          <w:lang w:val="en-US"/>
        </w:rPr>
        <w:t xml:space="preserve">, 2015, </w:t>
      </w:r>
      <w:r w:rsidRPr="00125386">
        <w:rPr>
          <w:rFonts w:ascii="Times New Roman" w:hAnsi="Times New Roman" w:cs="Times New Roman"/>
          <w:b/>
          <w:bCs/>
          <w:noProof/>
          <w:lang w:val="en-US"/>
        </w:rPr>
        <w:t>54</w:t>
      </w:r>
      <w:r w:rsidRPr="00125386">
        <w:rPr>
          <w:rFonts w:ascii="Times New Roman" w:hAnsi="Times New Roman" w:cs="Times New Roman"/>
          <w:noProof/>
          <w:lang w:val="en-US"/>
        </w:rPr>
        <w:t>, 9351–9355.</w:t>
      </w:r>
    </w:p>
    <w:p w14:paraId="5EF05237"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31</w:t>
      </w:r>
      <w:r w:rsidRPr="00125386">
        <w:rPr>
          <w:rFonts w:ascii="Times New Roman" w:hAnsi="Times New Roman" w:cs="Times New Roman"/>
          <w:noProof/>
          <w:lang w:val="en-US"/>
        </w:rPr>
        <w:tab/>
        <w:t xml:space="preserve">J. Ping, Y. Wang, Q. Lu, B. Chen, J. Chen, Y. Huang, Q. Ma, C. Tan, J. Yang, X. Cao, Z. Wang, J. Wu, Y. Ying and H. Zhang, Self-Assembly of Single-Layer CoAl-Layered Double Hydroxide Nanosheets on 3D Graphene Network Used as Highly Efficient Electrocatalyst for Oxygen Evolution Reaction, </w:t>
      </w:r>
      <w:r w:rsidRPr="00125386">
        <w:rPr>
          <w:rFonts w:ascii="Times New Roman" w:hAnsi="Times New Roman" w:cs="Times New Roman"/>
          <w:i/>
          <w:iCs/>
          <w:noProof/>
          <w:lang w:val="en-US"/>
        </w:rPr>
        <w:t>Adv. Mater.</w:t>
      </w:r>
      <w:r w:rsidRPr="00125386">
        <w:rPr>
          <w:rFonts w:ascii="Times New Roman" w:hAnsi="Times New Roman" w:cs="Times New Roman"/>
          <w:noProof/>
          <w:lang w:val="en-US"/>
        </w:rPr>
        <w:t xml:space="preserve">, 2016, </w:t>
      </w:r>
      <w:r w:rsidRPr="00125386">
        <w:rPr>
          <w:rFonts w:ascii="Times New Roman" w:hAnsi="Times New Roman" w:cs="Times New Roman"/>
          <w:b/>
          <w:bCs/>
          <w:noProof/>
          <w:lang w:val="en-US"/>
        </w:rPr>
        <w:t>28</w:t>
      </w:r>
      <w:r w:rsidRPr="00125386">
        <w:rPr>
          <w:rFonts w:ascii="Times New Roman" w:hAnsi="Times New Roman" w:cs="Times New Roman"/>
          <w:noProof/>
          <w:lang w:val="en-US"/>
        </w:rPr>
        <w:t>, 7640–7645.</w:t>
      </w:r>
    </w:p>
    <w:p w14:paraId="448F0111"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32</w:t>
      </w:r>
      <w:r w:rsidRPr="00125386">
        <w:rPr>
          <w:rFonts w:ascii="Times New Roman" w:hAnsi="Times New Roman" w:cs="Times New Roman"/>
          <w:noProof/>
          <w:lang w:val="en-US"/>
        </w:rPr>
        <w:tab/>
        <w:t xml:space="preserve">L. Liardet and X. Hu, Amorphous Cobalt Vanadium Oxide as a Highly Active Electrocatalyst for Oxygen Evolution, </w:t>
      </w:r>
      <w:r w:rsidRPr="00125386">
        <w:rPr>
          <w:rFonts w:ascii="Times New Roman" w:hAnsi="Times New Roman" w:cs="Times New Roman"/>
          <w:i/>
          <w:iCs/>
          <w:noProof/>
          <w:lang w:val="en-US"/>
        </w:rPr>
        <w:t>ACS Catal.</w:t>
      </w:r>
      <w:r w:rsidRPr="00125386">
        <w:rPr>
          <w:rFonts w:ascii="Times New Roman" w:hAnsi="Times New Roman" w:cs="Times New Roman"/>
          <w:noProof/>
          <w:lang w:val="en-US"/>
        </w:rPr>
        <w:t xml:space="preserve">, 2018, </w:t>
      </w:r>
      <w:r w:rsidRPr="00125386">
        <w:rPr>
          <w:rFonts w:ascii="Times New Roman" w:hAnsi="Times New Roman" w:cs="Times New Roman"/>
          <w:b/>
          <w:bCs/>
          <w:noProof/>
          <w:lang w:val="en-US"/>
        </w:rPr>
        <w:t>8</w:t>
      </w:r>
      <w:r w:rsidRPr="00125386">
        <w:rPr>
          <w:rFonts w:ascii="Times New Roman" w:hAnsi="Times New Roman" w:cs="Times New Roman"/>
          <w:noProof/>
          <w:lang w:val="en-US"/>
        </w:rPr>
        <w:t>, 644–650.</w:t>
      </w:r>
    </w:p>
    <w:p w14:paraId="3D28B108"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33</w:t>
      </w:r>
      <w:r w:rsidRPr="00125386">
        <w:rPr>
          <w:rFonts w:ascii="Times New Roman" w:hAnsi="Times New Roman" w:cs="Times New Roman"/>
          <w:noProof/>
          <w:lang w:val="en-US"/>
        </w:rPr>
        <w:tab/>
        <w:t xml:space="preserve">P. Chen, K. Xu, Z. Fang, Y. Tong, J. Wu, X. Lu, X. Peng, H. Ding, C. Wu and Y. Xie, Metallic Co4N porous nanowire arrays activated by surface oxidation as electrocatalysts for the oxygen evolution reaction, </w:t>
      </w:r>
      <w:r w:rsidRPr="00125386">
        <w:rPr>
          <w:rFonts w:ascii="Times New Roman" w:hAnsi="Times New Roman" w:cs="Times New Roman"/>
          <w:i/>
          <w:iCs/>
          <w:noProof/>
          <w:lang w:val="en-US"/>
        </w:rPr>
        <w:t>Angew. Chemie - Int. Ed.</w:t>
      </w:r>
      <w:r w:rsidRPr="00125386">
        <w:rPr>
          <w:rFonts w:ascii="Times New Roman" w:hAnsi="Times New Roman" w:cs="Times New Roman"/>
          <w:noProof/>
          <w:lang w:val="en-US"/>
        </w:rPr>
        <w:t xml:space="preserve">, 2015, </w:t>
      </w:r>
      <w:r w:rsidRPr="00125386">
        <w:rPr>
          <w:rFonts w:ascii="Times New Roman" w:hAnsi="Times New Roman" w:cs="Times New Roman"/>
          <w:b/>
          <w:bCs/>
          <w:noProof/>
          <w:lang w:val="en-US"/>
        </w:rPr>
        <w:t>54</w:t>
      </w:r>
      <w:r w:rsidRPr="00125386">
        <w:rPr>
          <w:rFonts w:ascii="Times New Roman" w:hAnsi="Times New Roman" w:cs="Times New Roman"/>
          <w:noProof/>
          <w:lang w:val="en-US"/>
        </w:rPr>
        <w:t>, 14710–14714.</w:t>
      </w:r>
    </w:p>
    <w:p w14:paraId="5D1C6129"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lastRenderedPageBreak/>
        <w:t>34</w:t>
      </w:r>
      <w:r w:rsidRPr="00125386">
        <w:rPr>
          <w:rFonts w:ascii="Times New Roman" w:hAnsi="Times New Roman" w:cs="Times New Roman"/>
          <w:noProof/>
          <w:lang w:val="en-US"/>
        </w:rPr>
        <w:tab/>
        <w:t xml:space="preserve">M. Gong, Y. Li, H. Wang, Y. Liang, J. Z. Wu, J. Zhou, J. Wang, T. Regier, F. Wei and H. Dai, An advanced Ni-Fe layered double hydroxide electrocatalyst for water oxidation, </w:t>
      </w:r>
      <w:r w:rsidRPr="00125386">
        <w:rPr>
          <w:rFonts w:ascii="Times New Roman" w:hAnsi="Times New Roman" w:cs="Times New Roman"/>
          <w:i/>
          <w:iCs/>
          <w:noProof/>
          <w:lang w:val="en-US"/>
        </w:rPr>
        <w:t>J. Am. Chem. Soc.</w:t>
      </w:r>
      <w:r w:rsidRPr="00125386">
        <w:rPr>
          <w:rFonts w:ascii="Times New Roman" w:hAnsi="Times New Roman" w:cs="Times New Roman"/>
          <w:noProof/>
          <w:lang w:val="en-US"/>
        </w:rPr>
        <w:t xml:space="preserve">, 2013, </w:t>
      </w:r>
      <w:r w:rsidRPr="00125386">
        <w:rPr>
          <w:rFonts w:ascii="Times New Roman" w:hAnsi="Times New Roman" w:cs="Times New Roman"/>
          <w:b/>
          <w:bCs/>
          <w:noProof/>
          <w:lang w:val="en-US"/>
        </w:rPr>
        <w:t>135</w:t>
      </w:r>
      <w:r w:rsidRPr="00125386">
        <w:rPr>
          <w:rFonts w:ascii="Times New Roman" w:hAnsi="Times New Roman" w:cs="Times New Roman"/>
          <w:noProof/>
          <w:lang w:val="en-US"/>
        </w:rPr>
        <w:t>, 8452–8455.</w:t>
      </w:r>
    </w:p>
    <w:p w14:paraId="24C85942"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35</w:t>
      </w:r>
      <w:r w:rsidRPr="00125386">
        <w:rPr>
          <w:rFonts w:ascii="Times New Roman" w:hAnsi="Times New Roman" w:cs="Times New Roman"/>
          <w:noProof/>
          <w:lang w:val="en-US"/>
        </w:rPr>
        <w:tab/>
        <w:t xml:space="preserve">Y. Liu, X. Liang, L. Gu, Y. Zhang, G. D. Li, X. Zou and J. S. Chen, Corrosion engineering towards efficient oxygen evolution electrodes with stable catalytic activity for over 6000 hours, </w:t>
      </w:r>
      <w:r w:rsidRPr="00125386">
        <w:rPr>
          <w:rFonts w:ascii="Times New Roman" w:hAnsi="Times New Roman" w:cs="Times New Roman"/>
          <w:i/>
          <w:iCs/>
          <w:noProof/>
          <w:lang w:val="en-US"/>
        </w:rPr>
        <w:t>Nat. Commun.</w:t>
      </w:r>
      <w:r w:rsidRPr="00125386">
        <w:rPr>
          <w:rFonts w:ascii="Times New Roman" w:hAnsi="Times New Roman" w:cs="Times New Roman"/>
          <w:noProof/>
          <w:lang w:val="en-US"/>
        </w:rPr>
        <w:t xml:space="preserve">, 2018, </w:t>
      </w:r>
      <w:r w:rsidRPr="00125386">
        <w:rPr>
          <w:rFonts w:ascii="Times New Roman" w:hAnsi="Times New Roman" w:cs="Times New Roman"/>
          <w:b/>
          <w:bCs/>
          <w:noProof/>
          <w:lang w:val="en-US"/>
        </w:rPr>
        <w:t>9</w:t>
      </w:r>
      <w:r w:rsidRPr="00125386">
        <w:rPr>
          <w:rFonts w:ascii="Times New Roman" w:hAnsi="Times New Roman" w:cs="Times New Roman"/>
          <w:noProof/>
          <w:lang w:val="en-US"/>
        </w:rPr>
        <w:t>, 1–10.</w:t>
      </w:r>
    </w:p>
    <w:p w14:paraId="3514FA04"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36</w:t>
      </w:r>
      <w:r w:rsidRPr="00125386">
        <w:rPr>
          <w:rFonts w:ascii="Times New Roman" w:hAnsi="Times New Roman" w:cs="Times New Roman"/>
          <w:noProof/>
          <w:lang w:val="en-US"/>
        </w:rPr>
        <w:tab/>
        <w:t xml:space="preserve">Z. Liang, Z. Huang, H. Yuan, Z. Yang, C. Zhang, Y. Xu, W. Zhang, H. Zheng and R. Cao, Quasi-single-crystalline CoO hexagrams with abundant defects for highly efficient electrocatalytic water oxidation, </w:t>
      </w:r>
      <w:r w:rsidRPr="00125386">
        <w:rPr>
          <w:rFonts w:ascii="Times New Roman" w:hAnsi="Times New Roman" w:cs="Times New Roman"/>
          <w:i/>
          <w:iCs/>
          <w:noProof/>
          <w:lang w:val="en-US"/>
        </w:rPr>
        <w:t>Chem. Sci.</w:t>
      </w:r>
      <w:r w:rsidRPr="00125386">
        <w:rPr>
          <w:rFonts w:ascii="Times New Roman" w:hAnsi="Times New Roman" w:cs="Times New Roman"/>
          <w:noProof/>
          <w:lang w:val="en-US"/>
        </w:rPr>
        <w:t xml:space="preserve">, 2018, </w:t>
      </w:r>
      <w:r w:rsidRPr="00125386">
        <w:rPr>
          <w:rFonts w:ascii="Times New Roman" w:hAnsi="Times New Roman" w:cs="Times New Roman"/>
          <w:b/>
          <w:bCs/>
          <w:noProof/>
          <w:lang w:val="en-US"/>
        </w:rPr>
        <w:t>9</w:t>
      </w:r>
      <w:r w:rsidRPr="00125386">
        <w:rPr>
          <w:rFonts w:ascii="Times New Roman" w:hAnsi="Times New Roman" w:cs="Times New Roman"/>
          <w:noProof/>
          <w:lang w:val="en-US"/>
        </w:rPr>
        <w:t>, 6961–6968.</w:t>
      </w:r>
    </w:p>
    <w:p w14:paraId="00C83869"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37</w:t>
      </w:r>
      <w:r w:rsidRPr="00125386">
        <w:rPr>
          <w:rFonts w:ascii="Times New Roman" w:hAnsi="Times New Roman" w:cs="Times New Roman"/>
          <w:noProof/>
          <w:lang w:val="en-US"/>
        </w:rPr>
        <w:tab/>
        <w:t xml:space="preserve">B. B. Li, Y. Q. Liang, X. J. Yang, Z. D. Cui, S. Z. Qiao, S. L. Zhu, Z. Y. Li and K. Yin, MoO2-CoO coupled with a macroporous carbon hybrid electrocatalyst for highly efficient oxygen evolution, </w:t>
      </w:r>
      <w:r w:rsidRPr="00125386">
        <w:rPr>
          <w:rFonts w:ascii="Times New Roman" w:hAnsi="Times New Roman" w:cs="Times New Roman"/>
          <w:i/>
          <w:iCs/>
          <w:noProof/>
          <w:lang w:val="en-US"/>
        </w:rPr>
        <w:t>Nanoscale</w:t>
      </w:r>
      <w:r w:rsidRPr="00125386">
        <w:rPr>
          <w:rFonts w:ascii="Times New Roman" w:hAnsi="Times New Roman" w:cs="Times New Roman"/>
          <w:noProof/>
          <w:lang w:val="en-US"/>
        </w:rPr>
        <w:t xml:space="preserve">, 2015, </w:t>
      </w:r>
      <w:r w:rsidRPr="00125386">
        <w:rPr>
          <w:rFonts w:ascii="Times New Roman" w:hAnsi="Times New Roman" w:cs="Times New Roman"/>
          <w:b/>
          <w:bCs/>
          <w:noProof/>
          <w:lang w:val="en-US"/>
        </w:rPr>
        <w:t>7</w:t>
      </w:r>
      <w:r w:rsidRPr="00125386">
        <w:rPr>
          <w:rFonts w:ascii="Times New Roman" w:hAnsi="Times New Roman" w:cs="Times New Roman"/>
          <w:noProof/>
          <w:lang w:val="en-US"/>
        </w:rPr>
        <w:t>, 16704–16714.</w:t>
      </w:r>
    </w:p>
    <w:p w14:paraId="1C28B62A"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38</w:t>
      </w:r>
      <w:r w:rsidRPr="00125386">
        <w:rPr>
          <w:rFonts w:ascii="Times New Roman" w:hAnsi="Times New Roman" w:cs="Times New Roman"/>
          <w:noProof/>
          <w:lang w:val="en-US"/>
        </w:rPr>
        <w:tab/>
        <w:t xml:space="preserve">S. Chen, Z. Kang, X. Zhang, J. Xie, H. Wang, W. Shao, X. Zheng, W. Yan, B. Pan and Y. Xie, Highly Active Fe Sites in Ultrathin Pyrrhotite Fe 7 S 8 Nanosheets Realizing Efficient Electrocatalytic Oxygen Evolution, </w:t>
      </w:r>
      <w:r w:rsidRPr="00125386">
        <w:rPr>
          <w:rFonts w:ascii="Times New Roman" w:hAnsi="Times New Roman" w:cs="Times New Roman"/>
          <w:i/>
          <w:iCs/>
          <w:noProof/>
          <w:lang w:val="en-US"/>
        </w:rPr>
        <w:t>ACS Cent. Sci.</w:t>
      </w:r>
      <w:r w:rsidRPr="00125386">
        <w:rPr>
          <w:rFonts w:ascii="Times New Roman" w:hAnsi="Times New Roman" w:cs="Times New Roman"/>
          <w:noProof/>
          <w:lang w:val="en-US"/>
        </w:rPr>
        <w:t xml:space="preserve">, 2017, </w:t>
      </w:r>
      <w:r w:rsidRPr="00125386">
        <w:rPr>
          <w:rFonts w:ascii="Times New Roman" w:hAnsi="Times New Roman" w:cs="Times New Roman"/>
          <w:b/>
          <w:bCs/>
          <w:noProof/>
          <w:lang w:val="en-US"/>
        </w:rPr>
        <w:t>3</w:t>
      </w:r>
      <w:r w:rsidRPr="00125386">
        <w:rPr>
          <w:rFonts w:ascii="Times New Roman" w:hAnsi="Times New Roman" w:cs="Times New Roman"/>
          <w:noProof/>
          <w:lang w:val="en-US"/>
        </w:rPr>
        <w:t>, 1221–1227.</w:t>
      </w:r>
    </w:p>
    <w:p w14:paraId="60E12E91"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39</w:t>
      </w:r>
      <w:r w:rsidRPr="00125386">
        <w:rPr>
          <w:rFonts w:ascii="Times New Roman" w:hAnsi="Times New Roman" w:cs="Times New Roman"/>
          <w:noProof/>
          <w:lang w:val="en-US"/>
        </w:rPr>
        <w:tab/>
        <w:t xml:space="preserve">Z. Qian, Y. Chen, Z. Tang, Z. Liu, X. Wang, Y. Tian and W. Gao, Hollow Nanocages of NixCo1−xSe for Efficient Zinc–Air Batteries and Overall Water Splitting, </w:t>
      </w:r>
      <w:r w:rsidRPr="00125386">
        <w:rPr>
          <w:rFonts w:ascii="Times New Roman" w:hAnsi="Times New Roman" w:cs="Times New Roman"/>
          <w:i/>
          <w:iCs/>
          <w:noProof/>
          <w:lang w:val="en-US"/>
        </w:rPr>
        <w:t>Nano-Micro Lett.</w:t>
      </w:r>
      <w:r w:rsidRPr="00125386">
        <w:rPr>
          <w:rFonts w:ascii="Times New Roman" w:hAnsi="Times New Roman" w:cs="Times New Roman"/>
          <w:noProof/>
          <w:lang w:val="en-US"/>
        </w:rPr>
        <w:t>, , DOI:10.1007/s40820-019-0258-0.</w:t>
      </w:r>
    </w:p>
    <w:p w14:paraId="39C456B1"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40</w:t>
      </w:r>
      <w:r w:rsidRPr="00125386">
        <w:rPr>
          <w:rFonts w:ascii="Times New Roman" w:hAnsi="Times New Roman" w:cs="Times New Roman"/>
          <w:noProof/>
          <w:lang w:val="en-US"/>
        </w:rPr>
        <w:tab/>
        <w:t xml:space="preserve">Y. Hou, M. Qiu, M. G. Kim, P. Liu, G. Nam, T. Zhang, X. Zhuang, B. Yang, J. Cho, M. Chen, C. Yuan, L. Lei and X. Feng, Atomically dispersed nickel–nitrogen–sulfur species anchored on porous carbon nanosheets for efficient water oxidation, </w:t>
      </w:r>
      <w:r w:rsidRPr="00125386">
        <w:rPr>
          <w:rFonts w:ascii="Times New Roman" w:hAnsi="Times New Roman" w:cs="Times New Roman"/>
          <w:i/>
          <w:iCs/>
          <w:noProof/>
          <w:lang w:val="en-US"/>
        </w:rPr>
        <w:t>Nat. Commun.</w:t>
      </w:r>
      <w:r w:rsidRPr="00125386">
        <w:rPr>
          <w:rFonts w:ascii="Times New Roman" w:hAnsi="Times New Roman" w:cs="Times New Roman"/>
          <w:noProof/>
          <w:lang w:val="en-US"/>
        </w:rPr>
        <w:t xml:space="preserve">, 2019, </w:t>
      </w:r>
      <w:r w:rsidRPr="00125386">
        <w:rPr>
          <w:rFonts w:ascii="Times New Roman" w:hAnsi="Times New Roman" w:cs="Times New Roman"/>
          <w:b/>
          <w:bCs/>
          <w:noProof/>
          <w:lang w:val="en-US"/>
        </w:rPr>
        <w:t>10</w:t>
      </w:r>
      <w:r w:rsidRPr="00125386">
        <w:rPr>
          <w:rFonts w:ascii="Times New Roman" w:hAnsi="Times New Roman" w:cs="Times New Roman"/>
          <w:noProof/>
          <w:lang w:val="en-US"/>
        </w:rPr>
        <w:t>, 1–9.</w:t>
      </w:r>
    </w:p>
    <w:p w14:paraId="3C3E9693"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41</w:t>
      </w:r>
      <w:r w:rsidRPr="00125386">
        <w:rPr>
          <w:rFonts w:ascii="Times New Roman" w:hAnsi="Times New Roman" w:cs="Times New Roman"/>
          <w:noProof/>
          <w:lang w:val="en-US"/>
        </w:rPr>
        <w:tab/>
        <w:t>Y. Zhang, C. Zhang, Y. Guo, D. Liu, Y. Yu and B. Zhang, Selenium vacancy-rich CoSe2 ultrathin nanomeshes with abundant active sites for electrocatalytic oxygen evolution, 2019, 2536–2540.</w:t>
      </w:r>
    </w:p>
    <w:p w14:paraId="482349D0"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42</w:t>
      </w:r>
      <w:r w:rsidRPr="00125386">
        <w:rPr>
          <w:rFonts w:ascii="Times New Roman" w:hAnsi="Times New Roman" w:cs="Times New Roman"/>
          <w:noProof/>
          <w:lang w:val="en-US"/>
        </w:rPr>
        <w:tab/>
        <w:t xml:space="preserve">L. A. Stern, L. Feng, F. Song and X. Hu, Ni2P as a Janus catalyst for water splitting: The oxygen evolution activity of Ni2P nanoparticles, </w:t>
      </w:r>
      <w:r w:rsidRPr="00125386">
        <w:rPr>
          <w:rFonts w:ascii="Times New Roman" w:hAnsi="Times New Roman" w:cs="Times New Roman"/>
          <w:i/>
          <w:iCs/>
          <w:noProof/>
          <w:lang w:val="en-US"/>
        </w:rPr>
        <w:t>Energy Environ. Sci.</w:t>
      </w:r>
      <w:r w:rsidRPr="00125386">
        <w:rPr>
          <w:rFonts w:ascii="Times New Roman" w:hAnsi="Times New Roman" w:cs="Times New Roman"/>
          <w:noProof/>
          <w:lang w:val="en-US"/>
        </w:rPr>
        <w:t xml:space="preserve">, 2015, </w:t>
      </w:r>
      <w:r w:rsidRPr="00125386">
        <w:rPr>
          <w:rFonts w:ascii="Times New Roman" w:hAnsi="Times New Roman" w:cs="Times New Roman"/>
          <w:b/>
          <w:bCs/>
          <w:noProof/>
          <w:lang w:val="en-US"/>
        </w:rPr>
        <w:t>8</w:t>
      </w:r>
      <w:r w:rsidRPr="00125386">
        <w:rPr>
          <w:rFonts w:ascii="Times New Roman" w:hAnsi="Times New Roman" w:cs="Times New Roman"/>
          <w:noProof/>
          <w:lang w:val="en-US"/>
        </w:rPr>
        <w:t>, 2347–2351.</w:t>
      </w:r>
    </w:p>
    <w:p w14:paraId="0CD38430"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43</w:t>
      </w:r>
      <w:r w:rsidRPr="00125386">
        <w:rPr>
          <w:rFonts w:ascii="Times New Roman" w:hAnsi="Times New Roman" w:cs="Times New Roman"/>
          <w:noProof/>
          <w:lang w:val="en-US"/>
        </w:rPr>
        <w:tab/>
        <w:t xml:space="preserve">P. Cai, J. Huang, J. Chen and Z. Wen, Oxygen-Containing Amorphous Cobalt Sulfide Porous Nanocubes as High-Activity Electrocatalysts for the Oxygen Evolution Reaction in an Alkaline/Neutral Medium, </w:t>
      </w:r>
      <w:r w:rsidRPr="00125386">
        <w:rPr>
          <w:rFonts w:ascii="Times New Roman" w:hAnsi="Times New Roman" w:cs="Times New Roman"/>
          <w:i/>
          <w:iCs/>
          <w:noProof/>
          <w:lang w:val="en-US"/>
        </w:rPr>
        <w:t>Angew. Chemie - Int. Ed.</w:t>
      </w:r>
      <w:r w:rsidRPr="00125386">
        <w:rPr>
          <w:rFonts w:ascii="Times New Roman" w:hAnsi="Times New Roman" w:cs="Times New Roman"/>
          <w:noProof/>
          <w:lang w:val="en-US"/>
        </w:rPr>
        <w:t xml:space="preserve">, 2017, </w:t>
      </w:r>
      <w:r w:rsidRPr="00125386">
        <w:rPr>
          <w:rFonts w:ascii="Times New Roman" w:hAnsi="Times New Roman" w:cs="Times New Roman"/>
          <w:b/>
          <w:bCs/>
          <w:noProof/>
          <w:lang w:val="en-US"/>
        </w:rPr>
        <w:t>56</w:t>
      </w:r>
      <w:r w:rsidRPr="00125386">
        <w:rPr>
          <w:rFonts w:ascii="Times New Roman" w:hAnsi="Times New Roman" w:cs="Times New Roman"/>
          <w:noProof/>
          <w:lang w:val="en-US"/>
        </w:rPr>
        <w:t>, 4858–4861.</w:t>
      </w:r>
    </w:p>
    <w:p w14:paraId="2982CDD3"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44</w:t>
      </w:r>
      <w:r w:rsidRPr="00125386">
        <w:rPr>
          <w:rFonts w:ascii="Times New Roman" w:hAnsi="Times New Roman" w:cs="Times New Roman"/>
          <w:noProof/>
          <w:lang w:val="en-US"/>
        </w:rPr>
        <w:tab/>
        <w:t xml:space="preserve">T. Y. Ma, S. Dai, M. Jaroniec and S. Z. Qiao, Metal-organic framework derived hybrid Co3O4-carbon porous nanowire arrays as reversible oxygen evolution electrodes, </w:t>
      </w:r>
      <w:r w:rsidRPr="00125386">
        <w:rPr>
          <w:rFonts w:ascii="Times New Roman" w:hAnsi="Times New Roman" w:cs="Times New Roman"/>
          <w:i/>
          <w:iCs/>
          <w:noProof/>
          <w:lang w:val="en-US"/>
        </w:rPr>
        <w:t xml:space="preserve">J. </w:t>
      </w:r>
      <w:r w:rsidRPr="00125386">
        <w:rPr>
          <w:rFonts w:ascii="Times New Roman" w:hAnsi="Times New Roman" w:cs="Times New Roman"/>
          <w:i/>
          <w:iCs/>
          <w:noProof/>
          <w:lang w:val="en-US"/>
        </w:rPr>
        <w:lastRenderedPageBreak/>
        <w:t>Am. Chem. Soc.</w:t>
      </w:r>
      <w:r w:rsidRPr="00125386">
        <w:rPr>
          <w:rFonts w:ascii="Times New Roman" w:hAnsi="Times New Roman" w:cs="Times New Roman"/>
          <w:noProof/>
          <w:lang w:val="en-US"/>
        </w:rPr>
        <w:t xml:space="preserve">, 2014, </w:t>
      </w:r>
      <w:r w:rsidRPr="00125386">
        <w:rPr>
          <w:rFonts w:ascii="Times New Roman" w:hAnsi="Times New Roman" w:cs="Times New Roman"/>
          <w:b/>
          <w:bCs/>
          <w:noProof/>
          <w:lang w:val="en-US"/>
        </w:rPr>
        <w:t>136</w:t>
      </w:r>
      <w:r w:rsidRPr="00125386">
        <w:rPr>
          <w:rFonts w:ascii="Times New Roman" w:hAnsi="Times New Roman" w:cs="Times New Roman"/>
          <w:noProof/>
          <w:lang w:val="en-US"/>
        </w:rPr>
        <w:t>, 13925–13931.</w:t>
      </w:r>
    </w:p>
    <w:p w14:paraId="1A1EEDD3"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45</w:t>
      </w:r>
      <w:r w:rsidRPr="00125386">
        <w:rPr>
          <w:rFonts w:ascii="Times New Roman" w:hAnsi="Times New Roman" w:cs="Times New Roman"/>
          <w:noProof/>
          <w:lang w:val="en-US"/>
        </w:rPr>
        <w:tab/>
        <w:t xml:space="preserve">X. Gao, H. Zhang, Q. Li, X. Yu, Z. Hong, X. Zhang, C. Liang and Z. Lin, Hierarchical NiCo 2 O 4 hollow microcuboids as bifunctional electrocatalysts for overall water-splitting, </w:t>
      </w:r>
      <w:r w:rsidRPr="00125386">
        <w:rPr>
          <w:rFonts w:ascii="Times New Roman" w:hAnsi="Times New Roman" w:cs="Times New Roman"/>
          <w:i/>
          <w:iCs/>
          <w:noProof/>
          <w:lang w:val="en-US"/>
        </w:rPr>
        <w:t>Angew. Chemie - Int. Ed.</w:t>
      </w:r>
      <w:r w:rsidRPr="00125386">
        <w:rPr>
          <w:rFonts w:ascii="Times New Roman" w:hAnsi="Times New Roman" w:cs="Times New Roman"/>
          <w:noProof/>
          <w:lang w:val="en-US"/>
        </w:rPr>
        <w:t xml:space="preserve">, 2016, </w:t>
      </w:r>
      <w:r w:rsidRPr="00125386">
        <w:rPr>
          <w:rFonts w:ascii="Times New Roman" w:hAnsi="Times New Roman" w:cs="Times New Roman"/>
          <w:b/>
          <w:bCs/>
          <w:noProof/>
          <w:lang w:val="en-US"/>
        </w:rPr>
        <w:t>55</w:t>
      </w:r>
      <w:r w:rsidRPr="00125386">
        <w:rPr>
          <w:rFonts w:ascii="Times New Roman" w:hAnsi="Times New Roman" w:cs="Times New Roman"/>
          <w:noProof/>
          <w:lang w:val="en-US"/>
        </w:rPr>
        <w:t>, 6290–6294.</w:t>
      </w:r>
    </w:p>
    <w:p w14:paraId="2F9666C9"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46</w:t>
      </w:r>
      <w:r w:rsidRPr="00125386">
        <w:rPr>
          <w:rFonts w:ascii="Times New Roman" w:hAnsi="Times New Roman" w:cs="Times New Roman"/>
          <w:noProof/>
          <w:lang w:val="en-US"/>
        </w:rPr>
        <w:tab/>
        <w:t xml:space="preserve">H. Jin, S. Mao, G. Zhan, F. Xu, X. Bao and Y. Wang, Fe incorporated α-Co(OH)2 nanosheets with remarkably improved activity towards the oxygen evolution reaction, </w:t>
      </w:r>
      <w:r w:rsidRPr="00125386">
        <w:rPr>
          <w:rFonts w:ascii="Times New Roman" w:hAnsi="Times New Roman" w:cs="Times New Roman"/>
          <w:i/>
          <w:iCs/>
          <w:noProof/>
          <w:lang w:val="en-US"/>
        </w:rPr>
        <w:t>J. Mater. Chem. A</w:t>
      </w:r>
      <w:r w:rsidRPr="00125386">
        <w:rPr>
          <w:rFonts w:ascii="Times New Roman" w:hAnsi="Times New Roman" w:cs="Times New Roman"/>
          <w:noProof/>
          <w:lang w:val="en-US"/>
        </w:rPr>
        <w:t xml:space="preserve">, 2017, </w:t>
      </w:r>
      <w:r w:rsidRPr="00125386">
        <w:rPr>
          <w:rFonts w:ascii="Times New Roman" w:hAnsi="Times New Roman" w:cs="Times New Roman"/>
          <w:b/>
          <w:bCs/>
          <w:noProof/>
          <w:lang w:val="en-US"/>
        </w:rPr>
        <w:t>5</w:t>
      </w:r>
      <w:r w:rsidRPr="00125386">
        <w:rPr>
          <w:rFonts w:ascii="Times New Roman" w:hAnsi="Times New Roman" w:cs="Times New Roman"/>
          <w:noProof/>
          <w:lang w:val="en-US"/>
        </w:rPr>
        <w:t>, 1078–1084.</w:t>
      </w:r>
    </w:p>
    <w:p w14:paraId="37F1EA29"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47</w:t>
      </w:r>
      <w:r w:rsidRPr="00125386">
        <w:rPr>
          <w:rFonts w:ascii="Times New Roman" w:hAnsi="Times New Roman" w:cs="Times New Roman"/>
          <w:noProof/>
          <w:lang w:val="en-US"/>
        </w:rPr>
        <w:tab/>
        <w:t xml:space="preserve">Z. W. Seh, J. Kibsgaard, C. F. Dickens, I. Chorkendorff, J. K. Nørskov and T. F. Jaramillo, Combining theory and experiment in electrocatalysis: Insights into materials design, </w:t>
      </w:r>
      <w:r w:rsidRPr="00125386">
        <w:rPr>
          <w:rFonts w:ascii="Times New Roman" w:hAnsi="Times New Roman" w:cs="Times New Roman"/>
          <w:i/>
          <w:iCs/>
          <w:noProof/>
          <w:lang w:val="en-US"/>
        </w:rPr>
        <w:t>Science (80-. ).</w:t>
      </w:r>
      <w:r w:rsidRPr="00125386">
        <w:rPr>
          <w:rFonts w:ascii="Times New Roman" w:hAnsi="Times New Roman" w:cs="Times New Roman"/>
          <w:noProof/>
          <w:lang w:val="en-US"/>
        </w:rPr>
        <w:t xml:space="preserve">, 2017, </w:t>
      </w:r>
      <w:r w:rsidRPr="00125386">
        <w:rPr>
          <w:rFonts w:ascii="Times New Roman" w:hAnsi="Times New Roman" w:cs="Times New Roman"/>
          <w:b/>
          <w:bCs/>
          <w:noProof/>
          <w:lang w:val="en-US"/>
        </w:rPr>
        <w:t>355</w:t>
      </w:r>
      <w:r w:rsidRPr="00125386">
        <w:rPr>
          <w:rFonts w:ascii="Times New Roman" w:hAnsi="Times New Roman" w:cs="Times New Roman"/>
          <w:noProof/>
          <w:lang w:val="en-US"/>
        </w:rPr>
        <w:t>, 4998.</w:t>
      </w:r>
    </w:p>
    <w:p w14:paraId="56B10920"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48</w:t>
      </w:r>
      <w:r w:rsidRPr="00125386">
        <w:rPr>
          <w:rFonts w:ascii="Times New Roman" w:hAnsi="Times New Roman" w:cs="Times New Roman"/>
          <w:noProof/>
          <w:lang w:val="en-US"/>
        </w:rPr>
        <w:tab/>
        <w:t xml:space="preserve">Z. Liu, R. Ma, M. Osada, K. Takada and T. Sasaki, Selective and controlled synthesis of α- and β-cobalt hydroxides in highly developed hexagonal platelets, </w:t>
      </w:r>
      <w:r w:rsidRPr="00125386">
        <w:rPr>
          <w:rFonts w:ascii="Times New Roman" w:hAnsi="Times New Roman" w:cs="Times New Roman"/>
          <w:i/>
          <w:iCs/>
          <w:noProof/>
          <w:lang w:val="en-US"/>
        </w:rPr>
        <w:t>J. Am. Chem. Soc.</w:t>
      </w:r>
      <w:r w:rsidRPr="00125386">
        <w:rPr>
          <w:rFonts w:ascii="Times New Roman" w:hAnsi="Times New Roman" w:cs="Times New Roman"/>
          <w:noProof/>
          <w:lang w:val="en-US"/>
        </w:rPr>
        <w:t xml:space="preserve">, 2005, </w:t>
      </w:r>
      <w:r w:rsidRPr="00125386">
        <w:rPr>
          <w:rFonts w:ascii="Times New Roman" w:hAnsi="Times New Roman" w:cs="Times New Roman"/>
          <w:b/>
          <w:bCs/>
          <w:noProof/>
          <w:lang w:val="en-US"/>
        </w:rPr>
        <w:t>127</w:t>
      </w:r>
      <w:r w:rsidRPr="00125386">
        <w:rPr>
          <w:rFonts w:ascii="Times New Roman" w:hAnsi="Times New Roman" w:cs="Times New Roman"/>
          <w:noProof/>
          <w:lang w:val="en-US"/>
        </w:rPr>
        <w:t>, 13869–13874.</w:t>
      </w:r>
    </w:p>
    <w:p w14:paraId="60B7EF7C"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49</w:t>
      </w:r>
      <w:r w:rsidRPr="00125386">
        <w:rPr>
          <w:rFonts w:ascii="Times New Roman" w:hAnsi="Times New Roman" w:cs="Times New Roman"/>
          <w:noProof/>
          <w:lang w:val="en-US"/>
        </w:rPr>
        <w:tab/>
        <w:t xml:space="preserve">G. Li, L. Anderson and Y. Chen, New insights into evaluating catalyst activity and stability for oxygen evolution reactions in alkaline media †, </w:t>
      </w:r>
      <w:r w:rsidRPr="00125386">
        <w:rPr>
          <w:rFonts w:ascii="Times New Roman" w:hAnsi="Times New Roman" w:cs="Times New Roman"/>
          <w:i/>
          <w:iCs/>
          <w:noProof/>
          <w:lang w:val="en-US"/>
        </w:rPr>
        <w:t>Sustain. Energy Fuels</w:t>
      </w:r>
      <w:r w:rsidRPr="00125386">
        <w:rPr>
          <w:rFonts w:ascii="Times New Roman" w:hAnsi="Times New Roman" w:cs="Times New Roman"/>
          <w:noProof/>
          <w:lang w:val="en-US"/>
        </w:rPr>
        <w:t xml:space="preserve">, 2017, </w:t>
      </w:r>
      <w:r w:rsidRPr="00125386">
        <w:rPr>
          <w:rFonts w:ascii="Times New Roman" w:hAnsi="Times New Roman" w:cs="Times New Roman"/>
          <w:b/>
          <w:bCs/>
          <w:noProof/>
          <w:lang w:val="en-US"/>
        </w:rPr>
        <w:t>2</w:t>
      </w:r>
      <w:r w:rsidRPr="00125386">
        <w:rPr>
          <w:rFonts w:ascii="Times New Roman" w:hAnsi="Times New Roman" w:cs="Times New Roman"/>
          <w:noProof/>
          <w:lang w:val="en-US"/>
        </w:rPr>
        <w:t>, 237–251.</w:t>
      </w:r>
    </w:p>
    <w:p w14:paraId="0B6B403E"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50</w:t>
      </w:r>
      <w:r w:rsidRPr="00125386">
        <w:rPr>
          <w:rFonts w:ascii="Times New Roman" w:hAnsi="Times New Roman" w:cs="Times New Roman"/>
          <w:noProof/>
          <w:lang w:val="en-US"/>
        </w:rPr>
        <w:tab/>
        <w:t xml:space="preserve">K. Fan, H. Chen, Y. Ji, H. Huang, P. M. Claesson, Q. Daniel, B. Philippe, H. Rensmo, F. Li, Y. Luo and L. Sun, Nickel-vanadium monolayer double hydroxide for efficient electrochemical water oxidation, </w:t>
      </w:r>
      <w:r w:rsidRPr="00125386">
        <w:rPr>
          <w:rFonts w:ascii="Times New Roman" w:hAnsi="Times New Roman" w:cs="Times New Roman"/>
          <w:i/>
          <w:iCs/>
          <w:noProof/>
          <w:lang w:val="en-US"/>
        </w:rPr>
        <w:t>Nat. Commun.</w:t>
      </w:r>
      <w:r w:rsidRPr="00125386">
        <w:rPr>
          <w:rFonts w:ascii="Times New Roman" w:hAnsi="Times New Roman" w:cs="Times New Roman"/>
          <w:noProof/>
          <w:lang w:val="en-US"/>
        </w:rPr>
        <w:t xml:space="preserve">, 2016, </w:t>
      </w:r>
      <w:r w:rsidRPr="00125386">
        <w:rPr>
          <w:rFonts w:ascii="Times New Roman" w:hAnsi="Times New Roman" w:cs="Times New Roman"/>
          <w:b/>
          <w:bCs/>
          <w:noProof/>
          <w:lang w:val="en-US"/>
        </w:rPr>
        <w:t>7</w:t>
      </w:r>
      <w:r w:rsidRPr="00125386">
        <w:rPr>
          <w:rFonts w:ascii="Times New Roman" w:hAnsi="Times New Roman" w:cs="Times New Roman"/>
          <w:noProof/>
          <w:lang w:val="en-US"/>
        </w:rPr>
        <w:t>, 1–9.</w:t>
      </w:r>
    </w:p>
    <w:p w14:paraId="2C8C35FC"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51</w:t>
      </w:r>
      <w:r w:rsidRPr="00125386">
        <w:rPr>
          <w:rFonts w:ascii="Times New Roman" w:hAnsi="Times New Roman" w:cs="Times New Roman"/>
          <w:noProof/>
          <w:lang w:val="en-US"/>
        </w:rPr>
        <w:tab/>
        <w:t xml:space="preserve">L. Zhuang, L. Ge, Y. Yang, M. Li, Y. Jia, X. Yao and Z. Zhu, Ultrathin Iron-Cobalt Oxide Nanosheets with Abundant Oxygen Vacancies for the Oxygen Evolution Reaction, </w:t>
      </w:r>
      <w:r w:rsidRPr="00125386">
        <w:rPr>
          <w:rFonts w:ascii="Times New Roman" w:hAnsi="Times New Roman" w:cs="Times New Roman"/>
          <w:i/>
          <w:iCs/>
          <w:noProof/>
          <w:lang w:val="en-US"/>
        </w:rPr>
        <w:t>Adv. Mater.</w:t>
      </w:r>
      <w:r w:rsidRPr="00125386">
        <w:rPr>
          <w:rFonts w:ascii="Times New Roman" w:hAnsi="Times New Roman" w:cs="Times New Roman"/>
          <w:noProof/>
          <w:lang w:val="en-US"/>
        </w:rPr>
        <w:t>, , DOI:10.1002/adma.201606793.</w:t>
      </w:r>
    </w:p>
    <w:p w14:paraId="19FFC583"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52</w:t>
      </w:r>
      <w:r w:rsidRPr="00125386">
        <w:rPr>
          <w:rFonts w:ascii="Times New Roman" w:hAnsi="Times New Roman" w:cs="Times New Roman"/>
          <w:noProof/>
          <w:lang w:val="en-US"/>
        </w:rPr>
        <w:tab/>
        <w:t xml:space="preserve">F. Lyu, Y. Bai, Z. Li, W. Xu, Q. Wang, J. Mao, L. Wang, X. Zhang and Y. Yin, Self-Templated Fabrication of CoO–MoO 2 Nanocages for Enhanced Oxygen Evolution, </w:t>
      </w:r>
      <w:r w:rsidRPr="00125386">
        <w:rPr>
          <w:rFonts w:ascii="Times New Roman" w:hAnsi="Times New Roman" w:cs="Times New Roman"/>
          <w:i/>
          <w:iCs/>
          <w:noProof/>
          <w:lang w:val="en-US"/>
        </w:rPr>
        <w:t>Adv. Funct. Mater.</w:t>
      </w:r>
      <w:r w:rsidRPr="00125386">
        <w:rPr>
          <w:rFonts w:ascii="Times New Roman" w:hAnsi="Times New Roman" w:cs="Times New Roman"/>
          <w:noProof/>
          <w:lang w:val="en-US"/>
        </w:rPr>
        <w:t xml:space="preserve">, 2017, </w:t>
      </w:r>
      <w:r w:rsidRPr="00125386">
        <w:rPr>
          <w:rFonts w:ascii="Times New Roman" w:hAnsi="Times New Roman" w:cs="Times New Roman"/>
          <w:b/>
          <w:bCs/>
          <w:noProof/>
          <w:lang w:val="en-US"/>
        </w:rPr>
        <w:t>27</w:t>
      </w:r>
      <w:r w:rsidRPr="00125386">
        <w:rPr>
          <w:rFonts w:ascii="Times New Roman" w:hAnsi="Times New Roman" w:cs="Times New Roman"/>
          <w:noProof/>
          <w:lang w:val="en-US"/>
        </w:rPr>
        <w:t>, 2–9.</w:t>
      </w:r>
    </w:p>
    <w:p w14:paraId="0448F894"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53</w:t>
      </w:r>
      <w:r w:rsidRPr="00125386">
        <w:rPr>
          <w:rFonts w:ascii="Times New Roman" w:hAnsi="Times New Roman" w:cs="Times New Roman"/>
          <w:noProof/>
          <w:lang w:val="en-US"/>
        </w:rPr>
        <w:tab/>
        <w:t xml:space="preserve">F. Song, K. Schenk and X. Hu, A nanoporous oxygen evolution catalyst synthesized by selective electrochemical etching of perovskite hydroxide CoSn(OH)6 nanocubes, </w:t>
      </w:r>
      <w:r w:rsidRPr="00125386">
        <w:rPr>
          <w:rFonts w:ascii="Times New Roman" w:hAnsi="Times New Roman" w:cs="Times New Roman"/>
          <w:i/>
          <w:iCs/>
          <w:noProof/>
          <w:lang w:val="en-US"/>
        </w:rPr>
        <w:t>Energy Environ. Sci.</w:t>
      </w:r>
      <w:r w:rsidRPr="00125386">
        <w:rPr>
          <w:rFonts w:ascii="Times New Roman" w:hAnsi="Times New Roman" w:cs="Times New Roman"/>
          <w:noProof/>
          <w:lang w:val="en-US"/>
        </w:rPr>
        <w:t xml:space="preserve">, 2016, </w:t>
      </w:r>
      <w:r w:rsidRPr="00125386">
        <w:rPr>
          <w:rFonts w:ascii="Times New Roman" w:hAnsi="Times New Roman" w:cs="Times New Roman"/>
          <w:b/>
          <w:bCs/>
          <w:noProof/>
          <w:lang w:val="en-US"/>
        </w:rPr>
        <w:t>9</w:t>
      </w:r>
      <w:r w:rsidRPr="00125386">
        <w:rPr>
          <w:rFonts w:ascii="Times New Roman" w:hAnsi="Times New Roman" w:cs="Times New Roman"/>
          <w:noProof/>
          <w:lang w:val="en-US"/>
        </w:rPr>
        <w:t>, 473–477.</w:t>
      </w:r>
    </w:p>
    <w:p w14:paraId="7E74EBE7"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54</w:t>
      </w:r>
      <w:r w:rsidRPr="00125386">
        <w:rPr>
          <w:rFonts w:ascii="Times New Roman" w:hAnsi="Times New Roman" w:cs="Times New Roman"/>
          <w:noProof/>
          <w:lang w:val="en-US"/>
        </w:rPr>
        <w:tab/>
        <w:t xml:space="preserve">J. Bao, X. Zhang, B. Fan, J. Zhang, M. Zhou, W. Yang, X. Hu, H. Wang, B. Pan and Y. Xie, Ultrathin Spinel-Structured Nanosheets Rich in Oxygen Deficiencies for Enhanced Electrocatalytic Water Oxidation, </w:t>
      </w:r>
      <w:r w:rsidRPr="00125386">
        <w:rPr>
          <w:rFonts w:ascii="Times New Roman" w:hAnsi="Times New Roman" w:cs="Times New Roman"/>
          <w:i/>
          <w:iCs/>
          <w:noProof/>
          <w:lang w:val="en-US"/>
        </w:rPr>
        <w:t>Angew. Chemie - Int. Ed.</w:t>
      </w:r>
      <w:r w:rsidRPr="00125386">
        <w:rPr>
          <w:rFonts w:ascii="Times New Roman" w:hAnsi="Times New Roman" w:cs="Times New Roman"/>
          <w:noProof/>
          <w:lang w:val="en-US"/>
        </w:rPr>
        <w:t xml:space="preserve">, 2015, </w:t>
      </w:r>
      <w:r w:rsidRPr="00125386">
        <w:rPr>
          <w:rFonts w:ascii="Times New Roman" w:hAnsi="Times New Roman" w:cs="Times New Roman"/>
          <w:b/>
          <w:bCs/>
          <w:noProof/>
          <w:lang w:val="en-US"/>
        </w:rPr>
        <w:t>54</w:t>
      </w:r>
      <w:r w:rsidRPr="00125386">
        <w:rPr>
          <w:rFonts w:ascii="Times New Roman" w:hAnsi="Times New Roman" w:cs="Times New Roman"/>
          <w:noProof/>
          <w:lang w:val="en-US"/>
        </w:rPr>
        <w:t>, 7399–7404.</w:t>
      </w:r>
    </w:p>
    <w:p w14:paraId="668AE837"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55</w:t>
      </w:r>
      <w:r w:rsidRPr="00125386">
        <w:rPr>
          <w:rFonts w:ascii="Times New Roman" w:hAnsi="Times New Roman" w:cs="Times New Roman"/>
          <w:noProof/>
          <w:lang w:val="en-US"/>
        </w:rPr>
        <w:tab/>
        <w:t xml:space="preserve">Y. Liu, H. Cheng, M. Lyu, S. Fan, Q. Liu, W. Zhang, Y. Zhi, C. Wang, C. Xiao, S. Wei, B. Ye and Y. Xie, Low overpotential in vacancy-rich ultrathin CoSe2 nanosheets </w:t>
      </w:r>
      <w:r w:rsidRPr="00125386">
        <w:rPr>
          <w:rFonts w:ascii="Times New Roman" w:hAnsi="Times New Roman" w:cs="Times New Roman"/>
          <w:noProof/>
          <w:lang w:val="en-US"/>
        </w:rPr>
        <w:lastRenderedPageBreak/>
        <w:t xml:space="preserve">for water oxidation, </w:t>
      </w:r>
      <w:r w:rsidRPr="00125386">
        <w:rPr>
          <w:rFonts w:ascii="Times New Roman" w:hAnsi="Times New Roman" w:cs="Times New Roman"/>
          <w:i/>
          <w:iCs/>
          <w:noProof/>
          <w:lang w:val="en-US"/>
        </w:rPr>
        <w:t>J. Am. Chem. Soc.</w:t>
      </w:r>
      <w:r w:rsidRPr="00125386">
        <w:rPr>
          <w:rFonts w:ascii="Times New Roman" w:hAnsi="Times New Roman" w:cs="Times New Roman"/>
          <w:noProof/>
          <w:lang w:val="en-US"/>
        </w:rPr>
        <w:t xml:space="preserve">, 2014, </w:t>
      </w:r>
      <w:r w:rsidRPr="00125386">
        <w:rPr>
          <w:rFonts w:ascii="Times New Roman" w:hAnsi="Times New Roman" w:cs="Times New Roman"/>
          <w:b/>
          <w:bCs/>
          <w:noProof/>
          <w:lang w:val="en-US"/>
        </w:rPr>
        <w:t>136</w:t>
      </w:r>
      <w:r w:rsidRPr="00125386">
        <w:rPr>
          <w:rFonts w:ascii="Times New Roman" w:hAnsi="Times New Roman" w:cs="Times New Roman"/>
          <w:noProof/>
          <w:lang w:val="en-US"/>
        </w:rPr>
        <w:t>, 15670–15675.</w:t>
      </w:r>
    </w:p>
    <w:p w14:paraId="79FB6403"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56</w:t>
      </w:r>
      <w:r w:rsidRPr="00125386">
        <w:rPr>
          <w:rFonts w:ascii="Times New Roman" w:hAnsi="Times New Roman" w:cs="Times New Roman"/>
          <w:noProof/>
          <w:lang w:val="en-US"/>
        </w:rPr>
        <w:tab/>
        <w:t xml:space="preserve">J. Yang, G. Zhu, Y. Liu, J. Xia, Z. Ji, X. Shen and S. Wu, Fe3O4-Decorated Co9S8 Nanoparticles In Situ Grown on Reduced Graphene Oxide: A New and Efficient Electrocatalyst for Oxygen Evolution Reaction, </w:t>
      </w:r>
      <w:r w:rsidRPr="00125386">
        <w:rPr>
          <w:rFonts w:ascii="Times New Roman" w:hAnsi="Times New Roman" w:cs="Times New Roman"/>
          <w:i/>
          <w:iCs/>
          <w:noProof/>
          <w:lang w:val="en-US"/>
        </w:rPr>
        <w:t>Adv. Funct. Mater.</w:t>
      </w:r>
      <w:r w:rsidRPr="00125386">
        <w:rPr>
          <w:rFonts w:ascii="Times New Roman" w:hAnsi="Times New Roman" w:cs="Times New Roman"/>
          <w:noProof/>
          <w:lang w:val="en-US"/>
        </w:rPr>
        <w:t xml:space="preserve">, 2016, </w:t>
      </w:r>
      <w:r w:rsidRPr="00125386">
        <w:rPr>
          <w:rFonts w:ascii="Times New Roman" w:hAnsi="Times New Roman" w:cs="Times New Roman"/>
          <w:b/>
          <w:bCs/>
          <w:noProof/>
          <w:lang w:val="en-US"/>
        </w:rPr>
        <w:t>26</w:t>
      </w:r>
      <w:r w:rsidRPr="00125386">
        <w:rPr>
          <w:rFonts w:ascii="Times New Roman" w:hAnsi="Times New Roman" w:cs="Times New Roman"/>
          <w:noProof/>
          <w:lang w:val="en-US"/>
        </w:rPr>
        <w:t>, 4712–4721.</w:t>
      </w:r>
    </w:p>
    <w:p w14:paraId="3C38C5B8"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57</w:t>
      </w:r>
      <w:r w:rsidRPr="00125386">
        <w:rPr>
          <w:rFonts w:ascii="Times New Roman" w:hAnsi="Times New Roman" w:cs="Times New Roman"/>
          <w:noProof/>
          <w:lang w:val="en-US"/>
        </w:rPr>
        <w:tab/>
        <w:t xml:space="preserve">X. Zhao, H. Zhang, Y. Yan, J. Cao, X. Li, S. Zhou, Z. Peng and J. Zeng, Engineering the Electrical Conductivity of Lamellar Silver-Doped Cobalt(II) Selenide Nanobelts for Enhanced Oxygen Evolution, </w:t>
      </w:r>
      <w:r w:rsidRPr="00125386">
        <w:rPr>
          <w:rFonts w:ascii="Times New Roman" w:hAnsi="Times New Roman" w:cs="Times New Roman"/>
          <w:i/>
          <w:iCs/>
          <w:noProof/>
          <w:lang w:val="en-US"/>
        </w:rPr>
        <w:t>Angew. Chemie - Int. Ed.</w:t>
      </w:r>
      <w:r w:rsidRPr="00125386">
        <w:rPr>
          <w:rFonts w:ascii="Times New Roman" w:hAnsi="Times New Roman" w:cs="Times New Roman"/>
          <w:noProof/>
          <w:lang w:val="en-US"/>
        </w:rPr>
        <w:t xml:space="preserve">, 2017, </w:t>
      </w:r>
      <w:r w:rsidRPr="00125386">
        <w:rPr>
          <w:rFonts w:ascii="Times New Roman" w:hAnsi="Times New Roman" w:cs="Times New Roman"/>
          <w:b/>
          <w:bCs/>
          <w:noProof/>
          <w:lang w:val="en-US"/>
        </w:rPr>
        <w:t>56</w:t>
      </w:r>
      <w:r w:rsidRPr="00125386">
        <w:rPr>
          <w:rFonts w:ascii="Times New Roman" w:hAnsi="Times New Roman" w:cs="Times New Roman"/>
          <w:noProof/>
          <w:lang w:val="en-US"/>
        </w:rPr>
        <w:t>, 328–332.</w:t>
      </w:r>
    </w:p>
    <w:p w14:paraId="6905FCC8"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58</w:t>
      </w:r>
      <w:r w:rsidRPr="00125386">
        <w:rPr>
          <w:rFonts w:ascii="Times New Roman" w:hAnsi="Times New Roman" w:cs="Times New Roman"/>
          <w:noProof/>
          <w:lang w:val="en-US"/>
        </w:rPr>
        <w:tab/>
        <w:t xml:space="preserve">F. Song and X. Hu, Ultrathin cobalt-manganese layered double hydroxide is an efficient oxygen evolution catalyst, </w:t>
      </w:r>
      <w:r w:rsidRPr="00125386">
        <w:rPr>
          <w:rFonts w:ascii="Times New Roman" w:hAnsi="Times New Roman" w:cs="Times New Roman"/>
          <w:i/>
          <w:iCs/>
          <w:noProof/>
          <w:lang w:val="en-US"/>
        </w:rPr>
        <w:t>J. Am. Chem. Soc.</w:t>
      </w:r>
      <w:r w:rsidRPr="00125386">
        <w:rPr>
          <w:rFonts w:ascii="Times New Roman" w:hAnsi="Times New Roman" w:cs="Times New Roman"/>
          <w:noProof/>
          <w:lang w:val="en-US"/>
        </w:rPr>
        <w:t xml:space="preserve">, 2014, </w:t>
      </w:r>
      <w:r w:rsidRPr="00125386">
        <w:rPr>
          <w:rFonts w:ascii="Times New Roman" w:hAnsi="Times New Roman" w:cs="Times New Roman"/>
          <w:b/>
          <w:bCs/>
          <w:noProof/>
          <w:lang w:val="en-US"/>
        </w:rPr>
        <w:t>136</w:t>
      </w:r>
      <w:r w:rsidRPr="00125386">
        <w:rPr>
          <w:rFonts w:ascii="Times New Roman" w:hAnsi="Times New Roman" w:cs="Times New Roman"/>
          <w:noProof/>
          <w:lang w:val="en-US"/>
        </w:rPr>
        <w:t>, 16481–16484.</w:t>
      </w:r>
    </w:p>
    <w:p w14:paraId="25BF75CD"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59</w:t>
      </w:r>
      <w:r w:rsidRPr="00125386">
        <w:rPr>
          <w:rFonts w:ascii="Times New Roman" w:hAnsi="Times New Roman" w:cs="Times New Roman"/>
          <w:noProof/>
          <w:lang w:val="en-US"/>
        </w:rPr>
        <w:tab/>
        <w:t xml:space="preserve">X. Han, C. Yu, S. Zhou, C. Zhao, H. Huang, J. Yang, Z. Liu, J. Zhao and J. Qiu, Ultrasensitive Iron-Triggered Nanosized Fe–CoOOH Integrated with Graphene for Highly Efficient Oxygen Evolution, </w:t>
      </w:r>
      <w:r w:rsidRPr="00125386">
        <w:rPr>
          <w:rFonts w:ascii="Times New Roman" w:hAnsi="Times New Roman" w:cs="Times New Roman"/>
          <w:i/>
          <w:iCs/>
          <w:noProof/>
          <w:lang w:val="en-US"/>
        </w:rPr>
        <w:t>Adv. Energy Mater.</w:t>
      </w:r>
      <w:r w:rsidRPr="00125386">
        <w:rPr>
          <w:rFonts w:ascii="Times New Roman" w:hAnsi="Times New Roman" w:cs="Times New Roman"/>
          <w:noProof/>
          <w:lang w:val="en-US"/>
        </w:rPr>
        <w:t>, , DOI:10.1002/aenm.201602148.</w:t>
      </w:r>
    </w:p>
    <w:p w14:paraId="3D16F797"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60</w:t>
      </w:r>
      <w:r w:rsidRPr="00125386">
        <w:rPr>
          <w:rFonts w:ascii="Times New Roman" w:hAnsi="Times New Roman" w:cs="Times New Roman"/>
          <w:noProof/>
          <w:lang w:val="en-US"/>
        </w:rPr>
        <w:tab/>
        <w:t xml:space="preserve">M. Gao, W. Sheng, Z. Zhuang, Q. Fang, S. Gu, J. Jiang and Y. Yan, Efficient water oxidation using nanostructured α-nickel-hydroxide as an electrocatalyst, </w:t>
      </w:r>
      <w:r w:rsidRPr="00125386">
        <w:rPr>
          <w:rFonts w:ascii="Times New Roman" w:hAnsi="Times New Roman" w:cs="Times New Roman"/>
          <w:i/>
          <w:iCs/>
          <w:noProof/>
          <w:lang w:val="en-US"/>
        </w:rPr>
        <w:t>J. Am. Chem. Soc.</w:t>
      </w:r>
      <w:r w:rsidRPr="00125386">
        <w:rPr>
          <w:rFonts w:ascii="Times New Roman" w:hAnsi="Times New Roman" w:cs="Times New Roman"/>
          <w:noProof/>
          <w:lang w:val="en-US"/>
        </w:rPr>
        <w:t xml:space="preserve">, 2014, </w:t>
      </w:r>
      <w:r w:rsidRPr="00125386">
        <w:rPr>
          <w:rFonts w:ascii="Times New Roman" w:hAnsi="Times New Roman" w:cs="Times New Roman"/>
          <w:b/>
          <w:bCs/>
          <w:noProof/>
          <w:lang w:val="en-US"/>
        </w:rPr>
        <w:t>136</w:t>
      </w:r>
      <w:r w:rsidRPr="00125386">
        <w:rPr>
          <w:rFonts w:ascii="Times New Roman" w:hAnsi="Times New Roman" w:cs="Times New Roman"/>
          <w:noProof/>
          <w:lang w:val="en-US"/>
        </w:rPr>
        <w:t>, 7077–7084.</w:t>
      </w:r>
    </w:p>
    <w:p w14:paraId="35252596"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61</w:t>
      </w:r>
      <w:r w:rsidRPr="00125386">
        <w:rPr>
          <w:rFonts w:ascii="Times New Roman" w:hAnsi="Times New Roman" w:cs="Times New Roman"/>
          <w:noProof/>
          <w:lang w:val="en-US"/>
        </w:rPr>
        <w:tab/>
        <w:t xml:space="preserve">C. Tang, H. Sen Wang, H. F. Wang, Q. Zhang, G. L. Tian, J. Q. Nie and F. Wei, Spatially Confined Hybridization of Nanometer-Sized NiFe Hydroxides into Nitrogen-Doped Graphene Frameworks Leading to Superior Oxygen Evolution Reactivity, </w:t>
      </w:r>
      <w:r w:rsidRPr="00125386">
        <w:rPr>
          <w:rFonts w:ascii="Times New Roman" w:hAnsi="Times New Roman" w:cs="Times New Roman"/>
          <w:i/>
          <w:iCs/>
          <w:noProof/>
          <w:lang w:val="en-US"/>
        </w:rPr>
        <w:t>Adv. Mater.</w:t>
      </w:r>
      <w:r w:rsidRPr="00125386">
        <w:rPr>
          <w:rFonts w:ascii="Times New Roman" w:hAnsi="Times New Roman" w:cs="Times New Roman"/>
          <w:noProof/>
          <w:lang w:val="en-US"/>
        </w:rPr>
        <w:t xml:space="preserve">, 2015, </w:t>
      </w:r>
      <w:r w:rsidRPr="00125386">
        <w:rPr>
          <w:rFonts w:ascii="Times New Roman" w:hAnsi="Times New Roman" w:cs="Times New Roman"/>
          <w:b/>
          <w:bCs/>
          <w:noProof/>
          <w:lang w:val="en-US"/>
        </w:rPr>
        <w:t>27</w:t>
      </w:r>
      <w:r w:rsidRPr="00125386">
        <w:rPr>
          <w:rFonts w:ascii="Times New Roman" w:hAnsi="Times New Roman" w:cs="Times New Roman"/>
          <w:noProof/>
          <w:lang w:val="en-US"/>
        </w:rPr>
        <w:t>, 4516–4522.</w:t>
      </w:r>
    </w:p>
    <w:p w14:paraId="6D1FBB23"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62</w:t>
      </w:r>
      <w:r w:rsidRPr="00125386">
        <w:rPr>
          <w:rFonts w:ascii="Times New Roman" w:hAnsi="Times New Roman" w:cs="Times New Roman"/>
          <w:noProof/>
          <w:lang w:val="en-US"/>
        </w:rPr>
        <w:tab/>
        <w:t xml:space="preserve">J. Jiang, C. Yan, X. Zhao, H. Luo, Z. Xue and T. Mu, A PEGylated deep eutectic solvent for controllable solvothermal synthesis of porous NiCo2S4 for efficient oxygen evolution reaction, </w:t>
      </w:r>
      <w:r w:rsidRPr="00125386">
        <w:rPr>
          <w:rFonts w:ascii="Times New Roman" w:hAnsi="Times New Roman" w:cs="Times New Roman"/>
          <w:i/>
          <w:iCs/>
          <w:noProof/>
          <w:lang w:val="en-US"/>
        </w:rPr>
        <w:t>Green Chem.</w:t>
      </w:r>
      <w:r w:rsidRPr="00125386">
        <w:rPr>
          <w:rFonts w:ascii="Times New Roman" w:hAnsi="Times New Roman" w:cs="Times New Roman"/>
          <w:noProof/>
          <w:lang w:val="en-US"/>
        </w:rPr>
        <w:t xml:space="preserve">, 2017, </w:t>
      </w:r>
      <w:r w:rsidRPr="00125386">
        <w:rPr>
          <w:rFonts w:ascii="Times New Roman" w:hAnsi="Times New Roman" w:cs="Times New Roman"/>
          <w:b/>
          <w:bCs/>
          <w:noProof/>
          <w:lang w:val="en-US"/>
        </w:rPr>
        <w:t>19</w:t>
      </w:r>
      <w:r w:rsidRPr="00125386">
        <w:rPr>
          <w:rFonts w:ascii="Times New Roman" w:hAnsi="Times New Roman" w:cs="Times New Roman"/>
          <w:noProof/>
          <w:lang w:val="en-US"/>
        </w:rPr>
        <w:t>, 3023–3031.</w:t>
      </w:r>
    </w:p>
    <w:p w14:paraId="755B3123"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63</w:t>
      </w:r>
      <w:r w:rsidRPr="00125386">
        <w:rPr>
          <w:rFonts w:ascii="Times New Roman" w:hAnsi="Times New Roman" w:cs="Times New Roman"/>
          <w:noProof/>
          <w:lang w:val="en-US"/>
        </w:rPr>
        <w:tab/>
        <w:t xml:space="preserve">H. Hu, B. Guan, B. Xia and X. W. Lou, Designed formation of Co3O4/NiCo2O4 double-shelled nanocages with enhanced pseudocapacitive and electrocatalytic properties, </w:t>
      </w:r>
      <w:r w:rsidRPr="00125386">
        <w:rPr>
          <w:rFonts w:ascii="Times New Roman" w:hAnsi="Times New Roman" w:cs="Times New Roman"/>
          <w:i/>
          <w:iCs/>
          <w:noProof/>
          <w:lang w:val="en-US"/>
        </w:rPr>
        <w:t>J. Am. Chem. Soc.</w:t>
      </w:r>
      <w:r w:rsidRPr="00125386">
        <w:rPr>
          <w:rFonts w:ascii="Times New Roman" w:hAnsi="Times New Roman" w:cs="Times New Roman"/>
          <w:noProof/>
          <w:lang w:val="en-US"/>
        </w:rPr>
        <w:t xml:space="preserve">, 2015, </w:t>
      </w:r>
      <w:r w:rsidRPr="00125386">
        <w:rPr>
          <w:rFonts w:ascii="Times New Roman" w:hAnsi="Times New Roman" w:cs="Times New Roman"/>
          <w:b/>
          <w:bCs/>
          <w:noProof/>
          <w:lang w:val="en-US"/>
        </w:rPr>
        <w:t>137</w:t>
      </w:r>
      <w:r w:rsidRPr="00125386">
        <w:rPr>
          <w:rFonts w:ascii="Times New Roman" w:hAnsi="Times New Roman" w:cs="Times New Roman"/>
          <w:noProof/>
          <w:lang w:val="en-US"/>
        </w:rPr>
        <w:t>, 5590–5595.</w:t>
      </w:r>
    </w:p>
    <w:p w14:paraId="4678FCA2"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64</w:t>
      </w:r>
      <w:r w:rsidRPr="00125386">
        <w:rPr>
          <w:rFonts w:ascii="Times New Roman" w:hAnsi="Times New Roman" w:cs="Times New Roman"/>
          <w:noProof/>
          <w:lang w:val="en-US"/>
        </w:rPr>
        <w:tab/>
        <w:t xml:space="preserve">F. Yang, K. Sliozberg, I. Sinev, H. Antoni, A. Bähr, K. Ollegott, W. Xia, J. Masa, W. Grünert, B. R. Cuenya, W. Schuhmann and M. Muhler, Synergistic Effect of Cobalt and Iron in Layered Double Hydroxide Catalysts for the Oxygen Evolution Reaction, </w:t>
      </w:r>
      <w:r w:rsidRPr="00125386">
        <w:rPr>
          <w:rFonts w:ascii="Times New Roman" w:hAnsi="Times New Roman" w:cs="Times New Roman"/>
          <w:i/>
          <w:iCs/>
          <w:noProof/>
          <w:lang w:val="en-US"/>
        </w:rPr>
        <w:t>ChemSusChem</w:t>
      </w:r>
      <w:r w:rsidRPr="00125386">
        <w:rPr>
          <w:rFonts w:ascii="Times New Roman" w:hAnsi="Times New Roman" w:cs="Times New Roman"/>
          <w:noProof/>
          <w:lang w:val="en-US"/>
        </w:rPr>
        <w:t xml:space="preserve">, 2017, </w:t>
      </w:r>
      <w:r w:rsidRPr="00125386">
        <w:rPr>
          <w:rFonts w:ascii="Times New Roman" w:hAnsi="Times New Roman" w:cs="Times New Roman"/>
          <w:b/>
          <w:bCs/>
          <w:noProof/>
          <w:lang w:val="en-US"/>
        </w:rPr>
        <w:t>10</w:t>
      </w:r>
      <w:r w:rsidRPr="00125386">
        <w:rPr>
          <w:rFonts w:ascii="Times New Roman" w:hAnsi="Times New Roman" w:cs="Times New Roman"/>
          <w:noProof/>
          <w:lang w:val="en-US"/>
        </w:rPr>
        <w:t>, 156–165.</w:t>
      </w:r>
    </w:p>
    <w:p w14:paraId="2A80A281"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65</w:t>
      </w:r>
      <w:r w:rsidRPr="00125386">
        <w:rPr>
          <w:rFonts w:ascii="Times New Roman" w:hAnsi="Times New Roman" w:cs="Times New Roman"/>
          <w:noProof/>
          <w:lang w:val="en-US"/>
        </w:rPr>
        <w:tab/>
        <w:t xml:space="preserve">Q. Gao, C. Q. Huang, Y. M. Ju, M. R. Gao, J. W. Liu, D. An, C. H. Cui, Y. R. Zheng, W. X. Li and S. H. Yu, Phase-Selective Syntheses of Cobalt Telluride Nanofleeces for Efficient Oxygen Evolution Catalysts, </w:t>
      </w:r>
      <w:r w:rsidRPr="00125386">
        <w:rPr>
          <w:rFonts w:ascii="Times New Roman" w:hAnsi="Times New Roman" w:cs="Times New Roman"/>
          <w:i/>
          <w:iCs/>
          <w:noProof/>
          <w:lang w:val="en-US"/>
        </w:rPr>
        <w:t>Angew. Chemie - Int. Ed.</w:t>
      </w:r>
      <w:r w:rsidRPr="00125386">
        <w:rPr>
          <w:rFonts w:ascii="Times New Roman" w:hAnsi="Times New Roman" w:cs="Times New Roman"/>
          <w:noProof/>
          <w:lang w:val="en-US"/>
        </w:rPr>
        <w:t xml:space="preserve">, 2017, </w:t>
      </w:r>
      <w:r w:rsidRPr="00125386">
        <w:rPr>
          <w:rFonts w:ascii="Times New Roman" w:hAnsi="Times New Roman" w:cs="Times New Roman"/>
          <w:b/>
          <w:bCs/>
          <w:noProof/>
          <w:lang w:val="en-US"/>
        </w:rPr>
        <w:t>56</w:t>
      </w:r>
      <w:r w:rsidRPr="00125386">
        <w:rPr>
          <w:rFonts w:ascii="Times New Roman" w:hAnsi="Times New Roman" w:cs="Times New Roman"/>
          <w:noProof/>
          <w:lang w:val="en-US"/>
        </w:rPr>
        <w:t>, 7769–7773.</w:t>
      </w:r>
    </w:p>
    <w:p w14:paraId="23E6E590"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lastRenderedPageBreak/>
        <w:t>66</w:t>
      </w:r>
      <w:r w:rsidRPr="00125386">
        <w:rPr>
          <w:rFonts w:ascii="Times New Roman" w:hAnsi="Times New Roman" w:cs="Times New Roman"/>
          <w:noProof/>
          <w:lang w:val="en-US"/>
        </w:rPr>
        <w:tab/>
        <w:t xml:space="preserve">B. Zhao, L. Zhang, D. Zhen, S. Yoo, Y. Ding, D. Chen, Y. Chen, Q. Zhang, B. Doyle, X. Xiong and M. Liu, A tailored double perovskite nanofiber catalyst enables ultrafast oxygen evolution, </w:t>
      </w:r>
      <w:r w:rsidRPr="00125386">
        <w:rPr>
          <w:rFonts w:ascii="Times New Roman" w:hAnsi="Times New Roman" w:cs="Times New Roman"/>
          <w:i/>
          <w:iCs/>
          <w:noProof/>
          <w:lang w:val="en-US"/>
        </w:rPr>
        <w:t>Nat. Commun.</w:t>
      </w:r>
      <w:r w:rsidRPr="00125386">
        <w:rPr>
          <w:rFonts w:ascii="Times New Roman" w:hAnsi="Times New Roman" w:cs="Times New Roman"/>
          <w:noProof/>
          <w:lang w:val="en-US"/>
        </w:rPr>
        <w:t xml:space="preserve">, 2017, </w:t>
      </w:r>
      <w:r w:rsidRPr="00125386">
        <w:rPr>
          <w:rFonts w:ascii="Times New Roman" w:hAnsi="Times New Roman" w:cs="Times New Roman"/>
          <w:b/>
          <w:bCs/>
          <w:noProof/>
          <w:lang w:val="en-US"/>
        </w:rPr>
        <w:t>8</w:t>
      </w:r>
      <w:r w:rsidRPr="00125386">
        <w:rPr>
          <w:rFonts w:ascii="Times New Roman" w:hAnsi="Times New Roman" w:cs="Times New Roman"/>
          <w:noProof/>
          <w:lang w:val="en-US"/>
        </w:rPr>
        <w:t>, 1–9.</w:t>
      </w:r>
    </w:p>
    <w:p w14:paraId="6C018FB7"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67</w:t>
      </w:r>
      <w:r w:rsidRPr="00125386">
        <w:rPr>
          <w:rFonts w:ascii="Times New Roman" w:hAnsi="Times New Roman" w:cs="Times New Roman"/>
          <w:noProof/>
          <w:lang w:val="en-US"/>
        </w:rPr>
        <w:tab/>
        <w:t xml:space="preserve">W. Zhao, C. Zhang, F. Geng, S. Zhuo and B. Zhang, Nanoporous hollow transition metal chalcogenide nanosheets synthesized via the anion-exchange reaction of metal hydroxides with chalcogenide ions, </w:t>
      </w:r>
      <w:r w:rsidRPr="00125386">
        <w:rPr>
          <w:rFonts w:ascii="Times New Roman" w:hAnsi="Times New Roman" w:cs="Times New Roman"/>
          <w:i/>
          <w:iCs/>
          <w:noProof/>
          <w:lang w:val="en-US"/>
        </w:rPr>
        <w:t>ACS Nano</w:t>
      </w:r>
      <w:r w:rsidRPr="00125386">
        <w:rPr>
          <w:rFonts w:ascii="Times New Roman" w:hAnsi="Times New Roman" w:cs="Times New Roman"/>
          <w:noProof/>
          <w:lang w:val="en-US"/>
        </w:rPr>
        <w:t xml:space="preserve">, 2014, </w:t>
      </w:r>
      <w:r w:rsidRPr="00125386">
        <w:rPr>
          <w:rFonts w:ascii="Times New Roman" w:hAnsi="Times New Roman" w:cs="Times New Roman"/>
          <w:b/>
          <w:bCs/>
          <w:noProof/>
          <w:lang w:val="en-US"/>
        </w:rPr>
        <w:t>8</w:t>
      </w:r>
      <w:r w:rsidRPr="00125386">
        <w:rPr>
          <w:rFonts w:ascii="Times New Roman" w:hAnsi="Times New Roman" w:cs="Times New Roman"/>
          <w:noProof/>
          <w:lang w:val="en-US"/>
        </w:rPr>
        <w:t>, 10909–10919.</w:t>
      </w:r>
    </w:p>
    <w:p w14:paraId="12F3477C"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68</w:t>
      </w:r>
      <w:r w:rsidRPr="00125386">
        <w:rPr>
          <w:rFonts w:ascii="Times New Roman" w:hAnsi="Times New Roman" w:cs="Times New Roman"/>
          <w:noProof/>
          <w:lang w:val="en-US"/>
        </w:rPr>
        <w:tab/>
        <w:t xml:space="preserve">M. R. Gao, X. Cao, Q. Gao, Y. F. Xu, Y. R. Zheng, J. Jiang and S. H. Yu, Nitrogen-doped graphene supported CoSe2 nanobelt composite catalyst for efficient water oxidation, </w:t>
      </w:r>
      <w:r w:rsidRPr="00125386">
        <w:rPr>
          <w:rFonts w:ascii="Times New Roman" w:hAnsi="Times New Roman" w:cs="Times New Roman"/>
          <w:i/>
          <w:iCs/>
          <w:noProof/>
          <w:lang w:val="en-US"/>
        </w:rPr>
        <w:t>ACS Nano</w:t>
      </w:r>
      <w:r w:rsidRPr="00125386">
        <w:rPr>
          <w:rFonts w:ascii="Times New Roman" w:hAnsi="Times New Roman" w:cs="Times New Roman"/>
          <w:noProof/>
          <w:lang w:val="en-US"/>
        </w:rPr>
        <w:t xml:space="preserve">, 2014, </w:t>
      </w:r>
      <w:r w:rsidRPr="00125386">
        <w:rPr>
          <w:rFonts w:ascii="Times New Roman" w:hAnsi="Times New Roman" w:cs="Times New Roman"/>
          <w:b/>
          <w:bCs/>
          <w:noProof/>
          <w:lang w:val="en-US"/>
        </w:rPr>
        <w:t>8</w:t>
      </w:r>
      <w:r w:rsidRPr="00125386">
        <w:rPr>
          <w:rFonts w:ascii="Times New Roman" w:hAnsi="Times New Roman" w:cs="Times New Roman"/>
          <w:noProof/>
          <w:lang w:val="en-US"/>
        </w:rPr>
        <w:t>, 3970–3978.</w:t>
      </w:r>
    </w:p>
    <w:p w14:paraId="1A0A1805"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69</w:t>
      </w:r>
      <w:r w:rsidRPr="00125386">
        <w:rPr>
          <w:rFonts w:ascii="Times New Roman" w:hAnsi="Times New Roman" w:cs="Times New Roman"/>
          <w:noProof/>
          <w:lang w:val="en-US"/>
        </w:rPr>
        <w:tab/>
        <w:t xml:space="preserve">H. Liang, F. Meng, M. Cabán-Acevedo, L. Li, A. Forticaux, L. Xiu, Z. Wang and S. Jin, Hydrothermal continuous flow synthesis and exfoliation of NiCo layered double hydroxide nanosheets for enhanced oxygen evolution catalysis, </w:t>
      </w:r>
      <w:r w:rsidRPr="00125386">
        <w:rPr>
          <w:rFonts w:ascii="Times New Roman" w:hAnsi="Times New Roman" w:cs="Times New Roman"/>
          <w:i/>
          <w:iCs/>
          <w:noProof/>
          <w:lang w:val="en-US"/>
        </w:rPr>
        <w:t>Nano Lett.</w:t>
      </w:r>
      <w:r w:rsidRPr="00125386">
        <w:rPr>
          <w:rFonts w:ascii="Times New Roman" w:hAnsi="Times New Roman" w:cs="Times New Roman"/>
          <w:noProof/>
          <w:lang w:val="en-US"/>
        </w:rPr>
        <w:t xml:space="preserve">, 2015, </w:t>
      </w:r>
      <w:r w:rsidRPr="00125386">
        <w:rPr>
          <w:rFonts w:ascii="Times New Roman" w:hAnsi="Times New Roman" w:cs="Times New Roman"/>
          <w:b/>
          <w:bCs/>
          <w:noProof/>
          <w:lang w:val="en-US"/>
        </w:rPr>
        <w:t>15</w:t>
      </w:r>
      <w:r w:rsidRPr="00125386">
        <w:rPr>
          <w:rFonts w:ascii="Times New Roman" w:hAnsi="Times New Roman" w:cs="Times New Roman"/>
          <w:noProof/>
          <w:lang w:val="en-US"/>
        </w:rPr>
        <w:t>, 1421–1427.</w:t>
      </w:r>
    </w:p>
    <w:p w14:paraId="10484598"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70</w:t>
      </w:r>
      <w:r w:rsidRPr="00125386">
        <w:rPr>
          <w:rFonts w:ascii="Times New Roman" w:hAnsi="Times New Roman" w:cs="Times New Roman"/>
          <w:noProof/>
          <w:lang w:val="en-US"/>
        </w:rPr>
        <w:tab/>
        <w:t xml:space="preserve">C. Guo, Y. Zheng, J. Ran, F. Xie, M. Jaroniec and S. Z. Qiao, Engineering High-Energy Interfacial Structures for High-Performance Oxygen-Involving Electrocatalysis, </w:t>
      </w:r>
      <w:r w:rsidRPr="00125386">
        <w:rPr>
          <w:rFonts w:ascii="Times New Roman" w:hAnsi="Times New Roman" w:cs="Times New Roman"/>
          <w:i/>
          <w:iCs/>
          <w:noProof/>
          <w:lang w:val="en-US"/>
        </w:rPr>
        <w:t>Angew. Chemie - Int. Ed.</w:t>
      </w:r>
      <w:r w:rsidRPr="00125386">
        <w:rPr>
          <w:rFonts w:ascii="Times New Roman" w:hAnsi="Times New Roman" w:cs="Times New Roman"/>
          <w:noProof/>
          <w:lang w:val="en-US"/>
        </w:rPr>
        <w:t xml:space="preserve">, 2017, </w:t>
      </w:r>
      <w:r w:rsidRPr="00125386">
        <w:rPr>
          <w:rFonts w:ascii="Times New Roman" w:hAnsi="Times New Roman" w:cs="Times New Roman"/>
          <w:b/>
          <w:bCs/>
          <w:noProof/>
          <w:lang w:val="en-US"/>
        </w:rPr>
        <w:t>56</w:t>
      </w:r>
      <w:r w:rsidRPr="00125386">
        <w:rPr>
          <w:rFonts w:ascii="Times New Roman" w:hAnsi="Times New Roman" w:cs="Times New Roman"/>
          <w:noProof/>
          <w:lang w:val="en-US"/>
        </w:rPr>
        <w:t>, 8539–8543.</w:t>
      </w:r>
    </w:p>
    <w:p w14:paraId="3FA2A086"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71</w:t>
      </w:r>
      <w:r w:rsidRPr="00125386">
        <w:rPr>
          <w:rFonts w:ascii="Times New Roman" w:hAnsi="Times New Roman" w:cs="Times New Roman"/>
          <w:noProof/>
          <w:lang w:val="en-US"/>
        </w:rPr>
        <w:tab/>
        <w:t xml:space="preserve">J. Suntivich, K. J. May, H. a Gasteiger, J. B. Goodenough and Y. Shao-horn, A Perovskite Oxide Optimized for Molecular Orbital Principles, </w:t>
      </w:r>
      <w:r w:rsidRPr="00125386">
        <w:rPr>
          <w:rFonts w:ascii="Times New Roman" w:hAnsi="Times New Roman" w:cs="Times New Roman"/>
          <w:i/>
          <w:iCs/>
          <w:noProof/>
          <w:lang w:val="en-US"/>
        </w:rPr>
        <w:t>Science (80-. ).</w:t>
      </w:r>
      <w:r w:rsidRPr="00125386">
        <w:rPr>
          <w:rFonts w:ascii="Times New Roman" w:hAnsi="Times New Roman" w:cs="Times New Roman"/>
          <w:noProof/>
          <w:lang w:val="en-US"/>
        </w:rPr>
        <w:t xml:space="preserve">, 2011, </w:t>
      </w:r>
      <w:r w:rsidRPr="00125386">
        <w:rPr>
          <w:rFonts w:ascii="Times New Roman" w:hAnsi="Times New Roman" w:cs="Times New Roman"/>
          <w:b/>
          <w:bCs/>
          <w:noProof/>
          <w:lang w:val="en-US"/>
        </w:rPr>
        <w:t>334</w:t>
      </w:r>
      <w:r w:rsidRPr="00125386">
        <w:rPr>
          <w:rFonts w:ascii="Times New Roman" w:hAnsi="Times New Roman" w:cs="Times New Roman"/>
          <w:noProof/>
          <w:lang w:val="en-US"/>
        </w:rPr>
        <w:t>, 2010–2012.</w:t>
      </w:r>
    </w:p>
    <w:p w14:paraId="5CF51962"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72</w:t>
      </w:r>
      <w:r w:rsidRPr="00125386">
        <w:rPr>
          <w:rFonts w:ascii="Times New Roman" w:hAnsi="Times New Roman" w:cs="Times New Roman"/>
          <w:noProof/>
          <w:lang w:val="en-US"/>
        </w:rPr>
        <w:tab/>
        <w:t xml:space="preserve">F. Lyu, Y. Bai, Q. Wang, L. Wang, X. Zhang and Y. Yin, Phase-controllable synthesis of cobalt hydroxide for electrocatalytic oxygen evolution, </w:t>
      </w:r>
      <w:r w:rsidRPr="00125386">
        <w:rPr>
          <w:rFonts w:ascii="Times New Roman" w:hAnsi="Times New Roman" w:cs="Times New Roman"/>
          <w:i/>
          <w:iCs/>
          <w:noProof/>
          <w:lang w:val="en-US"/>
        </w:rPr>
        <w:t>Dalt. Trans.</w:t>
      </w:r>
      <w:r w:rsidRPr="00125386">
        <w:rPr>
          <w:rFonts w:ascii="Times New Roman" w:hAnsi="Times New Roman" w:cs="Times New Roman"/>
          <w:noProof/>
          <w:lang w:val="en-US"/>
        </w:rPr>
        <w:t xml:space="preserve">, 2017, </w:t>
      </w:r>
      <w:r w:rsidRPr="00125386">
        <w:rPr>
          <w:rFonts w:ascii="Times New Roman" w:hAnsi="Times New Roman" w:cs="Times New Roman"/>
          <w:b/>
          <w:bCs/>
          <w:noProof/>
          <w:lang w:val="en-US"/>
        </w:rPr>
        <w:t>46</w:t>
      </w:r>
      <w:r w:rsidRPr="00125386">
        <w:rPr>
          <w:rFonts w:ascii="Times New Roman" w:hAnsi="Times New Roman" w:cs="Times New Roman"/>
          <w:noProof/>
          <w:lang w:val="en-US"/>
        </w:rPr>
        <w:t>, 10545–10548.</w:t>
      </w:r>
    </w:p>
    <w:p w14:paraId="41DBA33C"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73</w:t>
      </w:r>
      <w:r w:rsidRPr="00125386">
        <w:rPr>
          <w:rFonts w:ascii="Times New Roman" w:hAnsi="Times New Roman" w:cs="Times New Roman"/>
          <w:noProof/>
          <w:lang w:val="en-US"/>
        </w:rPr>
        <w:tab/>
        <w:t xml:space="preserve">T. Yoon and K. S. Kim, One-Step Synthesis of CoS-Doped β-Co(OH)2@Amorphous MoS2+x Hybrid Catalyst Grown on Nickel Foam for High-Performance Electrochemical Overall Water Splitting, </w:t>
      </w:r>
      <w:r w:rsidRPr="00125386">
        <w:rPr>
          <w:rFonts w:ascii="Times New Roman" w:hAnsi="Times New Roman" w:cs="Times New Roman"/>
          <w:i/>
          <w:iCs/>
          <w:noProof/>
          <w:lang w:val="en-US"/>
        </w:rPr>
        <w:t>Adv. Funct. Mater.</w:t>
      </w:r>
      <w:r w:rsidRPr="00125386">
        <w:rPr>
          <w:rFonts w:ascii="Times New Roman" w:hAnsi="Times New Roman" w:cs="Times New Roman"/>
          <w:noProof/>
          <w:lang w:val="en-US"/>
        </w:rPr>
        <w:t xml:space="preserve">, 2016, </w:t>
      </w:r>
      <w:r w:rsidRPr="00125386">
        <w:rPr>
          <w:rFonts w:ascii="Times New Roman" w:hAnsi="Times New Roman" w:cs="Times New Roman"/>
          <w:b/>
          <w:bCs/>
          <w:noProof/>
          <w:lang w:val="en-US"/>
        </w:rPr>
        <w:t>26</w:t>
      </w:r>
      <w:r w:rsidRPr="00125386">
        <w:rPr>
          <w:rFonts w:ascii="Times New Roman" w:hAnsi="Times New Roman" w:cs="Times New Roman"/>
          <w:noProof/>
          <w:lang w:val="en-US"/>
        </w:rPr>
        <w:t>, 7386–7393.</w:t>
      </w:r>
    </w:p>
    <w:p w14:paraId="22121E73"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74</w:t>
      </w:r>
      <w:r w:rsidRPr="00125386">
        <w:rPr>
          <w:rFonts w:ascii="Times New Roman" w:hAnsi="Times New Roman" w:cs="Times New Roman"/>
          <w:noProof/>
          <w:lang w:val="en-US"/>
        </w:rPr>
        <w:tab/>
        <w:t xml:space="preserve">Y. Wang, T. Zhou, K. Jiang, P. Da, Z. Peng, J. Tang, B. Kong, W. Bin Cai, Z. Yang and G. Zheng, Reduced mesoporous Co 3 O 4 nanowires as efficient water oxidation electrocatalysts and supercapacitor electrodes, </w:t>
      </w:r>
      <w:r w:rsidRPr="00125386">
        <w:rPr>
          <w:rFonts w:ascii="Times New Roman" w:hAnsi="Times New Roman" w:cs="Times New Roman"/>
          <w:i/>
          <w:iCs/>
          <w:noProof/>
          <w:lang w:val="en-US"/>
        </w:rPr>
        <w:t>Adv. Energy Mater.</w:t>
      </w:r>
      <w:r w:rsidRPr="00125386">
        <w:rPr>
          <w:rFonts w:ascii="Times New Roman" w:hAnsi="Times New Roman" w:cs="Times New Roman"/>
          <w:noProof/>
          <w:lang w:val="en-US"/>
        </w:rPr>
        <w:t xml:space="preserve">, 2014, </w:t>
      </w:r>
      <w:r w:rsidRPr="00125386">
        <w:rPr>
          <w:rFonts w:ascii="Times New Roman" w:hAnsi="Times New Roman" w:cs="Times New Roman"/>
          <w:b/>
          <w:bCs/>
          <w:noProof/>
          <w:lang w:val="en-US"/>
        </w:rPr>
        <w:t>4</w:t>
      </w:r>
      <w:r w:rsidRPr="00125386">
        <w:rPr>
          <w:rFonts w:ascii="Times New Roman" w:hAnsi="Times New Roman" w:cs="Times New Roman"/>
          <w:noProof/>
          <w:lang w:val="en-US"/>
        </w:rPr>
        <w:t>, 1–7.</w:t>
      </w:r>
    </w:p>
    <w:p w14:paraId="2C26D99A"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75</w:t>
      </w:r>
      <w:r w:rsidRPr="00125386">
        <w:rPr>
          <w:rFonts w:ascii="Times New Roman" w:hAnsi="Times New Roman" w:cs="Times New Roman"/>
          <w:noProof/>
          <w:lang w:val="en-US"/>
        </w:rPr>
        <w:tab/>
        <w:t xml:space="preserve">H. Zhu, J. Zhang, R. Yanzhang, M. Du, Q. Wang, G. Gao, J. Wu, G. Wu, M. Zhang, B. Liu, J. Yao and X. Zhang, When Cubic Cobalt Sulfide Meets Layered Molybdenum Disulfide: A Core-Shell System Toward Synergetic Electrocatalytic Water Splitting, </w:t>
      </w:r>
      <w:r w:rsidRPr="00125386">
        <w:rPr>
          <w:rFonts w:ascii="Times New Roman" w:hAnsi="Times New Roman" w:cs="Times New Roman"/>
          <w:i/>
          <w:iCs/>
          <w:noProof/>
          <w:lang w:val="en-US"/>
        </w:rPr>
        <w:t>Adv. Mater.</w:t>
      </w:r>
      <w:r w:rsidRPr="00125386">
        <w:rPr>
          <w:rFonts w:ascii="Times New Roman" w:hAnsi="Times New Roman" w:cs="Times New Roman"/>
          <w:noProof/>
          <w:lang w:val="en-US"/>
        </w:rPr>
        <w:t xml:space="preserve">, 2015, </w:t>
      </w:r>
      <w:r w:rsidRPr="00125386">
        <w:rPr>
          <w:rFonts w:ascii="Times New Roman" w:hAnsi="Times New Roman" w:cs="Times New Roman"/>
          <w:b/>
          <w:bCs/>
          <w:noProof/>
          <w:lang w:val="en-US"/>
        </w:rPr>
        <w:t>27</w:t>
      </w:r>
      <w:r w:rsidRPr="00125386">
        <w:rPr>
          <w:rFonts w:ascii="Times New Roman" w:hAnsi="Times New Roman" w:cs="Times New Roman"/>
          <w:noProof/>
          <w:lang w:val="en-US"/>
        </w:rPr>
        <w:t>, 4752–4759.</w:t>
      </w:r>
    </w:p>
    <w:p w14:paraId="6976A8C8"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76</w:t>
      </w:r>
      <w:r w:rsidRPr="00125386">
        <w:rPr>
          <w:rFonts w:ascii="Times New Roman" w:hAnsi="Times New Roman" w:cs="Times New Roman"/>
          <w:noProof/>
          <w:lang w:val="en-US"/>
        </w:rPr>
        <w:tab/>
        <w:t xml:space="preserve">I. V. Pushkareva, A. S. Pushkarev, S. A. Grigoriev, P. Modisha and D. G. Bessarabov, Comparative study of anion exchange membranes for low-cost water electrolysis, </w:t>
      </w:r>
      <w:r w:rsidRPr="00125386">
        <w:rPr>
          <w:rFonts w:ascii="Times New Roman" w:hAnsi="Times New Roman" w:cs="Times New Roman"/>
          <w:i/>
          <w:iCs/>
          <w:noProof/>
          <w:lang w:val="en-US"/>
        </w:rPr>
        <w:t xml:space="preserve">Int. </w:t>
      </w:r>
      <w:r w:rsidRPr="00125386">
        <w:rPr>
          <w:rFonts w:ascii="Times New Roman" w:hAnsi="Times New Roman" w:cs="Times New Roman"/>
          <w:i/>
          <w:iCs/>
          <w:noProof/>
          <w:lang w:val="en-US"/>
        </w:rPr>
        <w:lastRenderedPageBreak/>
        <w:t>J. Hydrogen Energy</w:t>
      </w:r>
      <w:r w:rsidRPr="00125386">
        <w:rPr>
          <w:rFonts w:ascii="Times New Roman" w:hAnsi="Times New Roman" w:cs="Times New Roman"/>
          <w:noProof/>
          <w:lang w:val="en-US"/>
        </w:rPr>
        <w:t>, , DOI:10.1016/j.ijhydene.2019.11.011.</w:t>
      </w:r>
    </w:p>
    <w:p w14:paraId="0835F792"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77</w:t>
      </w:r>
      <w:r w:rsidRPr="00125386">
        <w:rPr>
          <w:rFonts w:ascii="Times New Roman" w:hAnsi="Times New Roman" w:cs="Times New Roman"/>
          <w:noProof/>
          <w:lang w:val="en-US"/>
        </w:rPr>
        <w:tab/>
        <w:t xml:space="preserve">J. E. Park, S. Y. Kang, S.-H. Oh, J. K. Kim, M. S. Lim, C.-Y. Ahn, Y.-H. Cho and Y.-E. Sung, High-performance anion-exchange membrane water electrolysis, </w:t>
      </w:r>
      <w:r w:rsidRPr="00125386">
        <w:rPr>
          <w:rFonts w:ascii="Times New Roman" w:hAnsi="Times New Roman" w:cs="Times New Roman"/>
          <w:i/>
          <w:iCs/>
          <w:noProof/>
          <w:lang w:val="en-US"/>
        </w:rPr>
        <w:t>Electrochim. Acta</w:t>
      </w:r>
      <w:r w:rsidRPr="00125386">
        <w:rPr>
          <w:rFonts w:ascii="Times New Roman" w:hAnsi="Times New Roman" w:cs="Times New Roman"/>
          <w:noProof/>
          <w:lang w:val="en-US"/>
        </w:rPr>
        <w:t xml:space="preserve">, 2019, </w:t>
      </w:r>
      <w:r w:rsidRPr="00125386">
        <w:rPr>
          <w:rFonts w:ascii="Times New Roman" w:hAnsi="Times New Roman" w:cs="Times New Roman"/>
          <w:b/>
          <w:bCs/>
          <w:noProof/>
          <w:lang w:val="en-US"/>
        </w:rPr>
        <w:t>295</w:t>
      </w:r>
      <w:r w:rsidRPr="00125386">
        <w:rPr>
          <w:rFonts w:ascii="Times New Roman" w:hAnsi="Times New Roman" w:cs="Times New Roman"/>
          <w:noProof/>
          <w:lang w:val="en-US"/>
        </w:rPr>
        <w:t>, 99–106.</w:t>
      </w:r>
    </w:p>
    <w:p w14:paraId="196759A2"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lang w:val="en-US"/>
        </w:rPr>
      </w:pPr>
      <w:r w:rsidRPr="00125386">
        <w:rPr>
          <w:rFonts w:ascii="Times New Roman" w:hAnsi="Times New Roman" w:cs="Times New Roman"/>
          <w:noProof/>
          <w:lang w:val="en-US"/>
        </w:rPr>
        <w:t>78</w:t>
      </w:r>
      <w:r w:rsidRPr="00125386">
        <w:rPr>
          <w:rFonts w:ascii="Times New Roman" w:hAnsi="Times New Roman" w:cs="Times New Roman"/>
          <w:noProof/>
          <w:lang w:val="en-US"/>
        </w:rPr>
        <w:tab/>
        <w:t xml:space="preserve">Y. S. Park, M. J. Jang, J. Jeong, S. M. Park, X. Wang, M. H. Seo, S. M. Choi and J. Yang, Hierarchical Chestnut-Burr Like Structure of Copper Cobalt Oxide Electrocatalyst Directly Grown on Ni Foam for Anion Exchange Membrane Water Electrolysis, </w:t>
      </w:r>
      <w:r w:rsidRPr="00125386">
        <w:rPr>
          <w:rFonts w:ascii="Times New Roman" w:hAnsi="Times New Roman" w:cs="Times New Roman"/>
          <w:i/>
          <w:iCs/>
          <w:noProof/>
          <w:lang w:val="en-US"/>
        </w:rPr>
        <w:t>ACS Sustain. Chem. Eng.</w:t>
      </w:r>
      <w:r w:rsidRPr="00125386">
        <w:rPr>
          <w:rFonts w:ascii="Times New Roman" w:hAnsi="Times New Roman" w:cs="Times New Roman"/>
          <w:noProof/>
          <w:lang w:val="en-US"/>
        </w:rPr>
        <w:t>, , DOI:10.1021/acssuschemeng.9b06767.</w:t>
      </w:r>
    </w:p>
    <w:p w14:paraId="2CE65B2B" w14:textId="77777777" w:rsidR="00125386" w:rsidRPr="00125386" w:rsidRDefault="00125386" w:rsidP="00125386">
      <w:pPr>
        <w:widowControl w:val="0"/>
        <w:autoSpaceDE w:val="0"/>
        <w:autoSpaceDN w:val="0"/>
        <w:adjustRightInd w:val="0"/>
        <w:spacing w:line="360" w:lineRule="auto"/>
        <w:ind w:left="640" w:hanging="640"/>
        <w:rPr>
          <w:rFonts w:ascii="Times New Roman" w:hAnsi="Times New Roman" w:cs="Times New Roman"/>
          <w:noProof/>
        </w:rPr>
      </w:pPr>
      <w:r w:rsidRPr="00125386">
        <w:rPr>
          <w:rFonts w:ascii="Times New Roman" w:hAnsi="Times New Roman" w:cs="Times New Roman"/>
          <w:noProof/>
          <w:lang w:val="en-US"/>
        </w:rPr>
        <w:t>79</w:t>
      </w:r>
      <w:r w:rsidRPr="00125386">
        <w:rPr>
          <w:rFonts w:ascii="Times New Roman" w:hAnsi="Times New Roman" w:cs="Times New Roman"/>
          <w:noProof/>
          <w:lang w:val="en-US"/>
        </w:rPr>
        <w:tab/>
        <w:t xml:space="preserve">P. Chen and X. Hu, High‐Efficiency Anion Exchange Membrane Water Electrolysis Employing Non‐Noble Metal Catalysts, </w:t>
      </w:r>
      <w:r w:rsidRPr="00125386">
        <w:rPr>
          <w:rFonts w:ascii="Times New Roman" w:hAnsi="Times New Roman" w:cs="Times New Roman"/>
          <w:i/>
          <w:iCs/>
          <w:noProof/>
          <w:lang w:val="en-US"/>
        </w:rPr>
        <w:t>Adv. Energy Mater.</w:t>
      </w:r>
      <w:r w:rsidRPr="00125386">
        <w:rPr>
          <w:rFonts w:ascii="Times New Roman" w:hAnsi="Times New Roman" w:cs="Times New Roman"/>
          <w:noProof/>
          <w:lang w:val="en-US"/>
        </w:rPr>
        <w:t xml:space="preserve">, 2020, </w:t>
      </w:r>
      <w:r w:rsidRPr="00125386">
        <w:rPr>
          <w:rFonts w:ascii="Times New Roman" w:hAnsi="Times New Roman" w:cs="Times New Roman"/>
          <w:b/>
          <w:bCs/>
          <w:noProof/>
          <w:lang w:val="en-US"/>
        </w:rPr>
        <w:t>2002285</w:t>
      </w:r>
      <w:r w:rsidRPr="00125386">
        <w:rPr>
          <w:rFonts w:ascii="Times New Roman" w:hAnsi="Times New Roman" w:cs="Times New Roman"/>
          <w:noProof/>
          <w:lang w:val="en-US"/>
        </w:rPr>
        <w:t>, 2002285.</w:t>
      </w:r>
    </w:p>
    <w:p w14:paraId="6A418925" w14:textId="1C4446C2" w:rsidR="00F35D51" w:rsidRPr="00127CF8" w:rsidRDefault="00F35D51" w:rsidP="00125386">
      <w:pPr>
        <w:widowControl w:val="0"/>
        <w:autoSpaceDE w:val="0"/>
        <w:autoSpaceDN w:val="0"/>
        <w:adjustRightInd w:val="0"/>
        <w:spacing w:line="360" w:lineRule="auto"/>
        <w:ind w:left="640" w:hanging="640"/>
        <w:rPr>
          <w:rFonts w:ascii="Times New Roman" w:eastAsia="Arial Unicode MS" w:hAnsi="Times New Roman" w:cs="Times New Roman"/>
          <w:b/>
          <w:bCs/>
          <w:iCs/>
        </w:rPr>
      </w:pPr>
      <w:r w:rsidRPr="00127CF8">
        <w:rPr>
          <w:rFonts w:ascii="Times New Roman" w:eastAsia="Arial Unicode MS" w:hAnsi="Times New Roman" w:cs="Times New Roman"/>
          <w:b/>
          <w:bCs/>
          <w:iCs/>
        </w:rPr>
        <w:fldChar w:fldCharType="end"/>
      </w:r>
    </w:p>
    <w:p w14:paraId="5F57483C" w14:textId="6D2AF56B" w:rsidR="00EC726A" w:rsidRPr="00F35D51" w:rsidRDefault="00EC726A" w:rsidP="00F35D51"/>
    <w:sectPr w:rsidR="00EC726A" w:rsidRPr="00F35D51" w:rsidSect="0025402A">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AdvPS_TTI">
    <w:altName w:val="@Microsoft YaHei"/>
    <w:charset w:val="86"/>
    <w:family w:val="auto"/>
    <w:notTrueType/>
    <w:pitch w:val="default"/>
    <w:sig w:usb0="00000000" w:usb1="080E0000" w:usb2="00000010" w:usb3="00000000" w:csb0="00040000" w:csb1="00000000"/>
  </w:font>
  <w:font w:name="Cambria Math">
    <w:panose1 w:val="02040503050406030204"/>
    <w:charset w:val="00"/>
    <w:family w:val="roman"/>
    <w:pitch w:val="variable"/>
    <w:sig w:usb0="E00002FF" w:usb1="420024FF" w:usb2="00000000" w:usb3="00000000" w:csb0="0000019F" w:csb1="00000000"/>
  </w:font>
  <w:font w:name="Malgun Gothic">
    <w:panose1 w:val="020B0503020000020004"/>
    <w:charset w:val="81"/>
    <w:family w:val="swiss"/>
    <w:pitch w:val="variable"/>
    <w:sig w:usb0="9000002F" w:usb1="29D77CFB" w:usb2="00000012" w:usb3="00000000" w:csb0="00080001" w:csb1="00000000"/>
  </w:font>
  <w:font w:name="Times">
    <w:panose1 w:val="00000500000000020000"/>
    <w:charset w:val="00"/>
    <w:family w:val="auto"/>
    <w:pitch w:val="variable"/>
    <w:sig w:usb0="E00002FF" w:usb1="5000205A"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CA6CF8"/>
    <w:multiLevelType w:val="hybridMultilevel"/>
    <w:tmpl w:val="75F2668E"/>
    <w:lvl w:ilvl="0" w:tplc="F02093C2">
      <w:start w:val="1"/>
      <w:numFmt w:val="bullet"/>
      <w:lvlText w:val=""/>
      <w:lvlJc w:val="left"/>
      <w:pPr>
        <w:tabs>
          <w:tab w:val="num" w:pos="720"/>
        </w:tabs>
        <w:ind w:left="720" w:hanging="360"/>
      </w:pPr>
      <w:rPr>
        <w:rFonts w:ascii="Wingdings" w:hAnsi="Wingdings" w:hint="default"/>
      </w:rPr>
    </w:lvl>
    <w:lvl w:ilvl="1" w:tplc="F39AF448" w:tentative="1">
      <w:start w:val="1"/>
      <w:numFmt w:val="bullet"/>
      <w:lvlText w:val=""/>
      <w:lvlJc w:val="left"/>
      <w:pPr>
        <w:tabs>
          <w:tab w:val="num" w:pos="1440"/>
        </w:tabs>
        <w:ind w:left="1440" w:hanging="360"/>
      </w:pPr>
      <w:rPr>
        <w:rFonts w:ascii="Wingdings" w:hAnsi="Wingdings" w:hint="default"/>
      </w:rPr>
    </w:lvl>
    <w:lvl w:ilvl="2" w:tplc="220441DE" w:tentative="1">
      <w:start w:val="1"/>
      <w:numFmt w:val="bullet"/>
      <w:lvlText w:val=""/>
      <w:lvlJc w:val="left"/>
      <w:pPr>
        <w:tabs>
          <w:tab w:val="num" w:pos="2160"/>
        </w:tabs>
        <w:ind w:left="2160" w:hanging="360"/>
      </w:pPr>
      <w:rPr>
        <w:rFonts w:ascii="Wingdings" w:hAnsi="Wingdings" w:hint="default"/>
      </w:rPr>
    </w:lvl>
    <w:lvl w:ilvl="3" w:tplc="4EF448BE" w:tentative="1">
      <w:start w:val="1"/>
      <w:numFmt w:val="bullet"/>
      <w:lvlText w:val=""/>
      <w:lvlJc w:val="left"/>
      <w:pPr>
        <w:tabs>
          <w:tab w:val="num" w:pos="2880"/>
        </w:tabs>
        <w:ind w:left="2880" w:hanging="360"/>
      </w:pPr>
      <w:rPr>
        <w:rFonts w:ascii="Wingdings" w:hAnsi="Wingdings" w:hint="default"/>
      </w:rPr>
    </w:lvl>
    <w:lvl w:ilvl="4" w:tplc="197E5828" w:tentative="1">
      <w:start w:val="1"/>
      <w:numFmt w:val="bullet"/>
      <w:lvlText w:val=""/>
      <w:lvlJc w:val="left"/>
      <w:pPr>
        <w:tabs>
          <w:tab w:val="num" w:pos="3600"/>
        </w:tabs>
        <w:ind w:left="3600" w:hanging="360"/>
      </w:pPr>
      <w:rPr>
        <w:rFonts w:ascii="Wingdings" w:hAnsi="Wingdings" w:hint="default"/>
      </w:rPr>
    </w:lvl>
    <w:lvl w:ilvl="5" w:tplc="87761A96" w:tentative="1">
      <w:start w:val="1"/>
      <w:numFmt w:val="bullet"/>
      <w:lvlText w:val=""/>
      <w:lvlJc w:val="left"/>
      <w:pPr>
        <w:tabs>
          <w:tab w:val="num" w:pos="4320"/>
        </w:tabs>
        <w:ind w:left="4320" w:hanging="360"/>
      </w:pPr>
      <w:rPr>
        <w:rFonts w:ascii="Wingdings" w:hAnsi="Wingdings" w:hint="default"/>
      </w:rPr>
    </w:lvl>
    <w:lvl w:ilvl="6" w:tplc="64626612" w:tentative="1">
      <w:start w:val="1"/>
      <w:numFmt w:val="bullet"/>
      <w:lvlText w:val=""/>
      <w:lvlJc w:val="left"/>
      <w:pPr>
        <w:tabs>
          <w:tab w:val="num" w:pos="5040"/>
        </w:tabs>
        <w:ind w:left="5040" w:hanging="360"/>
      </w:pPr>
      <w:rPr>
        <w:rFonts w:ascii="Wingdings" w:hAnsi="Wingdings" w:hint="default"/>
      </w:rPr>
    </w:lvl>
    <w:lvl w:ilvl="7" w:tplc="60C0191A" w:tentative="1">
      <w:start w:val="1"/>
      <w:numFmt w:val="bullet"/>
      <w:lvlText w:val=""/>
      <w:lvlJc w:val="left"/>
      <w:pPr>
        <w:tabs>
          <w:tab w:val="num" w:pos="5760"/>
        </w:tabs>
        <w:ind w:left="5760" w:hanging="360"/>
      </w:pPr>
      <w:rPr>
        <w:rFonts w:ascii="Wingdings" w:hAnsi="Wingdings" w:hint="default"/>
      </w:rPr>
    </w:lvl>
    <w:lvl w:ilvl="8" w:tplc="74F2C5F8"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11A519A"/>
    <w:multiLevelType w:val="hybridMultilevel"/>
    <w:tmpl w:val="7236E22C"/>
    <w:lvl w:ilvl="0" w:tplc="4B1A9064">
      <w:start w:val="1"/>
      <w:numFmt w:val="bullet"/>
      <w:lvlText w:val=""/>
      <w:lvlJc w:val="left"/>
      <w:pPr>
        <w:tabs>
          <w:tab w:val="num" w:pos="720"/>
        </w:tabs>
        <w:ind w:left="720" w:hanging="360"/>
      </w:pPr>
      <w:rPr>
        <w:rFonts w:ascii="Wingdings" w:hAnsi="Wingdings" w:hint="default"/>
      </w:rPr>
    </w:lvl>
    <w:lvl w:ilvl="1" w:tplc="B350834E" w:tentative="1">
      <w:start w:val="1"/>
      <w:numFmt w:val="bullet"/>
      <w:lvlText w:val=""/>
      <w:lvlJc w:val="left"/>
      <w:pPr>
        <w:tabs>
          <w:tab w:val="num" w:pos="1440"/>
        </w:tabs>
        <w:ind w:left="1440" w:hanging="360"/>
      </w:pPr>
      <w:rPr>
        <w:rFonts w:ascii="Wingdings" w:hAnsi="Wingdings" w:hint="default"/>
      </w:rPr>
    </w:lvl>
    <w:lvl w:ilvl="2" w:tplc="CD32B762" w:tentative="1">
      <w:start w:val="1"/>
      <w:numFmt w:val="bullet"/>
      <w:lvlText w:val=""/>
      <w:lvlJc w:val="left"/>
      <w:pPr>
        <w:tabs>
          <w:tab w:val="num" w:pos="2160"/>
        </w:tabs>
        <w:ind w:left="2160" w:hanging="360"/>
      </w:pPr>
      <w:rPr>
        <w:rFonts w:ascii="Wingdings" w:hAnsi="Wingdings" w:hint="default"/>
      </w:rPr>
    </w:lvl>
    <w:lvl w:ilvl="3" w:tplc="BC580C9A" w:tentative="1">
      <w:start w:val="1"/>
      <w:numFmt w:val="bullet"/>
      <w:lvlText w:val=""/>
      <w:lvlJc w:val="left"/>
      <w:pPr>
        <w:tabs>
          <w:tab w:val="num" w:pos="2880"/>
        </w:tabs>
        <w:ind w:left="2880" w:hanging="360"/>
      </w:pPr>
      <w:rPr>
        <w:rFonts w:ascii="Wingdings" w:hAnsi="Wingdings" w:hint="default"/>
      </w:rPr>
    </w:lvl>
    <w:lvl w:ilvl="4" w:tplc="E196EF36" w:tentative="1">
      <w:start w:val="1"/>
      <w:numFmt w:val="bullet"/>
      <w:lvlText w:val=""/>
      <w:lvlJc w:val="left"/>
      <w:pPr>
        <w:tabs>
          <w:tab w:val="num" w:pos="3600"/>
        </w:tabs>
        <w:ind w:left="3600" w:hanging="360"/>
      </w:pPr>
      <w:rPr>
        <w:rFonts w:ascii="Wingdings" w:hAnsi="Wingdings" w:hint="default"/>
      </w:rPr>
    </w:lvl>
    <w:lvl w:ilvl="5" w:tplc="A7DC5298" w:tentative="1">
      <w:start w:val="1"/>
      <w:numFmt w:val="bullet"/>
      <w:lvlText w:val=""/>
      <w:lvlJc w:val="left"/>
      <w:pPr>
        <w:tabs>
          <w:tab w:val="num" w:pos="4320"/>
        </w:tabs>
        <w:ind w:left="4320" w:hanging="360"/>
      </w:pPr>
      <w:rPr>
        <w:rFonts w:ascii="Wingdings" w:hAnsi="Wingdings" w:hint="default"/>
      </w:rPr>
    </w:lvl>
    <w:lvl w:ilvl="6" w:tplc="1C94B4D2" w:tentative="1">
      <w:start w:val="1"/>
      <w:numFmt w:val="bullet"/>
      <w:lvlText w:val=""/>
      <w:lvlJc w:val="left"/>
      <w:pPr>
        <w:tabs>
          <w:tab w:val="num" w:pos="5040"/>
        </w:tabs>
        <w:ind w:left="5040" w:hanging="360"/>
      </w:pPr>
      <w:rPr>
        <w:rFonts w:ascii="Wingdings" w:hAnsi="Wingdings" w:hint="default"/>
      </w:rPr>
    </w:lvl>
    <w:lvl w:ilvl="7" w:tplc="8EA48E78" w:tentative="1">
      <w:start w:val="1"/>
      <w:numFmt w:val="bullet"/>
      <w:lvlText w:val=""/>
      <w:lvlJc w:val="left"/>
      <w:pPr>
        <w:tabs>
          <w:tab w:val="num" w:pos="5760"/>
        </w:tabs>
        <w:ind w:left="5760" w:hanging="360"/>
      </w:pPr>
      <w:rPr>
        <w:rFonts w:ascii="Wingdings" w:hAnsi="Wingdings" w:hint="default"/>
      </w:rPr>
    </w:lvl>
    <w:lvl w:ilvl="8" w:tplc="FDD47692"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6240528"/>
    <w:multiLevelType w:val="hybridMultilevel"/>
    <w:tmpl w:val="D4289B32"/>
    <w:lvl w:ilvl="0" w:tplc="CF6E464A">
      <w:start w:val="1"/>
      <w:numFmt w:val="bullet"/>
      <w:lvlText w:val=""/>
      <w:lvlJc w:val="left"/>
      <w:pPr>
        <w:ind w:left="720" w:hanging="360"/>
      </w:pPr>
      <w:rPr>
        <w:rFonts w:ascii="Symbol" w:eastAsia="Arial Unicode MS" w:hAnsi="Symbol"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18C0320E"/>
    <w:multiLevelType w:val="hybridMultilevel"/>
    <w:tmpl w:val="F01E58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0331DE1"/>
    <w:multiLevelType w:val="hybridMultilevel"/>
    <w:tmpl w:val="717AD3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1EE7C91"/>
    <w:multiLevelType w:val="hybridMultilevel"/>
    <w:tmpl w:val="299E0FD6"/>
    <w:lvl w:ilvl="0" w:tplc="B8947B5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7A07A88"/>
    <w:multiLevelType w:val="hybridMultilevel"/>
    <w:tmpl w:val="FCAA957E"/>
    <w:lvl w:ilvl="0" w:tplc="A6129B52">
      <w:start w:val="1"/>
      <w:numFmt w:val="bullet"/>
      <w:lvlText w:val=""/>
      <w:lvlJc w:val="left"/>
      <w:pPr>
        <w:tabs>
          <w:tab w:val="num" w:pos="720"/>
        </w:tabs>
        <w:ind w:left="720" w:hanging="360"/>
      </w:pPr>
      <w:rPr>
        <w:rFonts w:ascii="Wingdings" w:hAnsi="Wingdings" w:hint="default"/>
      </w:rPr>
    </w:lvl>
    <w:lvl w:ilvl="1" w:tplc="242868B4" w:tentative="1">
      <w:start w:val="1"/>
      <w:numFmt w:val="bullet"/>
      <w:lvlText w:val=""/>
      <w:lvlJc w:val="left"/>
      <w:pPr>
        <w:tabs>
          <w:tab w:val="num" w:pos="1440"/>
        </w:tabs>
        <w:ind w:left="1440" w:hanging="360"/>
      </w:pPr>
      <w:rPr>
        <w:rFonts w:ascii="Wingdings" w:hAnsi="Wingdings" w:hint="default"/>
      </w:rPr>
    </w:lvl>
    <w:lvl w:ilvl="2" w:tplc="4E10318E" w:tentative="1">
      <w:start w:val="1"/>
      <w:numFmt w:val="bullet"/>
      <w:lvlText w:val=""/>
      <w:lvlJc w:val="left"/>
      <w:pPr>
        <w:tabs>
          <w:tab w:val="num" w:pos="2160"/>
        </w:tabs>
        <w:ind w:left="2160" w:hanging="360"/>
      </w:pPr>
      <w:rPr>
        <w:rFonts w:ascii="Wingdings" w:hAnsi="Wingdings" w:hint="default"/>
      </w:rPr>
    </w:lvl>
    <w:lvl w:ilvl="3" w:tplc="91CE1C78" w:tentative="1">
      <w:start w:val="1"/>
      <w:numFmt w:val="bullet"/>
      <w:lvlText w:val=""/>
      <w:lvlJc w:val="left"/>
      <w:pPr>
        <w:tabs>
          <w:tab w:val="num" w:pos="2880"/>
        </w:tabs>
        <w:ind w:left="2880" w:hanging="360"/>
      </w:pPr>
      <w:rPr>
        <w:rFonts w:ascii="Wingdings" w:hAnsi="Wingdings" w:hint="default"/>
      </w:rPr>
    </w:lvl>
    <w:lvl w:ilvl="4" w:tplc="B1626DE2" w:tentative="1">
      <w:start w:val="1"/>
      <w:numFmt w:val="bullet"/>
      <w:lvlText w:val=""/>
      <w:lvlJc w:val="left"/>
      <w:pPr>
        <w:tabs>
          <w:tab w:val="num" w:pos="3600"/>
        </w:tabs>
        <w:ind w:left="3600" w:hanging="360"/>
      </w:pPr>
      <w:rPr>
        <w:rFonts w:ascii="Wingdings" w:hAnsi="Wingdings" w:hint="default"/>
      </w:rPr>
    </w:lvl>
    <w:lvl w:ilvl="5" w:tplc="1A1E43A2" w:tentative="1">
      <w:start w:val="1"/>
      <w:numFmt w:val="bullet"/>
      <w:lvlText w:val=""/>
      <w:lvlJc w:val="left"/>
      <w:pPr>
        <w:tabs>
          <w:tab w:val="num" w:pos="4320"/>
        </w:tabs>
        <w:ind w:left="4320" w:hanging="360"/>
      </w:pPr>
      <w:rPr>
        <w:rFonts w:ascii="Wingdings" w:hAnsi="Wingdings" w:hint="default"/>
      </w:rPr>
    </w:lvl>
    <w:lvl w:ilvl="6" w:tplc="035E6EA2" w:tentative="1">
      <w:start w:val="1"/>
      <w:numFmt w:val="bullet"/>
      <w:lvlText w:val=""/>
      <w:lvlJc w:val="left"/>
      <w:pPr>
        <w:tabs>
          <w:tab w:val="num" w:pos="5040"/>
        </w:tabs>
        <w:ind w:left="5040" w:hanging="360"/>
      </w:pPr>
      <w:rPr>
        <w:rFonts w:ascii="Wingdings" w:hAnsi="Wingdings" w:hint="default"/>
      </w:rPr>
    </w:lvl>
    <w:lvl w:ilvl="7" w:tplc="AFA4D738" w:tentative="1">
      <w:start w:val="1"/>
      <w:numFmt w:val="bullet"/>
      <w:lvlText w:val=""/>
      <w:lvlJc w:val="left"/>
      <w:pPr>
        <w:tabs>
          <w:tab w:val="num" w:pos="5760"/>
        </w:tabs>
        <w:ind w:left="5760" w:hanging="360"/>
      </w:pPr>
      <w:rPr>
        <w:rFonts w:ascii="Wingdings" w:hAnsi="Wingdings" w:hint="default"/>
      </w:rPr>
    </w:lvl>
    <w:lvl w:ilvl="8" w:tplc="3522DC76"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5E083197"/>
    <w:multiLevelType w:val="hybridMultilevel"/>
    <w:tmpl w:val="37901C72"/>
    <w:lvl w:ilvl="0" w:tplc="BC384E5A">
      <w:start w:val="1"/>
      <w:numFmt w:val="bullet"/>
      <w:lvlText w:val=""/>
      <w:lvlJc w:val="left"/>
      <w:pPr>
        <w:tabs>
          <w:tab w:val="num" w:pos="720"/>
        </w:tabs>
        <w:ind w:left="720" w:hanging="360"/>
      </w:pPr>
      <w:rPr>
        <w:rFonts w:ascii="Wingdings" w:hAnsi="Wingdings" w:hint="default"/>
      </w:rPr>
    </w:lvl>
    <w:lvl w:ilvl="1" w:tplc="4BBCEDAC" w:tentative="1">
      <w:start w:val="1"/>
      <w:numFmt w:val="bullet"/>
      <w:lvlText w:val=""/>
      <w:lvlJc w:val="left"/>
      <w:pPr>
        <w:tabs>
          <w:tab w:val="num" w:pos="1440"/>
        </w:tabs>
        <w:ind w:left="1440" w:hanging="360"/>
      </w:pPr>
      <w:rPr>
        <w:rFonts w:ascii="Wingdings" w:hAnsi="Wingdings" w:hint="default"/>
      </w:rPr>
    </w:lvl>
    <w:lvl w:ilvl="2" w:tplc="7AC8BF98" w:tentative="1">
      <w:start w:val="1"/>
      <w:numFmt w:val="bullet"/>
      <w:lvlText w:val=""/>
      <w:lvlJc w:val="left"/>
      <w:pPr>
        <w:tabs>
          <w:tab w:val="num" w:pos="2160"/>
        </w:tabs>
        <w:ind w:left="2160" w:hanging="360"/>
      </w:pPr>
      <w:rPr>
        <w:rFonts w:ascii="Wingdings" w:hAnsi="Wingdings" w:hint="default"/>
      </w:rPr>
    </w:lvl>
    <w:lvl w:ilvl="3" w:tplc="A4000FEA" w:tentative="1">
      <w:start w:val="1"/>
      <w:numFmt w:val="bullet"/>
      <w:lvlText w:val=""/>
      <w:lvlJc w:val="left"/>
      <w:pPr>
        <w:tabs>
          <w:tab w:val="num" w:pos="2880"/>
        </w:tabs>
        <w:ind w:left="2880" w:hanging="360"/>
      </w:pPr>
      <w:rPr>
        <w:rFonts w:ascii="Wingdings" w:hAnsi="Wingdings" w:hint="default"/>
      </w:rPr>
    </w:lvl>
    <w:lvl w:ilvl="4" w:tplc="D67CE788" w:tentative="1">
      <w:start w:val="1"/>
      <w:numFmt w:val="bullet"/>
      <w:lvlText w:val=""/>
      <w:lvlJc w:val="left"/>
      <w:pPr>
        <w:tabs>
          <w:tab w:val="num" w:pos="3600"/>
        </w:tabs>
        <w:ind w:left="3600" w:hanging="360"/>
      </w:pPr>
      <w:rPr>
        <w:rFonts w:ascii="Wingdings" w:hAnsi="Wingdings" w:hint="default"/>
      </w:rPr>
    </w:lvl>
    <w:lvl w:ilvl="5" w:tplc="D3063A60" w:tentative="1">
      <w:start w:val="1"/>
      <w:numFmt w:val="bullet"/>
      <w:lvlText w:val=""/>
      <w:lvlJc w:val="left"/>
      <w:pPr>
        <w:tabs>
          <w:tab w:val="num" w:pos="4320"/>
        </w:tabs>
        <w:ind w:left="4320" w:hanging="360"/>
      </w:pPr>
      <w:rPr>
        <w:rFonts w:ascii="Wingdings" w:hAnsi="Wingdings" w:hint="default"/>
      </w:rPr>
    </w:lvl>
    <w:lvl w:ilvl="6" w:tplc="EA5C7D5E" w:tentative="1">
      <w:start w:val="1"/>
      <w:numFmt w:val="bullet"/>
      <w:lvlText w:val=""/>
      <w:lvlJc w:val="left"/>
      <w:pPr>
        <w:tabs>
          <w:tab w:val="num" w:pos="5040"/>
        </w:tabs>
        <w:ind w:left="5040" w:hanging="360"/>
      </w:pPr>
      <w:rPr>
        <w:rFonts w:ascii="Wingdings" w:hAnsi="Wingdings" w:hint="default"/>
      </w:rPr>
    </w:lvl>
    <w:lvl w:ilvl="7" w:tplc="FE443282" w:tentative="1">
      <w:start w:val="1"/>
      <w:numFmt w:val="bullet"/>
      <w:lvlText w:val=""/>
      <w:lvlJc w:val="left"/>
      <w:pPr>
        <w:tabs>
          <w:tab w:val="num" w:pos="5760"/>
        </w:tabs>
        <w:ind w:left="5760" w:hanging="360"/>
      </w:pPr>
      <w:rPr>
        <w:rFonts w:ascii="Wingdings" w:hAnsi="Wingdings" w:hint="default"/>
      </w:rPr>
    </w:lvl>
    <w:lvl w:ilvl="8" w:tplc="EAE4AC1A"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652C25C0"/>
    <w:multiLevelType w:val="hybridMultilevel"/>
    <w:tmpl w:val="F0F0BF96"/>
    <w:lvl w:ilvl="0" w:tplc="812E2CCC">
      <w:start w:val="17"/>
      <w:numFmt w:val="bullet"/>
      <w:lvlText w:val=""/>
      <w:lvlJc w:val="left"/>
      <w:pPr>
        <w:ind w:left="720" w:hanging="360"/>
      </w:pPr>
      <w:rPr>
        <w:rFonts w:ascii="Symbol" w:eastAsia="Arial Unicode MS"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C2E7386"/>
    <w:multiLevelType w:val="hybridMultilevel"/>
    <w:tmpl w:val="6E2CFE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DBB4885"/>
    <w:multiLevelType w:val="multilevel"/>
    <w:tmpl w:val="88CA326C"/>
    <w:lvl w:ilvl="0">
      <w:start w:val="1"/>
      <w:numFmt w:val="decimal"/>
      <w:lvlText w:val="%1"/>
      <w:lvlJc w:val="left"/>
      <w:pPr>
        <w:ind w:left="375" w:hanging="375"/>
      </w:pPr>
      <w:rPr>
        <w:rFonts w:hint="default"/>
      </w:rPr>
    </w:lvl>
    <w:lvl w:ilvl="1">
      <w:start w:val="1"/>
      <w:numFmt w:val="decimal"/>
      <w:pStyle w:val="Heading2"/>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10"/>
  </w:num>
  <w:num w:numId="2">
    <w:abstractNumId w:val="4"/>
  </w:num>
  <w:num w:numId="3">
    <w:abstractNumId w:val="6"/>
  </w:num>
  <w:num w:numId="4">
    <w:abstractNumId w:val="0"/>
  </w:num>
  <w:num w:numId="5">
    <w:abstractNumId w:val="1"/>
  </w:num>
  <w:num w:numId="6">
    <w:abstractNumId w:val="7"/>
  </w:num>
  <w:num w:numId="7">
    <w:abstractNumId w:val="8"/>
  </w:num>
  <w:num w:numId="8">
    <w:abstractNumId w:val="5"/>
  </w:num>
  <w:num w:numId="9">
    <w:abstractNumId w:val="2"/>
  </w:num>
  <w:num w:numId="10">
    <w:abstractNumId w:val="3"/>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4"/>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4148"/>
    <w:rsid w:val="0000346F"/>
    <w:rsid w:val="00010FED"/>
    <w:rsid w:val="00013DED"/>
    <w:rsid w:val="0001522F"/>
    <w:rsid w:val="00026C63"/>
    <w:rsid w:val="00032203"/>
    <w:rsid w:val="00044BB3"/>
    <w:rsid w:val="00053B2F"/>
    <w:rsid w:val="00061D7A"/>
    <w:rsid w:val="0006204D"/>
    <w:rsid w:val="00072C86"/>
    <w:rsid w:val="00086B94"/>
    <w:rsid w:val="000913AB"/>
    <w:rsid w:val="00097CC4"/>
    <w:rsid w:val="000B17E5"/>
    <w:rsid w:val="000B3052"/>
    <w:rsid w:val="000C41D0"/>
    <w:rsid w:val="000C42B4"/>
    <w:rsid w:val="000D0E13"/>
    <w:rsid w:val="000D3058"/>
    <w:rsid w:val="000E6A2B"/>
    <w:rsid w:val="000F1117"/>
    <w:rsid w:val="001067BB"/>
    <w:rsid w:val="00110B04"/>
    <w:rsid w:val="001139A1"/>
    <w:rsid w:val="001143BB"/>
    <w:rsid w:val="00120576"/>
    <w:rsid w:val="00124B5C"/>
    <w:rsid w:val="00125386"/>
    <w:rsid w:val="00127CF8"/>
    <w:rsid w:val="00140F30"/>
    <w:rsid w:val="001555D9"/>
    <w:rsid w:val="00155D5E"/>
    <w:rsid w:val="001616B3"/>
    <w:rsid w:val="00162C4C"/>
    <w:rsid w:val="00165A5C"/>
    <w:rsid w:val="001730B2"/>
    <w:rsid w:val="0018003E"/>
    <w:rsid w:val="001814B2"/>
    <w:rsid w:val="00183A4B"/>
    <w:rsid w:val="001870AB"/>
    <w:rsid w:val="00187ECB"/>
    <w:rsid w:val="001928BD"/>
    <w:rsid w:val="00192AC5"/>
    <w:rsid w:val="001B154E"/>
    <w:rsid w:val="001B2131"/>
    <w:rsid w:val="001B5639"/>
    <w:rsid w:val="001D09ED"/>
    <w:rsid w:val="001D0ABA"/>
    <w:rsid w:val="001D1137"/>
    <w:rsid w:val="001E56A5"/>
    <w:rsid w:val="001F4817"/>
    <w:rsid w:val="0020100B"/>
    <w:rsid w:val="0020165D"/>
    <w:rsid w:val="00207A8E"/>
    <w:rsid w:val="002117DE"/>
    <w:rsid w:val="00242FAF"/>
    <w:rsid w:val="00251C7D"/>
    <w:rsid w:val="0025402A"/>
    <w:rsid w:val="00256322"/>
    <w:rsid w:val="002631BD"/>
    <w:rsid w:val="00267C78"/>
    <w:rsid w:val="00270563"/>
    <w:rsid w:val="00271B69"/>
    <w:rsid w:val="00293929"/>
    <w:rsid w:val="002957BF"/>
    <w:rsid w:val="002A24F6"/>
    <w:rsid w:val="002B0E91"/>
    <w:rsid w:val="002B3E9A"/>
    <w:rsid w:val="002C0286"/>
    <w:rsid w:val="002C03D9"/>
    <w:rsid w:val="002C4F63"/>
    <w:rsid w:val="002C6ED5"/>
    <w:rsid w:val="002D5471"/>
    <w:rsid w:val="002D6DD7"/>
    <w:rsid w:val="002E184B"/>
    <w:rsid w:val="002E197E"/>
    <w:rsid w:val="002E319D"/>
    <w:rsid w:val="002F11EC"/>
    <w:rsid w:val="002F71AC"/>
    <w:rsid w:val="00301D9D"/>
    <w:rsid w:val="0031170E"/>
    <w:rsid w:val="00317AC0"/>
    <w:rsid w:val="00326E28"/>
    <w:rsid w:val="003412C6"/>
    <w:rsid w:val="00356F1B"/>
    <w:rsid w:val="00366355"/>
    <w:rsid w:val="00391469"/>
    <w:rsid w:val="003928AA"/>
    <w:rsid w:val="00394C28"/>
    <w:rsid w:val="003A3E0C"/>
    <w:rsid w:val="003C13EE"/>
    <w:rsid w:val="003C1712"/>
    <w:rsid w:val="003C3813"/>
    <w:rsid w:val="003C450B"/>
    <w:rsid w:val="003D53CD"/>
    <w:rsid w:val="003E2C11"/>
    <w:rsid w:val="003E389B"/>
    <w:rsid w:val="003E5E3E"/>
    <w:rsid w:val="004213AC"/>
    <w:rsid w:val="0043141A"/>
    <w:rsid w:val="0043213F"/>
    <w:rsid w:val="00440F85"/>
    <w:rsid w:val="00451224"/>
    <w:rsid w:val="00466072"/>
    <w:rsid w:val="004768D6"/>
    <w:rsid w:val="00477FF8"/>
    <w:rsid w:val="00483AB4"/>
    <w:rsid w:val="00484F14"/>
    <w:rsid w:val="004932A4"/>
    <w:rsid w:val="004A2EF3"/>
    <w:rsid w:val="004B11F1"/>
    <w:rsid w:val="004C740C"/>
    <w:rsid w:val="004C7CD2"/>
    <w:rsid w:val="004D1EF5"/>
    <w:rsid w:val="004E2D63"/>
    <w:rsid w:val="004F170E"/>
    <w:rsid w:val="004F4280"/>
    <w:rsid w:val="00512286"/>
    <w:rsid w:val="005164D8"/>
    <w:rsid w:val="00520936"/>
    <w:rsid w:val="00520BDC"/>
    <w:rsid w:val="0053006A"/>
    <w:rsid w:val="00536A00"/>
    <w:rsid w:val="00544148"/>
    <w:rsid w:val="0054668B"/>
    <w:rsid w:val="00547007"/>
    <w:rsid w:val="005548BE"/>
    <w:rsid w:val="00576F45"/>
    <w:rsid w:val="00577CCC"/>
    <w:rsid w:val="005861E1"/>
    <w:rsid w:val="00595E42"/>
    <w:rsid w:val="005A0B15"/>
    <w:rsid w:val="005A16BA"/>
    <w:rsid w:val="005A526D"/>
    <w:rsid w:val="005C39BF"/>
    <w:rsid w:val="005C4B55"/>
    <w:rsid w:val="005E2C06"/>
    <w:rsid w:val="005E4458"/>
    <w:rsid w:val="005E6FEB"/>
    <w:rsid w:val="006050DD"/>
    <w:rsid w:val="006075FF"/>
    <w:rsid w:val="00620E4C"/>
    <w:rsid w:val="0062442F"/>
    <w:rsid w:val="0063591D"/>
    <w:rsid w:val="006374A3"/>
    <w:rsid w:val="006377FC"/>
    <w:rsid w:val="0064014F"/>
    <w:rsid w:val="00640B5F"/>
    <w:rsid w:val="00650642"/>
    <w:rsid w:val="00663D6B"/>
    <w:rsid w:val="00680D14"/>
    <w:rsid w:val="006811DB"/>
    <w:rsid w:val="00681489"/>
    <w:rsid w:val="0069124F"/>
    <w:rsid w:val="00697E84"/>
    <w:rsid w:val="006A1146"/>
    <w:rsid w:val="006A5DC5"/>
    <w:rsid w:val="006B1754"/>
    <w:rsid w:val="006B32BB"/>
    <w:rsid w:val="006B427B"/>
    <w:rsid w:val="006C6750"/>
    <w:rsid w:val="006C705A"/>
    <w:rsid w:val="006D07DA"/>
    <w:rsid w:val="006D5ABB"/>
    <w:rsid w:val="006E5493"/>
    <w:rsid w:val="006E601A"/>
    <w:rsid w:val="006F2881"/>
    <w:rsid w:val="006F31BF"/>
    <w:rsid w:val="00700C74"/>
    <w:rsid w:val="00717A44"/>
    <w:rsid w:val="00717FC1"/>
    <w:rsid w:val="00721600"/>
    <w:rsid w:val="00721728"/>
    <w:rsid w:val="0072779D"/>
    <w:rsid w:val="00730735"/>
    <w:rsid w:val="0074212F"/>
    <w:rsid w:val="00745D69"/>
    <w:rsid w:val="0075707B"/>
    <w:rsid w:val="00760408"/>
    <w:rsid w:val="00772C5F"/>
    <w:rsid w:val="00774B53"/>
    <w:rsid w:val="007958AB"/>
    <w:rsid w:val="007A6255"/>
    <w:rsid w:val="007B39B8"/>
    <w:rsid w:val="007B5956"/>
    <w:rsid w:val="007B6170"/>
    <w:rsid w:val="007C78FA"/>
    <w:rsid w:val="007D3692"/>
    <w:rsid w:val="007D4483"/>
    <w:rsid w:val="007D5DB5"/>
    <w:rsid w:val="007D5DD2"/>
    <w:rsid w:val="007D7D8D"/>
    <w:rsid w:val="007E0309"/>
    <w:rsid w:val="007E1168"/>
    <w:rsid w:val="007E1DDE"/>
    <w:rsid w:val="007E5205"/>
    <w:rsid w:val="007F5679"/>
    <w:rsid w:val="00807209"/>
    <w:rsid w:val="008113B1"/>
    <w:rsid w:val="0081438F"/>
    <w:rsid w:val="0081506F"/>
    <w:rsid w:val="00816983"/>
    <w:rsid w:val="00823D48"/>
    <w:rsid w:val="00834979"/>
    <w:rsid w:val="00841C2D"/>
    <w:rsid w:val="008627C2"/>
    <w:rsid w:val="008647D5"/>
    <w:rsid w:val="008776A3"/>
    <w:rsid w:val="00881A70"/>
    <w:rsid w:val="0088434F"/>
    <w:rsid w:val="00892621"/>
    <w:rsid w:val="008960BE"/>
    <w:rsid w:val="008A1A1A"/>
    <w:rsid w:val="008B21A5"/>
    <w:rsid w:val="008B5E6A"/>
    <w:rsid w:val="008B7CBE"/>
    <w:rsid w:val="008C0D9E"/>
    <w:rsid w:val="008C5A76"/>
    <w:rsid w:val="008D4DFB"/>
    <w:rsid w:val="008E1CAA"/>
    <w:rsid w:val="00902EAD"/>
    <w:rsid w:val="00913E79"/>
    <w:rsid w:val="00917B13"/>
    <w:rsid w:val="009278E6"/>
    <w:rsid w:val="009322C6"/>
    <w:rsid w:val="00932713"/>
    <w:rsid w:val="009358C3"/>
    <w:rsid w:val="00941D6F"/>
    <w:rsid w:val="0094281E"/>
    <w:rsid w:val="00952ECF"/>
    <w:rsid w:val="00953582"/>
    <w:rsid w:val="009541FB"/>
    <w:rsid w:val="00965CF1"/>
    <w:rsid w:val="0096753A"/>
    <w:rsid w:val="0097401B"/>
    <w:rsid w:val="00981AB1"/>
    <w:rsid w:val="00986B7C"/>
    <w:rsid w:val="00992C20"/>
    <w:rsid w:val="009A15D5"/>
    <w:rsid w:val="009A208C"/>
    <w:rsid w:val="009A60B1"/>
    <w:rsid w:val="009A6ECF"/>
    <w:rsid w:val="009B1EEF"/>
    <w:rsid w:val="009B72A7"/>
    <w:rsid w:val="009D034E"/>
    <w:rsid w:val="009D725B"/>
    <w:rsid w:val="009E5BCD"/>
    <w:rsid w:val="009E5C0B"/>
    <w:rsid w:val="009E6654"/>
    <w:rsid w:val="009F3BCA"/>
    <w:rsid w:val="009F5D5D"/>
    <w:rsid w:val="009F6511"/>
    <w:rsid w:val="00A1164A"/>
    <w:rsid w:val="00A12B7C"/>
    <w:rsid w:val="00A3178D"/>
    <w:rsid w:val="00A400BE"/>
    <w:rsid w:val="00A52E0A"/>
    <w:rsid w:val="00A650DA"/>
    <w:rsid w:val="00A80606"/>
    <w:rsid w:val="00A81E99"/>
    <w:rsid w:val="00A90EB9"/>
    <w:rsid w:val="00A92285"/>
    <w:rsid w:val="00AA5282"/>
    <w:rsid w:val="00AB1A00"/>
    <w:rsid w:val="00AB643D"/>
    <w:rsid w:val="00AB762D"/>
    <w:rsid w:val="00AC25D1"/>
    <w:rsid w:val="00AD64D7"/>
    <w:rsid w:val="00AE20FD"/>
    <w:rsid w:val="00AE66FC"/>
    <w:rsid w:val="00B055D0"/>
    <w:rsid w:val="00B15D3F"/>
    <w:rsid w:val="00B335E1"/>
    <w:rsid w:val="00B367D3"/>
    <w:rsid w:val="00BB1FF6"/>
    <w:rsid w:val="00BB2792"/>
    <w:rsid w:val="00BB29DA"/>
    <w:rsid w:val="00BB7FEC"/>
    <w:rsid w:val="00BC65B5"/>
    <w:rsid w:val="00BD2DD2"/>
    <w:rsid w:val="00BD4C81"/>
    <w:rsid w:val="00BD729D"/>
    <w:rsid w:val="00BE11C9"/>
    <w:rsid w:val="00BE6D35"/>
    <w:rsid w:val="00BF0989"/>
    <w:rsid w:val="00BF1466"/>
    <w:rsid w:val="00C07A74"/>
    <w:rsid w:val="00C11FF1"/>
    <w:rsid w:val="00C13C70"/>
    <w:rsid w:val="00C1432C"/>
    <w:rsid w:val="00C1464B"/>
    <w:rsid w:val="00C24A96"/>
    <w:rsid w:val="00C253D9"/>
    <w:rsid w:val="00C336D2"/>
    <w:rsid w:val="00C33AF8"/>
    <w:rsid w:val="00C655C9"/>
    <w:rsid w:val="00C70CBD"/>
    <w:rsid w:val="00C721FA"/>
    <w:rsid w:val="00C8622B"/>
    <w:rsid w:val="00C956BB"/>
    <w:rsid w:val="00CA4E94"/>
    <w:rsid w:val="00CA7500"/>
    <w:rsid w:val="00CB21C8"/>
    <w:rsid w:val="00CB284B"/>
    <w:rsid w:val="00CB70A2"/>
    <w:rsid w:val="00CC0567"/>
    <w:rsid w:val="00CC5AD8"/>
    <w:rsid w:val="00CD05EF"/>
    <w:rsid w:val="00CD1C55"/>
    <w:rsid w:val="00CD694A"/>
    <w:rsid w:val="00CE4F62"/>
    <w:rsid w:val="00CE7695"/>
    <w:rsid w:val="00CF1F0E"/>
    <w:rsid w:val="00CF78F3"/>
    <w:rsid w:val="00D05923"/>
    <w:rsid w:val="00D13AA2"/>
    <w:rsid w:val="00D15836"/>
    <w:rsid w:val="00D17220"/>
    <w:rsid w:val="00D40419"/>
    <w:rsid w:val="00D4077B"/>
    <w:rsid w:val="00D409E6"/>
    <w:rsid w:val="00D46583"/>
    <w:rsid w:val="00D475AD"/>
    <w:rsid w:val="00D50449"/>
    <w:rsid w:val="00D514F5"/>
    <w:rsid w:val="00D80739"/>
    <w:rsid w:val="00D81DD5"/>
    <w:rsid w:val="00D843E8"/>
    <w:rsid w:val="00D91E32"/>
    <w:rsid w:val="00DA32ED"/>
    <w:rsid w:val="00DB12C7"/>
    <w:rsid w:val="00DB3D67"/>
    <w:rsid w:val="00DD0500"/>
    <w:rsid w:val="00DD3B02"/>
    <w:rsid w:val="00DD549E"/>
    <w:rsid w:val="00DE341C"/>
    <w:rsid w:val="00E002D6"/>
    <w:rsid w:val="00E11A21"/>
    <w:rsid w:val="00E16C3E"/>
    <w:rsid w:val="00E258F2"/>
    <w:rsid w:val="00E25A0C"/>
    <w:rsid w:val="00E34061"/>
    <w:rsid w:val="00E50027"/>
    <w:rsid w:val="00E52400"/>
    <w:rsid w:val="00E571B4"/>
    <w:rsid w:val="00E73011"/>
    <w:rsid w:val="00E74FB9"/>
    <w:rsid w:val="00E8138A"/>
    <w:rsid w:val="00E8431D"/>
    <w:rsid w:val="00E968E2"/>
    <w:rsid w:val="00EA45F3"/>
    <w:rsid w:val="00EC1AC1"/>
    <w:rsid w:val="00EC1E9D"/>
    <w:rsid w:val="00EC726A"/>
    <w:rsid w:val="00EF1040"/>
    <w:rsid w:val="00EF2C77"/>
    <w:rsid w:val="00EF504F"/>
    <w:rsid w:val="00F002EC"/>
    <w:rsid w:val="00F15FEC"/>
    <w:rsid w:val="00F175ED"/>
    <w:rsid w:val="00F213A2"/>
    <w:rsid w:val="00F279F3"/>
    <w:rsid w:val="00F35D51"/>
    <w:rsid w:val="00F40D9D"/>
    <w:rsid w:val="00F44647"/>
    <w:rsid w:val="00F47192"/>
    <w:rsid w:val="00F52C5E"/>
    <w:rsid w:val="00F53CCD"/>
    <w:rsid w:val="00F5691A"/>
    <w:rsid w:val="00F77D41"/>
    <w:rsid w:val="00F94619"/>
    <w:rsid w:val="00F95AFF"/>
    <w:rsid w:val="00FC45A2"/>
    <w:rsid w:val="00FC520A"/>
    <w:rsid w:val="00FC7195"/>
    <w:rsid w:val="00FD3588"/>
    <w:rsid w:val="00FD40C8"/>
    <w:rsid w:val="00FD41E1"/>
    <w:rsid w:val="00FD7E5E"/>
    <w:rsid w:val="00FE3AC2"/>
    <w:rsid w:val="00FE3B93"/>
    <w:rsid w:val="00FF0BCF"/>
    <w:rsid w:val="00FF2D61"/>
    <w:rsid w:val="00FF498F"/>
    <w:rsid w:val="00FF7613"/>
  </w:rsids>
  <m:mathPr>
    <m:mathFont m:val="Cambria Math"/>
    <m:brkBin m:val="before"/>
    <m:brkBinSub m:val="--"/>
    <m:smallFrac m:val="0"/>
    <m:dispDef/>
    <m:lMargin m:val="0"/>
    <m:rMargin m:val="0"/>
    <m:defJc m:val="centerGroup"/>
    <m:wrapIndent m:val="1440"/>
    <m:intLim m:val="subSup"/>
    <m:naryLim m:val="undOvr"/>
  </m:mathPr>
  <w:themeFontLang w:val="en-CA"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691E6C"/>
  <w15:chartTrackingRefBased/>
  <w15:docId w15:val="{9B21CE9F-4C26-3D4B-9FF2-BF4783D944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5D51"/>
  </w:style>
  <w:style w:type="paragraph" w:styleId="Heading1">
    <w:name w:val="heading 1"/>
    <w:basedOn w:val="Normal"/>
    <w:next w:val="Normal"/>
    <w:link w:val="Heading1Char"/>
    <w:uiPriority w:val="9"/>
    <w:qFormat/>
    <w:rsid w:val="007D448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autoRedefine/>
    <w:uiPriority w:val="9"/>
    <w:unhideWhenUsed/>
    <w:qFormat/>
    <w:rsid w:val="00544148"/>
    <w:pPr>
      <w:numPr>
        <w:ilvl w:val="1"/>
        <w:numId w:val="1"/>
      </w:numPr>
      <w:tabs>
        <w:tab w:val="left" w:pos="540"/>
      </w:tabs>
      <w:spacing w:before="120" w:after="120" w:line="360" w:lineRule="auto"/>
      <w:ind w:left="630" w:hanging="630"/>
      <w:outlineLvl w:val="1"/>
    </w:pPr>
    <w:rPr>
      <w:rFonts w:asciiTheme="majorBidi" w:eastAsiaTheme="majorEastAsia" w:hAnsiTheme="majorBidi" w:cstheme="majorBidi"/>
      <w:b/>
      <w:color w:val="000000" w:themeColor="text1"/>
      <w:sz w:val="28"/>
      <w:szCs w:val="32"/>
      <w:lang w:val="en-US"/>
    </w:rPr>
  </w:style>
  <w:style w:type="paragraph" w:styleId="Heading3">
    <w:name w:val="heading 3"/>
    <w:basedOn w:val="Normal"/>
    <w:next w:val="Normal"/>
    <w:link w:val="Heading3Char"/>
    <w:uiPriority w:val="9"/>
    <w:unhideWhenUsed/>
    <w:qFormat/>
    <w:rsid w:val="00544148"/>
    <w:pPr>
      <w:keepNext/>
      <w:keepLines/>
      <w:spacing w:before="120" w:after="120" w:line="360" w:lineRule="auto"/>
      <w:outlineLvl w:val="2"/>
    </w:pPr>
    <w:rPr>
      <w:rFonts w:asciiTheme="majorBidi" w:eastAsiaTheme="majorEastAsia" w:hAnsiTheme="majorBidi" w:cstheme="majorBidi"/>
      <w:b/>
      <w:color w:val="000000" w:themeColor="text1"/>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544148"/>
    <w:rPr>
      <w:rFonts w:asciiTheme="majorBidi" w:eastAsiaTheme="majorEastAsia" w:hAnsiTheme="majorBidi" w:cstheme="majorBidi"/>
      <w:b/>
      <w:color w:val="000000" w:themeColor="text1"/>
      <w:sz w:val="28"/>
      <w:szCs w:val="32"/>
      <w:lang w:val="en-US"/>
    </w:rPr>
  </w:style>
  <w:style w:type="character" w:customStyle="1" w:styleId="Heading3Char">
    <w:name w:val="Heading 3 Char"/>
    <w:basedOn w:val="DefaultParagraphFont"/>
    <w:link w:val="Heading3"/>
    <w:uiPriority w:val="9"/>
    <w:rsid w:val="00544148"/>
    <w:rPr>
      <w:rFonts w:asciiTheme="majorBidi" w:eastAsiaTheme="majorEastAsia" w:hAnsiTheme="majorBidi" w:cstheme="majorBidi"/>
      <w:b/>
      <w:color w:val="000000" w:themeColor="text1"/>
      <w:sz w:val="28"/>
      <w:szCs w:val="28"/>
    </w:rPr>
  </w:style>
  <w:style w:type="table" w:styleId="TableGrid">
    <w:name w:val="Table Grid"/>
    <w:basedOn w:val="TableNormal"/>
    <w:uiPriority w:val="39"/>
    <w:rsid w:val="00544148"/>
    <w:pPr>
      <w:spacing w:after="160" w:line="259" w:lineRule="auto"/>
    </w:pPr>
    <w:rPr>
      <w:rFonts w:eastAsiaTheme="minorEastAs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544148"/>
    <w:pPr>
      <w:spacing w:after="160"/>
    </w:pPr>
    <w:rPr>
      <w:rFonts w:asciiTheme="majorBidi" w:eastAsiaTheme="minorEastAsia" w:hAnsiTheme="majorBidi"/>
      <w:b/>
      <w:bCs/>
      <w:color w:val="000000" w:themeColor="text1"/>
      <w:sz w:val="20"/>
      <w:szCs w:val="22"/>
    </w:rPr>
  </w:style>
  <w:style w:type="paragraph" w:styleId="BalloonText">
    <w:name w:val="Balloon Text"/>
    <w:basedOn w:val="Normal"/>
    <w:link w:val="BalloonTextChar"/>
    <w:uiPriority w:val="99"/>
    <w:semiHidden/>
    <w:unhideWhenUsed/>
    <w:rsid w:val="001D09ED"/>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1D09ED"/>
    <w:rPr>
      <w:rFonts w:ascii="Times New Roman" w:hAnsi="Times New Roman" w:cs="Times New Roman"/>
      <w:sz w:val="18"/>
      <w:szCs w:val="18"/>
    </w:rPr>
  </w:style>
  <w:style w:type="paragraph" w:styleId="ListParagraph">
    <w:name w:val="List Paragraph"/>
    <w:basedOn w:val="Normal"/>
    <w:uiPriority w:val="34"/>
    <w:qFormat/>
    <w:rsid w:val="00140F30"/>
    <w:pPr>
      <w:ind w:left="720"/>
      <w:contextualSpacing/>
    </w:pPr>
  </w:style>
  <w:style w:type="character" w:styleId="CommentReference">
    <w:name w:val="annotation reference"/>
    <w:basedOn w:val="DefaultParagraphFont"/>
    <w:uiPriority w:val="99"/>
    <w:semiHidden/>
    <w:unhideWhenUsed/>
    <w:rsid w:val="0025402A"/>
    <w:rPr>
      <w:sz w:val="16"/>
      <w:szCs w:val="16"/>
    </w:rPr>
  </w:style>
  <w:style w:type="paragraph" w:styleId="CommentText">
    <w:name w:val="annotation text"/>
    <w:basedOn w:val="Normal"/>
    <w:link w:val="CommentTextChar"/>
    <w:uiPriority w:val="99"/>
    <w:semiHidden/>
    <w:unhideWhenUsed/>
    <w:rsid w:val="0025402A"/>
    <w:pPr>
      <w:spacing w:after="160"/>
    </w:pPr>
    <w:rPr>
      <w:sz w:val="20"/>
      <w:szCs w:val="20"/>
      <w:lang w:val="en-US"/>
    </w:rPr>
  </w:style>
  <w:style w:type="character" w:customStyle="1" w:styleId="CommentTextChar">
    <w:name w:val="Comment Text Char"/>
    <w:basedOn w:val="DefaultParagraphFont"/>
    <w:link w:val="CommentText"/>
    <w:uiPriority w:val="99"/>
    <w:semiHidden/>
    <w:rsid w:val="0025402A"/>
    <w:rPr>
      <w:sz w:val="20"/>
      <w:szCs w:val="20"/>
      <w:lang w:val="en-US"/>
    </w:rPr>
  </w:style>
  <w:style w:type="paragraph" w:styleId="CommentSubject">
    <w:name w:val="annotation subject"/>
    <w:basedOn w:val="CommentText"/>
    <w:next w:val="CommentText"/>
    <w:link w:val="CommentSubjectChar"/>
    <w:uiPriority w:val="99"/>
    <w:semiHidden/>
    <w:unhideWhenUsed/>
    <w:rsid w:val="0025402A"/>
    <w:rPr>
      <w:b/>
      <w:bCs/>
    </w:rPr>
  </w:style>
  <w:style w:type="character" w:customStyle="1" w:styleId="CommentSubjectChar">
    <w:name w:val="Comment Subject Char"/>
    <w:basedOn w:val="CommentTextChar"/>
    <w:link w:val="CommentSubject"/>
    <w:uiPriority w:val="99"/>
    <w:semiHidden/>
    <w:rsid w:val="0025402A"/>
    <w:rPr>
      <w:b/>
      <w:bCs/>
      <w:sz w:val="20"/>
      <w:szCs w:val="20"/>
      <w:lang w:val="en-US"/>
    </w:rPr>
  </w:style>
  <w:style w:type="paragraph" w:customStyle="1" w:styleId="P1withIndendation">
    <w:name w:val="P1_with_Indendation"/>
    <w:basedOn w:val="Normal"/>
    <w:rsid w:val="005164D8"/>
    <w:pPr>
      <w:spacing w:line="230" w:lineRule="exact"/>
      <w:ind w:firstLine="284"/>
      <w:jc w:val="both"/>
    </w:pPr>
    <w:rPr>
      <w:rFonts w:ascii="Times New Roman" w:eastAsia="MS Mincho" w:hAnsi="Times New Roman" w:cs="Times New Roman"/>
      <w:sz w:val="18"/>
      <w:lang w:val="en-GB" w:eastAsia="ja-JP"/>
    </w:rPr>
  </w:style>
  <w:style w:type="paragraph" w:customStyle="1" w:styleId="Paragraph">
    <w:name w:val="Paragraph"/>
    <w:basedOn w:val="Normal"/>
    <w:rsid w:val="002B0E91"/>
    <w:pPr>
      <w:spacing w:before="120"/>
      <w:ind w:firstLine="720"/>
    </w:pPr>
    <w:rPr>
      <w:rFonts w:ascii="Times New Roman" w:eastAsia="Times New Roman" w:hAnsi="Times New Roman" w:cs="Times New Roman"/>
      <w:lang w:val="en-US"/>
    </w:rPr>
  </w:style>
  <w:style w:type="paragraph" w:customStyle="1" w:styleId="RSCB02ArticleText">
    <w:name w:val="RSC B02 Article Text"/>
    <w:basedOn w:val="Normal"/>
    <w:link w:val="RSCB02ArticleTextChar"/>
    <w:qFormat/>
    <w:rsid w:val="00774B53"/>
    <w:pPr>
      <w:spacing w:line="240" w:lineRule="exact"/>
      <w:jc w:val="both"/>
    </w:pPr>
    <w:rPr>
      <w:rFonts w:cs="Times New Roman"/>
      <w:w w:val="108"/>
      <w:sz w:val="18"/>
      <w:szCs w:val="18"/>
      <w:lang w:val="en-GB"/>
    </w:rPr>
  </w:style>
  <w:style w:type="character" w:customStyle="1" w:styleId="RSCB02ArticleTextChar">
    <w:name w:val="RSC B02 Article Text Char"/>
    <w:basedOn w:val="DefaultParagraphFont"/>
    <w:link w:val="RSCB02ArticleText"/>
    <w:rsid w:val="00774B53"/>
    <w:rPr>
      <w:rFonts w:cs="Times New Roman"/>
      <w:w w:val="108"/>
      <w:sz w:val="18"/>
      <w:szCs w:val="18"/>
      <w:lang w:val="en-GB"/>
    </w:rPr>
  </w:style>
  <w:style w:type="character" w:customStyle="1" w:styleId="Heading1Char">
    <w:name w:val="Heading 1 Char"/>
    <w:basedOn w:val="DefaultParagraphFont"/>
    <w:link w:val="Heading1"/>
    <w:uiPriority w:val="9"/>
    <w:rsid w:val="007D4483"/>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semiHidden/>
    <w:unhideWhenUsed/>
    <w:rsid w:val="001870AB"/>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3696448">
      <w:bodyDiv w:val="1"/>
      <w:marLeft w:val="0"/>
      <w:marRight w:val="0"/>
      <w:marTop w:val="0"/>
      <w:marBottom w:val="0"/>
      <w:divBdr>
        <w:top w:val="none" w:sz="0" w:space="0" w:color="auto"/>
        <w:left w:val="none" w:sz="0" w:space="0" w:color="auto"/>
        <w:bottom w:val="none" w:sz="0" w:space="0" w:color="auto"/>
        <w:right w:val="none" w:sz="0" w:space="0" w:color="auto"/>
      </w:divBdr>
    </w:div>
    <w:div w:id="291130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emf"/><Relationship Id="rId18" Type="http://schemas.openxmlformats.org/officeDocument/2006/relationships/image" Target="media/image13.tif"/><Relationship Id="rId3" Type="http://schemas.openxmlformats.org/officeDocument/2006/relationships/styles" Target="styles.xml"/><Relationship Id="rId21" Type="http://schemas.openxmlformats.org/officeDocument/2006/relationships/image" Target="media/image16.tiff"/><Relationship Id="rId7" Type="http://schemas.openxmlformats.org/officeDocument/2006/relationships/image" Target="media/image2.png"/><Relationship Id="rId12" Type="http://schemas.openxmlformats.org/officeDocument/2006/relationships/image" Target="media/image7.emf"/><Relationship Id="rId17" Type="http://schemas.openxmlformats.org/officeDocument/2006/relationships/image" Target="media/image12.tiff"/><Relationship Id="rId2" Type="http://schemas.openxmlformats.org/officeDocument/2006/relationships/numbering" Target="numbering.xml"/><Relationship Id="rId16" Type="http://schemas.openxmlformats.org/officeDocument/2006/relationships/image" Target="media/image11.tif"/><Relationship Id="rId20" Type="http://schemas.openxmlformats.org/officeDocument/2006/relationships/image" Target="media/image15.tif"/><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tif"/><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theme" Target="theme/theme1.xml"/><Relationship Id="rId10" Type="http://schemas.openxmlformats.org/officeDocument/2006/relationships/image" Target="media/image5.emf"/><Relationship Id="rId19" Type="http://schemas.openxmlformats.org/officeDocument/2006/relationships/image" Target="media/image14.tiff"/><Relationship Id="rId4" Type="http://schemas.openxmlformats.org/officeDocument/2006/relationships/settings" Target="settings.xml"/><Relationship Id="rId9" Type="http://schemas.openxmlformats.org/officeDocument/2006/relationships/image" Target="media/image4.tif"/><Relationship Id="rId14" Type="http://schemas.openxmlformats.org/officeDocument/2006/relationships/image" Target="media/image9.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50A6CA-8B19-E54B-A4F3-0E09732488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315</TotalTime>
  <Pages>41</Pages>
  <Words>39869</Words>
  <Characters>227258</Characters>
  <Application>Microsoft Office Word</Application>
  <DocSecurity>0</DocSecurity>
  <Lines>1893</Lines>
  <Paragraphs>533</Paragraphs>
  <ScaleCrop>false</ScaleCrop>
  <Company/>
  <LinksUpToDate>false</LinksUpToDate>
  <CharactersWithSpaces>266594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Jehad Abed</dc:creator>
  <cp:keywords/>
  <dc:description/>
  <cp:lastModifiedBy>Jehad Abed</cp:lastModifiedBy>
  <cp:revision>374</cp:revision>
  <dcterms:created xsi:type="dcterms:W3CDTF">2020-04-15T23:47:00Z</dcterms:created>
  <dcterms:modified xsi:type="dcterms:W3CDTF">2020-09-26T12:16:00Z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http://www.zotero.org/styles/advanced-materials</vt:lpwstr>
  </property>
  <property fmtid="{D5CDD505-2E9C-101B-9397-08002B2CF9AE}" pid="3" name="Mendeley Recent Style Name 0_1">
    <vt:lpwstr>Advanced Materials</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http://www.zotero.org/styles/physical-chemistry-chemical-physics</vt:lpwstr>
  </property>
  <property fmtid="{D5CDD505-2E9C-101B-9397-08002B2CF9AE}" pid="21" name="Mendeley Recent Style Name 9_1">
    <vt:lpwstr>Physical Chemistry Chemical Physics</vt:lpwstr>
  </property>
  <property fmtid="{D5CDD505-2E9C-101B-9397-08002B2CF9AE}" pid="22" name="Mendeley Document_1">
    <vt:lpwstr>True</vt:lpwstr>
  </property>
  <property fmtid="{D5CDD505-2E9C-101B-9397-08002B2CF9AE}" pid="23" name="Mendeley Unique User Id_1">
    <vt:lpwstr>e11ff160-4b1c-3ab4-b574-315d36efbd1d</vt:lpwstr>
  </property>
  <property fmtid="{D5CDD505-2E9C-101B-9397-08002B2CF9AE}" pid="24" name="Mendeley Citation Style_1">
    <vt:lpwstr>http://www.zotero.org/styles/physical-chemistry-chemical-physics</vt:lpwstr>
  </property>
</Properties>
</file>