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2C0A51" w14:textId="77777777" w:rsidR="00D11698" w:rsidRPr="007A57B5" w:rsidRDefault="00D11698" w:rsidP="00D11698">
      <w:pPr>
        <w:rPr>
          <w:b/>
          <w:bCs/>
          <w:lang w:val="en-US"/>
        </w:rPr>
      </w:pPr>
      <w:r>
        <w:rPr>
          <w:b/>
          <w:bCs/>
          <w:lang w:val="en-US"/>
        </w:rPr>
        <w:t>SUPPLEMENTARY F</w:t>
      </w:r>
      <w:r w:rsidRPr="00F76677">
        <w:rPr>
          <w:b/>
          <w:bCs/>
          <w:lang w:val="en-US"/>
        </w:rPr>
        <w:t>IGURE</w:t>
      </w:r>
      <w:r>
        <w:rPr>
          <w:b/>
          <w:bCs/>
          <w:lang w:val="en-US"/>
        </w:rPr>
        <w:t>S</w:t>
      </w:r>
    </w:p>
    <w:p w14:paraId="27947B4D" w14:textId="77777777" w:rsidR="00D11698" w:rsidRDefault="00D11698" w:rsidP="00D11698">
      <w:pPr>
        <w:rPr>
          <w:b/>
          <w:bCs/>
          <w:lang w:val="en-US"/>
        </w:rPr>
      </w:pPr>
      <w:r>
        <w:rPr>
          <w:b/>
          <w:bCs/>
          <w:noProof/>
          <w:lang w:val="en-US"/>
        </w:rPr>
        <w:drawing>
          <wp:inline distT="0" distB="0" distL="0" distR="0" wp14:anchorId="67CB223E" wp14:editId="50308A90">
            <wp:extent cx="4500000" cy="1709382"/>
            <wp:effectExtent l="0" t="0" r="0" b="5715"/>
            <wp:docPr id="52061666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07" t="9134" r="13740" b="714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0000" cy="1709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4B0375" w14:textId="77777777" w:rsidR="00D11698" w:rsidRDefault="00D11698" w:rsidP="00D11698">
      <w:pPr>
        <w:rPr>
          <w:b/>
          <w:bCs/>
          <w:lang w:val="en-US"/>
        </w:rPr>
      </w:pPr>
      <w:r>
        <w:rPr>
          <w:b/>
          <w:bCs/>
          <w:lang w:val="en-US"/>
        </w:rPr>
        <w:t>Supplementary Figure 1. Sankey plot of cohort designed and paired samples.</w:t>
      </w:r>
      <w:r>
        <w:rPr>
          <w:b/>
          <w:bCs/>
          <w:lang w:val="en-US"/>
        </w:rPr>
        <w:br w:type="page"/>
      </w:r>
    </w:p>
    <w:p w14:paraId="06D041C0" w14:textId="77777777" w:rsidR="00D11698" w:rsidRDefault="00D11698" w:rsidP="00D11698">
      <w:pPr>
        <w:rPr>
          <w:b/>
          <w:bCs/>
          <w:lang w:val="en-US"/>
        </w:rPr>
      </w:pPr>
      <w:r>
        <w:rPr>
          <w:b/>
          <w:bCs/>
          <w:noProof/>
          <w:lang w:val="en-US"/>
        </w:rPr>
        <w:lastRenderedPageBreak/>
        <w:drawing>
          <wp:inline distT="0" distB="0" distL="0" distR="0" wp14:anchorId="125FED14" wp14:editId="16DDA5DB">
            <wp:extent cx="5652000" cy="7495044"/>
            <wp:effectExtent l="0" t="0" r="6350" b="0"/>
            <wp:docPr id="165432985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83" t="9251" r="11258" b="193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2000" cy="7495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771699" w14:textId="77777777" w:rsidR="00D11698" w:rsidRDefault="00D11698" w:rsidP="00D11698">
      <w:pPr>
        <w:rPr>
          <w:lang w:val="en-US"/>
        </w:rPr>
      </w:pPr>
      <w:r w:rsidRPr="00235398">
        <w:rPr>
          <w:b/>
          <w:bCs/>
          <w:lang w:val="en-US"/>
        </w:rPr>
        <w:t xml:space="preserve">Supplementary Figure 2. </w:t>
      </w:r>
      <w:r>
        <w:rPr>
          <w:b/>
          <w:bCs/>
          <w:lang w:val="en-US"/>
        </w:rPr>
        <w:t>B-cell sorting for single-cell transcriptomics and cluster a</w:t>
      </w:r>
      <w:r w:rsidRPr="00235398">
        <w:rPr>
          <w:b/>
          <w:bCs/>
          <w:lang w:val="en-US"/>
        </w:rPr>
        <w:t>nnotation.</w:t>
      </w:r>
      <w:r>
        <w:rPr>
          <w:b/>
          <w:bCs/>
          <w:lang w:val="en-US"/>
        </w:rPr>
        <w:t xml:space="preserve"> </w:t>
      </w:r>
      <w:r w:rsidRPr="00130776">
        <w:rPr>
          <w:b/>
          <w:bCs/>
          <w:lang w:val="en-US"/>
        </w:rPr>
        <w:t>a</w:t>
      </w:r>
      <w:r>
        <w:rPr>
          <w:lang w:val="en-US"/>
        </w:rPr>
        <w:t>, FACS gating strategy and sorting of B cells for single-cell transcriptomics. Percentage of total B cells over total lymphocytes (</w:t>
      </w:r>
      <w:r w:rsidRPr="00130776">
        <w:rPr>
          <w:b/>
          <w:bCs/>
          <w:lang w:val="en-US"/>
        </w:rPr>
        <w:t>b</w:t>
      </w:r>
      <w:r w:rsidRPr="00130776">
        <w:rPr>
          <w:lang w:val="en-US"/>
        </w:rPr>
        <w:t>)</w:t>
      </w:r>
      <w:r>
        <w:rPr>
          <w:lang w:val="en-US"/>
        </w:rPr>
        <w:t>, memory B cells over total B cells (</w:t>
      </w:r>
      <w:r w:rsidRPr="00130776">
        <w:rPr>
          <w:b/>
          <w:bCs/>
          <w:lang w:val="en-US"/>
        </w:rPr>
        <w:t>c</w:t>
      </w:r>
      <w:r>
        <w:rPr>
          <w:lang w:val="en-US"/>
        </w:rPr>
        <w:t xml:space="preserve">) of samples used for single-cell transcriptomics. </w:t>
      </w:r>
      <w:r w:rsidRPr="00130776">
        <w:rPr>
          <w:b/>
          <w:bCs/>
          <w:lang w:val="en-US"/>
        </w:rPr>
        <w:t>d</w:t>
      </w:r>
      <w:r>
        <w:rPr>
          <w:lang w:val="en-US"/>
        </w:rPr>
        <w:t xml:space="preserve">, UMAP representation of B cells expressing different immunoglobulin heavy chains. </w:t>
      </w:r>
      <w:r w:rsidRPr="00130776">
        <w:rPr>
          <w:b/>
          <w:bCs/>
          <w:lang w:val="en-US"/>
        </w:rPr>
        <w:t>e</w:t>
      </w:r>
      <w:r>
        <w:rPr>
          <w:lang w:val="en-US"/>
        </w:rPr>
        <w:t xml:space="preserve">, Heatmap of Monaco annotation scores for B-cell subsets by cluster. </w:t>
      </w:r>
      <w:r w:rsidRPr="00130776">
        <w:rPr>
          <w:b/>
          <w:bCs/>
          <w:lang w:val="en-US"/>
        </w:rPr>
        <w:t>f</w:t>
      </w:r>
      <w:r>
        <w:rPr>
          <w:lang w:val="en-US"/>
        </w:rPr>
        <w:t>, GSEA for Gene Ontology (GO) terms of differentially expressed genes in individual clusters compared to the rest of the clusters.</w:t>
      </w:r>
      <w:r>
        <w:rPr>
          <w:lang w:val="en-US"/>
        </w:rPr>
        <w:br w:type="page"/>
      </w:r>
    </w:p>
    <w:p w14:paraId="39AAE019" w14:textId="77777777" w:rsidR="00D11698" w:rsidRDefault="00D11698" w:rsidP="00D11698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57060485" wp14:editId="7F2A5A78">
            <wp:extent cx="5093353" cy="7467600"/>
            <wp:effectExtent l="0" t="0" r="0" b="0"/>
            <wp:docPr id="89655123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93" t="8314" r="25331" b="257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6079" cy="7471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63E3F0" w14:textId="77777777" w:rsidR="00D11698" w:rsidRDefault="00D11698" w:rsidP="00D11698">
      <w:pPr>
        <w:rPr>
          <w:lang w:val="en-US"/>
        </w:rPr>
      </w:pPr>
      <w:r w:rsidRPr="00235398">
        <w:rPr>
          <w:b/>
          <w:bCs/>
          <w:lang w:val="en-US"/>
        </w:rPr>
        <w:t xml:space="preserve">Supplementary Figure </w:t>
      </w:r>
      <w:r>
        <w:rPr>
          <w:b/>
          <w:bCs/>
          <w:lang w:val="en-US"/>
        </w:rPr>
        <w:t>3</w:t>
      </w:r>
      <w:r w:rsidRPr="00235398">
        <w:rPr>
          <w:b/>
          <w:bCs/>
          <w:lang w:val="en-US"/>
        </w:rPr>
        <w:t xml:space="preserve">. </w:t>
      </w:r>
      <w:r>
        <w:rPr>
          <w:b/>
          <w:bCs/>
          <w:lang w:val="en-US"/>
        </w:rPr>
        <w:t xml:space="preserve">Single-cell </w:t>
      </w:r>
      <w:proofErr w:type="gramStart"/>
      <w:r>
        <w:rPr>
          <w:b/>
          <w:bCs/>
          <w:lang w:val="en-US"/>
        </w:rPr>
        <w:t>transcriptomic of</w:t>
      </w:r>
      <w:proofErr w:type="gramEnd"/>
      <w:r>
        <w:rPr>
          <w:b/>
          <w:bCs/>
          <w:lang w:val="en-US"/>
        </w:rPr>
        <w:t xml:space="preserve"> T</w:t>
      </w:r>
      <w:r w:rsidRPr="00235398">
        <w:rPr>
          <w:b/>
          <w:bCs/>
          <w:lang w:val="en-US"/>
        </w:rPr>
        <w:t xml:space="preserve"> cells</w:t>
      </w:r>
      <w:r>
        <w:rPr>
          <w:b/>
          <w:bCs/>
          <w:lang w:val="en-US"/>
        </w:rPr>
        <w:t xml:space="preserve"> and cluster annotation</w:t>
      </w:r>
      <w:r w:rsidRPr="00235398">
        <w:rPr>
          <w:b/>
          <w:bCs/>
          <w:lang w:val="en-US"/>
        </w:rPr>
        <w:t>.</w:t>
      </w:r>
      <w:r>
        <w:rPr>
          <w:b/>
          <w:bCs/>
          <w:lang w:val="en-US"/>
        </w:rPr>
        <w:t xml:space="preserve"> </w:t>
      </w:r>
      <w:r w:rsidRPr="00130776">
        <w:rPr>
          <w:b/>
          <w:bCs/>
          <w:lang w:val="en-US"/>
        </w:rPr>
        <w:t>a</w:t>
      </w:r>
      <w:r>
        <w:rPr>
          <w:lang w:val="en-US"/>
        </w:rPr>
        <w:t xml:space="preserve">, </w:t>
      </w:r>
      <w:r w:rsidRPr="006D4536">
        <w:rPr>
          <w:lang w:val="en-US"/>
        </w:rPr>
        <w:t xml:space="preserve">UMAP representation of clustered </w:t>
      </w:r>
      <w:r>
        <w:rPr>
          <w:lang w:val="en-US"/>
        </w:rPr>
        <w:t>T</w:t>
      </w:r>
      <w:r w:rsidRPr="006D4536">
        <w:rPr>
          <w:lang w:val="en-US"/>
        </w:rPr>
        <w:t xml:space="preserve"> cells</w:t>
      </w:r>
      <w:r>
        <w:rPr>
          <w:lang w:val="en-US"/>
        </w:rPr>
        <w:t xml:space="preserve">. </w:t>
      </w:r>
      <w:r w:rsidRPr="00130776">
        <w:rPr>
          <w:b/>
          <w:bCs/>
          <w:lang w:val="en-US"/>
        </w:rPr>
        <w:t>b</w:t>
      </w:r>
      <w:r>
        <w:rPr>
          <w:lang w:val="en-US"/>
        </w:rPr>
        <w:t xml:space="preserve">, Heatmap of Monaco annotation score for T-cell subsets by cluster. </w:t>
      </w:r>
      <w:r w:rsidRPr="00130776">
        <w:rPr>
          <w:b/>
          <w:bCs/>
          <w:lang w:val="en-US"/>
        </w:rPr>
        <w:t>c</w:t>
      </w:r>
      <w:r>
        <w:rPr>
          <w:lang w:val="en-US"/>
        </w:rPr>
        <w:t>,</w:t>
      </w:r>
      <w:r w:rsidRPr="006D4536">
        <w:rPr>
          <w:lang w:val="en-US"/>
        </w:rPr>
        <w:t xml:space="preserve"> Volcano plot of cluster proportion change in </w:t>
      </w:r>
      <w:r>
        <w:rPr>
          <w:lang w:val="en-US"/>
        </w:rPr>
        <w:t xml:space="preserve">T cells at B-cell repopulation </w:t>
      </w:r>
      <w:r w:rsidRPr="006D4536">
        <w:rPr>
          <w:lang w:val="en-US"/>
        </w:rPr>
        <w:t xml:space="preserve">compared to baseline before RTX. </w:t>
      </w:r>
      <w:r w:rsidRPr="00130776">
        <w:rPr>
          <w:b/>
          <w:bCs/>
          <w:lang w:val="en-US"/>
        </w:rPr>
        <w:t>d</w:t>
      </w:r>
      <w:r>
        <w:rPr>
          <w:lang w:val="en-US"/>
        </w:rPr>
        <w:t>,</w:t>
      </w:r>
      <w:r w:rsidRPr="006D4536">
        <w:rPr>
          <w:lang w:val="en-US"/>
        </w:rPr>
        <w:t xml:space="preserve"> Gene ontology/biological processes (GO_BP) and Hallmark terms </w:t>
      </w:r>
      <w:r>
        <w:rPr>
          <w:lang w:val="en-US"/>
        </w:rPr>
        <w:t>upregulated</w:t>
      </w:r>
      <w:r w:rsidRPr="006D4536">
        <w:rPr>
          <w:lang w:val="en-US"/>
        </w:rPr>
        <w:t xml:space="preserve"> in </w:t>
      </w:r>
      <w:r>
        <w:rPr>
          <w:lang w:val="en-US"/>
        </w:rPr>
        <w:t>T</w:t>
      </w:r>
      <w:r w:rsidRPr="006D4536">
        <w:rPr>
          <w:lang w:val="en-US"/>
        </w:rPr>
        <w:t>-cell clusters after RTX</w:t>
      </w:r>
      <w:r>
        <w:rPr>
          <w:lang w:val="en-US"/>
        </w:rPr>
        <w:t xml:space="preserve"> according to GSEA performed on ranked </w:t>
      </w:r>
      <w:proofErr w:type="spellStart"/>
      <w:r>
        <w:rPr>
          <w:lang w:val="en-US"/>
        </w:rPr>
        <w:t>logFC</w:t>
      </w:r>
      <w:proofErr w:type="spellEnd"/>
      <w:r w:rsidRPr="006D4536">
        <w:rPr>
          <w:lang w:val="en-US"/>
        </w:rPr>
        <w:t xml:space="preserve">. </w:t>
      </w:r>
      <w:proofErr w:type="spellStart"/>
      <w:r w:rsidRPr="006D4536">
        <w:rPr>
          <w:lang w:val="en-US"/>
        </w:rPr>
        <w:t>Adj.p</w:t>
      </w:r>
      <w:proofErr w:type="spellEnd"/>
      <w:r w:rsidRPr="006D4536">
        <w:rPr>
          <w:lang w:val="en-US"/>
        </w:rPr>
        <w:t xml:space="preserve">: false discovery rate (FDR)-adjusted p-value (FDR threshold 0.1); </w:t>
      </w:r>
      <w:proofErr w:type="spellStart"/>
      <w:r w:rsidRPr="006D4536">
        <w:rPr>
          <w:lang w:val="en-US"/>
        </w:rPr>
        <w:t>geneRatio</w:t>
      </w:r>
      <w:proofErr w:type="spellEnd"/>
      <w:r w:rsidRPr="006D4536">
        <w:rPr>
          <w:lang w:val="en-US"/>
        </w:rPr>
        <w:t>: proportion of core enrichment genes on the total of pathway genes.</w:t>
      </w:r>
      <w:r>
        <w:rPr>
          <w:lang w:val="en-US"/>
        </w:rPr>
        <w:t xml:space="preserve"> Immune-related pathways in bold.</w:t>
      </w:r>
      <w:r>
        <w:rPr>
          <w:lang w:val="en-US"/>
        </w:rPr>
        <w:br w:type="page"/>
      </w:r>
    </w:p>
    <w:p w14:paraId="722C6B9D" w14:textId="77777777" w:rsidR="00D11698" w:rsidRDefault="00D11698" w:rsidP="00D11698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18522E6D" wp14:editId="4627C7D7">
            <wp:extent cx="5182942" cy="8039100"/>
            <wp:effectExtent l="0" t="0" r="0" b="0"/>
            <wp:docPr id="629654500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20" t="10539" r="18378" b="129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719" cy="8052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2968F0" w14:textId="77777777" w:rsidR="00D11698" w:rsidRDefault="00D11698" w:rsidP="00D11698">
      <w:pPr>
        <w:rPr>
          <w:rFonts w:cstheme="minorHAnsi"/>
          <w:lang w:val="en-US"/>
        </w:rPr>
      </w:pPr>
      <w:r w:rsidRPr="00235398">
        <w:rPr>
          <w:b/>
          <w:bCs/>
          <w:lang w:val="en-US"/>
        </w:rPr>
        <w:t xml:space="preserve">Supplementary Figure 4. </w:t>
      </w:r>
      <w:r>
        <w:rPr>
          <w:b/>
          <w:bCs/>
          <w:lang w:val="en-US"/>
        </w:rPr>
        <w:t xml:space="preserve">Luminex analysis across sample groups for 27 analytes in plasma. </w:t>
      </w:r>
      <w:r>
        <w:rPr>
          <w:lang w:val="en-US"/>
        </w:rPr>
        <w:t xml:space="preserve">Only significant pairwise comparison between RTX treated samples and untreated </w:t>
      </w:r>
      <w:proofErr w:type="spellStart"/>
      <w:r>
        <w:rPr>
          <w:lang w:val="en-US"/>
        </w:rPr>
        <w:t>pwMS</w:t>
      </w:r>
      <w:proofErr w:type="spellEnd"/>
      <w:r>
        <w:rPr>
          <w:lang w:val="en-US"/>
        </w:rPr>
        <w:t xml:space="preserve"> are reported on the graph for clarity reasons. P values are calculated using a mixed-effects model including individual ID to account for paired data. </w:t>
      </w:r>
      <w:r>
        <w:rPr>
          <w:rFonts w:cstheme="minorHAnsi"/>
          <w:lang w:val="en-US"/>
        </w:rPr>
        <w:t>* p&lt;0.05, **p&lt;0.01, ***p&lt;0.001.</w:t>
      </w:r>
    </w:p>
    <w:p w14:paraId="28AB7F41" w14:textId="77777777" w:rsidR="00D11698" w:rsidRDefault="00D11698" w:rsidP="00D11698">
      <w:pPr>
        <w:rPr>
          <w:rFonts w:cstheme="minorHAnsi"/>
          <w:lang w:val="en-US"/>
        </w:rPr>
      </w:pPr>
      <w:r>
        <w:rPr>
          <w:rFonts w:cstheme="minorHAnsi"/>
          <w:noProof/>
          <w:lang w:val="en-US"/>
        </w:rPr>
        <w:lastRenderedPageBreak/>
        <w:drawing>
          <wp:inline distT="0" distB="0" distL="0" distR="0" wp14:anchorId="5A349029" wp14:editId="1EAF4CF3">
            <wp:extent cx="4500000" cy="4678218"/>
            <wp:effectExtent l="0" t="0" r="0" b="8255"/>
            <wp:docPr id="1783466791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13" t="8425" r="45695" b="588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0000" cy="4678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3D9FB4" w14:textId="77777777" w:rsidR="00D11698" w:rsidRDefault="00D11698" w:rsidP="00D11698">
      <w:pPr>
        <w:rPr>
          <w:rFonts w:cstheme="minorHAnsi"/>
          <w:lang w:val="en-US"/>
        </w:rPr>
      </w:pPr>
      <w:r w:rsidRPr="005862F9">
        <w:rPr>
          <w:rFonts w:cstheme="minorHAnsi"/>
          <w:b/>
          <w:bCs/>
          <w:lang w:val="en-US"/>
        </w:rPr>
        <w:t>Supplementary Figure 5. Correlation between soluble plasma analyte and single-cell TNF</w:t>
      </w:r>
      <w:r w:rsidRPr="003F6BE4">
        <w:rPr>
          <w:b/>
          <w:bCs/>
          <w:lang w:val="en-US"/>
        </w:rPr>
        <w:t>α</w:t>
      </w:r>
      <w:r w:rsidRPr="005862F9">
        <w:rPr>
          <w:rFonts w:cstheme="minorHAnsi"/>
          <w:b/>
          <w:bCs/>
          <w:lang w:val="en-US"/>
        </w:rPr>
        <w:t xml:space="preserve"> signaling via NF</w:t>
      </w:r>
      <w:r>
        <w:rPr>
          <w:rFonts w:cstheme="minorHAnsi"/>
          <w:b/>
          <w:bCs/>
          <w:lang w:val="en-US"/>
        </w:rPr>
        <w:t>-</w:t>
      </w:r>
      <w:proofErr w:type="spellStart"/>
      <w:r w:rsidRPr="00F965C6">
        <w:rPr>
          <w:b/>
          <w:bCs/>
          <w:lang w:val="en-US"/>
        </w:rPr>
        <w:t>κ</w:t>
      </w:r>
      <w:r w:rsidRPr="005862F9">
        <w:rPr>
          <w:rFonts w:cstheme="minorHAnsi"/>
          <w:b/>
          <w:bCs/>
          <w:lang w:val="en-US"/>
        </w:rPr>
        <w:t>B</w:t>
      </w:r>
      <w:proofErr w:type="spellEnd"/>
      <w:r w:rsidRPr="005862F9">
        <w:rPr>
          <w:rFonts w:cstheme="minorHAnsi"/>
          <w:b/>
          <w:bCs/>
          <w:lang w:val="en-US"/>
        </w:rPr>
        <w:t xml:space="preserve"> gene signature.</w:t>
      </w:r>
      <w:r>
        <w:rPr>
          <w:rFonts w:cstheme="minorHAnsi"/>
          <w:lang w:val="en-US"/>
        </w:rPr>
        <w:t xml:space="preserve"> Pearson r coefficients for correlations between Luminex-assessed plasma soluble molecules levels and Hallmark’s “TNF</w:t>
      </w:r>
      <w:r>
        <w:rPr>
          <w:lang w:val="en-US"/>
        </w:rPr>
        <w:t>α</w:t>
      </w:r>
      <w:r>
        <w:rPr>
          <w:rFonts w:cstheme="minorHAnsi"/>
          <w:lang w:val="en-US"/>
        </w:rPr>
        <w:t xml:space="preserve"> signaling via NF-</w:t>
      </w:r>
      <w:proofErr w:type="spellStart"/>
      <w:r w:rsidRPr="00F965C6">
        <w:rPr>
          <w:lang w:val="en-US"/>
        </w:rPr>
        <w:t>κ</w:t>
      </w:r>
      <w:r>
        <w:rPr>
          <w:rFonts w:cstheme="minorHAnsi"/>
          <w:lang w:val="en-US"/>
        </w:rPr>
        <w:t>B</w:t>
      </w:r>
      <w:proofErr w:type="spellEnd"/>
      <w:r>
        <w:rPr>
          <w:rFonts w:cstheme="minorHAnsi"/>
          <w:lang w:val="en-US"/>
        </w:rPr>
        <w:t>” signature score, averaged across all the cell for each sample in single-cell analysis of sorted B- (</w:t>
      </w:r>
      <w:r w:rsidRPr="00130776">
        <w:rPr>
          <w:rFonts w:cstheme="minorHAnsi"/>
          <w:b/>
          <w:bCs/>
          <w:lang w:val="en-US"/>
        </w:rPr>
        <w:t>a</w:t>
      </w:r>
      <w:r>
        <w:rPr>
          <w:rFonts w:cstheme="minorHAnsi"/>
          <w:lang w:val="en-US"/>
        </w:rPr>
        <w:t>) and T- (</w:t>
      </w:r>
      <w:r w:rsidRPr="00130776">
        <w:rPr>
          <w:rFonts w:cstheme="minorHAnsi"/>
          <w:b/>
          <w:bCs/>
          <w:lang w:val="en-US"/>
        </w:rPr>
        <w:t>b</w:t>
      </w:r>
      <w:r>
        <w:rPr>
          <w:rFonts w:cstheme="minorHAnsi"/>
          <w:lang w:val="en-US"/>
        </w:rPr>
        <w:t>) cells. In bold coefficient corresponding to p values &lt;0.05.</w:t>
      </w:r>
      <w:r>
        <w:rPr>
          <w:rFonts w:cstheme="minorHAnsi"/>
          <w:lang w:val="en-US"/>
        </w:rPr>
        <w:br w:type="page"/>
      </w:r>
    </w:p>
    <w:p w14:paraId="152493FC" w14:textId="77777777" w:rsidR="00D11698" w:rsidRDefault="00D11698" w:rsidP="00D11698">
      <w:pPr>
        <w:rPr>
          <w:rFonts w:cstheme="minorHAnsi"/>
          <w:lang w:val="en-US"/>
        </w:rPr>
      </w:pPr>
      <w:r>
        <w:rPr>
          <w:rFonts w:cstheme="minorHAnsi"/>
          <w:noProof/>
          <w:lang w:val="en-US"/>
        </w:rPr>
        <w:lastRenderedPageBreak/>
        <w:drawing>
          <wp:inline distT="0" distB="0" distL="0" distR="0" wp14:anchorId="55218AEA" wp14:editId="02DB1ED5">
            <wp:extent cx="5394961" cy="2997200"/>
            <wp:effectExtent l="0" t="0" r="0" b="0"/>
            <wp:docPr id="357789118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21" t="9204" r="46358" b="744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5596" cy="2997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4DEAFC" w14:textId="77777777" w:rsidR="00D11698" w:rsidRDefault="00D11698" w:rsidP="00D11698">
      <w:pPr>
        <w:rPr>
          <w:rFonts w:cstheme="minorHAnsi"/>
          <w:lang w:val="en-US"/>
        </w:rPr>
      </w:pPr>
      <w:r w:rsidRPr="005862F9">
        <w:rPr>
          <w:rFonts w:cstheme="minorHAnsi"/>
          <w:b/>
          <w:bCs/>
          <w:lang w:val="en-US"/>
        </w:rPr>
        <w:t>Supplementary Figure 6. Enrichment of EBV lytic signature in NTZ compared to HC</w:t>
      </w:r>
      <w:r>
        <w:rPr>
          <w:rFonts w:cstheme="minorHAnsi"/>
          <w:b/>
          <w:bCs/>
          <w:lang w:val="en-US"/>
        </w:rPr>
        <w:t xml:space="preserve">. </w:t>
      </w:r>
      <w:r>
        <w:rPr>
          <w:rFonts w:cstheme="minorHAnsi"/>
          <w:lang w:val="en-US"/>
        </w:rPr>
        <w:t xml:space="preserve">GSEA for EBV lytic gene signature on genes differentially expressed per B-cell cluster between untreated or NTZ-treated </w:t>
      </w:r>
      <w:proofErr w:type="spellStart"/>
      <w:r>
        <w:rPr>
          <w:rFonts w:cstheme="minorHAnsi"/>
          <w:lang w:val="en-US"/>
        </w:rPr>
        <w:t>pwMS</w:t>
      </w:r>
      <w:proofErr w:type="spellEnd"/>
      <w:r>
        <w:rPr>
          <w:rFonts w:cstheme="minorHAnsi"/>
          <w:lang w:val="en-US"/>
        </w:rPr>
        <w:t xml:space="preserve"> in comparison HC, with enrichment of the molecular signature in the Exhausted cluster in NTZ-treated </w:t>
      </w:r>
      <w:proofErr w:type="spellStart"/>
      <w:r>
        <w:rPr>
          <w:rFonts w:cstheme="minorHAnsi"/>
          <w:lang w:val="en-US"/>
        </w:rPr>
        <w:t>pwMS</w:t>
      </w:r>
      <w:proofErr w:type="spellEnd"/>
      <w:r>
        <w:rPr>
          <w:rFonts w:cstheme="minorHAnsi"/>
          <w:lang w:val="en-US"/>
        </w:rPr>
        <w:t xml:space="preserve">. </w:t>
      </w:r>
      <w:r>
        <w:rPr>
          <w:rFonts w:cstheme="minorHAnsi"/>
          <w:lang w:val="en-US"/>
        </w:rPr>
        <w:br w:type="page"/>
      </w:r>
    </w:p>
    <w:p w14:paraId="433CA77A" w14:textId="77777777" w:rsidR="00D11698" w:rsidRDefault="00D11698" w:rsidP="00D11698">
      <w:pPr>
        <w:rPr>
          <w:rFonts w:cstheme="minorHAnsi"/>
          <w:lang w:val="en-US"/>
        </w:rPr>
      </w:pPr>
      <w:r>
        <w:rPr>
          <w:rFonts w:cstheme="minorHAnsi"/>
          <w:noProof/>
          <w:lang w:val="en-US"/>
        </w:rPr>
        <w:lastRenderedPageBreak/>
        <w:drawing>
          <wp:inline distT="0" distB="0" distL="0" distR="0" wp14:anchorId="2B3A9378" wp14:editId="6F39FD17">
            <wp:extent cx="4500000" cy="4281250"/>
            <wp:effectExtent l="0" t="0" r="0" b="5080"/>
            <wp:docPr id="1374356483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05" t="9176" r="11905" b="395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0000" cy="42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F1DCAC" w14:textId="77777777" w:rsidR="00D11698" w:rsidRDefault="00D11698" w:rsidP="00D11698">
      <w:pPr>
        <w:rPr>
          <w:rFonts w:cstheme="minorHAnsi"/>
          <w:lang w:val="en-US"/>
        </w:rPr>
      </w:pPr>
      <w:r w:rsidRPr="005862F9">
        <w:rPr>
          <w:rFonts w:cstheme="minorHAnsi"/>
          <w:b/>
          <w:bCs/>
          <w:lang w:val="en-US"/>
        </w:rPr>
        <w:t xml:space="preserve">Supplementary Figure 7. </w:t>
      </w:r>
      <w:r>
        <w:rPr>
          <w:rFonts w:cstheme="minorHAnsi"/>
          <w:b/>
          <w:bCs/>
          <w:lang w:val="en-US"/>
        </w:rPr>
        <w:t>Whole cohort anti-EBNA1 and anti-BZLF1 IgG, and t</w:t>
      </w:r>
      <w:r w:rsidRPr="005862F9">
        <w:rPr>
          <w:rFonts w:cstheme="minorHAnsi"/>
          <w:b/>
          <w:bCs/>
          <w:lang w:val="en-US"/>
        </w:rPr>
        <w:t>otal IgG levels at sampling.</w:t>
      </w:r>
      <w:r>
        <w:rPr>
          <w:rFonts w:cstheme="minorHAnsi"/>
          <w:b/>
          <w:bCs/>
          <w:lang w:val="en-US"/>
        </w:rPr>
        <w:t xml:space="preserve"> a-b</w:t>
      </w:r>
      <w:r w:rsidRPr="00130776">
        <w:rPr>
          <w:rFonts w:cstheme="minorHAnsi"/>
          <w:lang w:val="en-US"/>
        </w:rPr>
        <w:t>,</w:t>
      </w:r>
      <w:r>
        <w:rPr>
          <w:rFonts w:cstheme="minorHAnsi"/>
          <w:b/>
          <w:bCs/>
          <w:lang w:val="en-US"/>
        </w:rPr>
        <w:t xml:space="preserve"> </w:t>
      </w:r>
      <w:r>
        <w:rPr>
          <w:rFonts w:cstheme="minorHAnsi"/>
          <w:lang w:val="en-US"/>
        </w:rPr>
        <w:t>Whole cohort anti-EBNA1 (</w:t>
      </w:r>
      <w:r w:rsidRPr="00564852">
        <w:rPr>
          <w:rFonts w:cstheme="minorHAnsi"/>
          <w:b/>
          <w:bCs/>
          <w:lang w:val="en-US"/>
        </w:rPr>
        <w:t>a</w:t>
      </w:r>
      <w:r>
        <w:rPr>
          <w:rFonts w:cstheme="minorHAnsi"/>
          <w:lang w:val="en-US"/>
        </w:rPr>
        <w:t>) and anti-BZLF1 (</w:t>
      </w:r>
      <w:r w:rsidRPr="00564852">
        <w:rPr>
          <w:rFonts w:cstheme="minorHAnsi"/>
          <w:b/>
          <w:bCs/>
          <w:lang w:val="en-US"/>
        </w:rPr>
        <w:t>b</w:t>
      </w:r>
      <w:r>
        <w:rPr>
          <w:rFonts w:cstheme="minorHAnsi"/>
          <w:lang w:val="en-US"/>
        </w:rPr>
        <w:t>) IgG assessed by ELISA, significant pairwise differences post mixed-effects model are reported.</w:t>
      </w:r>
      <w:r>
        <w:rPr>
          <w:lang w:val="en-US"/>
        </w:rPr>
        <w:t xml:space="preserve"> </w:t>
      </w:r>
      <w:r>
        <w:rPr>
          <w:rFonts w:cstheme="minorHAnsi"/>
          <w:lang w:val="en-US"/>
        </w:rPr>
        <w:t>* p&lt;0.05, **p&lt;0.01, ***p&lt;0.001.</w:t>
      </w:r>
      <w:r>
        <w:rPr>
          <w:rFonts w:cstheme="minorHAnsi"/>
          <w:b/>
          <w:bCs/>
          <w:lang w:val="en-US"/>
        </w:rPr>
        <w:t xml:space="preserve">  c-d, </w:t>
      </w:r>
      <w:r>
        <w:rPr>
          <w:rFonts w:cstheme="minorHAnsi"/>
          <w:lang w:val="en-US"/>
        </w:rPr>
        <w:t>Total IgG levels extracted from clinical data and considered at sampling if assessed within +/-90 days in the overall cohort (</w:t>
      </w:r>
      <w:r w:rsidRPr="00130776">
        <w:rPr>
          <w:rFonts w:cstheme="minorHAnsi"/>
          <w:b/>
          <w:bCs/>
          <w:lang w:val="en-US"/>
        </w:rPr>
        <w:t>c</w:t>
      </w:r>
      <w:r>
        <w:rPr>
          <w:rFonts w:cstheme="minorHAnsi"/>
          <w:lang w:val="en-US"/>
        </w:rPr>
        <w:t xml:space="preserve">, no significant pairwise differences as per mixed-effects model) and specifically in the paired baseline/RTX </w:t>
      </w:r>
      <w:proofErr w:type="spellStart"/>
      <w:r>
        <w:rPr>
          <w:rFonts w:cstheme="minorHAnsi"/>
          <w:lang w:val="en-US"/>
        </w:rPr>
        <w:t>repop</w:t>
      </w:r>
      <w:proofErr w:type="spellEnd"/>
      <w:r>
        <w:rPr>
          <w:rFonts w:cstheme="minorHAnsi"/>
          <w:lang w:val="en-US"/>
        </w:rPr>
        <w:t xml:space="preserve"> samples (</w:t>
      </w:r>
      <w:r w:rsidRPr="00130776">
        <w:rPr>
          <w:rFonts w:cstheme="minorHAnsi"/>
          <w:b/>
          <w:bCs/>
          <w:lang w:val="en-US"/>
        </w:rPr>
        <w:t>d</w:t>
      </w:r>
      <w:r>
        <w:rPr>
          <w:rFonts w:cstheme="minorHAnsi"/>
          <w:lang w:val="en-US"/>
        </w:rPr>
        <w:t xml:space="preserve">, </w:t>
      </w:r>
      <w:r>
        <w:rPr>
          <w:lang w:val="en-US"/>
        </w:rPr>
        <w:t>Wilcoxon signed rank test</w:t>
      </w:r>
      <w:r>
        <w:rPr>
          <w:rFonts w:cstheme="minorHAnsi"/>
          <w:lang w:val="en-US"/>
        </w:rPr>
        <w:t>).</w:t>
      </w:r>
      <w:r>
        <w:rPr>
          <w:rFonts w:cstheme="minorHAnsi"/>
          <w:lang w:val="en-US"/>
        </w:rPr>
        <w:br w:type="page"/>
      </w:r>
    </w:p>
    <w:p w14:paraId="41AB74CC" w14:textId="77777777" w:rsidR="00D11698" w:rsidRDefault="00D11698" w:rsidP="00D11698">
      <w:pPr>
        <w:rPr>
          <w:rFonts w:cstheme="minorHAnsi"/>
          <w:lang w:val="en-US"/>
        </w:rPr>
      </w:pPr>
      <w:r>
        <w:rPr>
          <w:rFonts w:cstheme="minorHAnsi"/>
          <w:noProof/>
          <w:lang w:val="en-US"/>
        </w:rPr>
        <w:lastRenderedPageBreak/>
        <w:drawing>
          <wp:inline distT="0" distB="0" distL="0" distR="0" wp14:anchorId="60E44B81" wp14:editId="45ABE9ED">
            <wp:extent cx="5287645" cy="7757160"/>
            <wp:effectExtent l="0" t="0" r="8255" b="0"/>
            <wp:docPr id="835923095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83" t="8919" r="31986" b="314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748" cy="7758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AC866E" w14:textId="77777777" w:rsidR="00D11698" w:rsidRDefault="00D11698" w:rsidP="00D11698">
      <w:pPr>
        <w:rPr>
          <w:lang w:val="en-US"/>
        </w:rPr>
      </w:pPr>
      <w:r w:rsidRPr="005862F9">
        <w:rPr>
          <w:rFonts w:cstheme="minorHAnsi"/>
          <w:b/>
          <w:bCs/>
          <w:lang w:val="en-US"/>
        </w:rPr>
        <w:t xml:space="preserve">Supplementary Figure 8. IL-22-  and IL-17A-positive response to EBV antigens and self-proteins assessed by </w:t>
      </w:r>
      <w:proofErr w:type="spellStart"/>
      <w:r w:rsidRPr="005862F9">
        <w:rPr>
          <w:rFonts w:cstheme="minorHAnsi"/>
          <w:b/>
          <w:bCs/>
          <w:lang w:val="en-US"/>
        </w:rPr>
        <w:t>Fluorospot</w:t>
      </w:r>
      <w:proofErr w:type="spellEnd"/>
      <w:r w:rsidRPr="005862F9">
        <w:rPr>
          <w:rFonts w:cstheme="minorHAnsi"/>
          <w:b/>
          <w:bCs/>
          <w:lang w:val="en-US"/>
        </w:rPr>
        <w:t>.</w:t>
      </w:r>
      <w:r>
        <w:rPr>
          <w:rFonts w:cstheme="minorHAnsi"/>
          <w:lang w:val="en-US"/>
        </w:rPr>
        <w:t xml:space="preserve"> Counts of SFUs positive for IL-22 (</w:t>
      </w:r>
      <w:r w:rsidRPr="00130776">
        <w:rPr>
          <w:rFonts w:cstheme="minorHAnsi"/>
          <w:b/>
          <w:bCs/>
          <w:lang w:val="en-US"/>
        </w:rPr>
        <w:t>a</w:t>
      </w:r>
      <w:r>
        <w:rPr>
          <w:rFonts w:cstheme="minorHAnsi"/>
          <w:lang w:val="en-US"/>
        </w:rPr>
        <w:t>) or IL-17A (</w:t>
      </w:r>
      <w:r w:rsidRPr="00130776">
        <w:rPr>
          <w:rFonts w:cstheme="minorHAnsi"/>
          <w:b/>
          <w:bCs/>
          <w:lang w:val="en-US"/>
        </w:rPr>
        <w:t>b</w:t>
      </w:r>
      <w:r>
        <w:rPr>
          <w:rFonts w:cstheme="minorHAnsi"/>
          <w:lang w:val="en-US"/>
        </w:rPr>
        <w:t>)  to ex vivo PBMC stimulation with anti-CD3, ABD, EBNA1, BZLF1, pp65, ANO2, MOG and MPB</w:t>
      </w:r>
      <w:r>
        <w:rPr>
          <w:lang w:val="en-US"/>
        </w:rPr>
        <w:t>. Wilcoxon signed rank test p values are reported.</w:t>
      </w:r>
      <w:r>
        <w:rPr>
          <w:lang w:val="en-US"/>
        </w:rPr>
        <w:br w:type="page"/>
      </w:r>
    </w:p>
    <w:p w14:paraId="1AAE1F60" w14:textId="77777777" w:rsidR="00D11698" w:rsidRDefault="00D11698" w:rsidP="00D11698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5263F757" wp14:editId="22878FFF">
            <wp:extent cx="5652000" cy="4850159"/>
            <wp:effectExtent l="0" t="0" r="6350" b="7620"/>
            <wp:docPr id="758903608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11" t="9176" r="12434" b="443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2000" cy="4850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F6718E" w14:textId="77777777" w:rsidR="00D11698" w:rsidRDefault="00D11698" w:rsidP="00D11698">
      <w:pPr>
        <w:rPr>
          <w:lang w:val="en-US"/>
        </w:rPr>
      </w:pPr>
      <w:r w:rsidRPr="00564852">
        <w:rPr>
          <w:b/>
          <w:bCs/>
          <w:lang w:val="en-US"/>
        </w:rPr>
        <w:t>Supplementary Figure 9. T-cell phenotype.</w:t>
      </w:r>
      <w:r>
        <w:rPr>
          <w:lang w:val="en-US"/>
        </w:rPr>
        <w:t xml:space="preserve"> </w:t>
      </w:r>
      <w:proofErr w:type="gramStart"/>
      <w:r w:rsidRPr="00564852">
        <w:rPr>
          <w:b/>
          <w:bCs/>
          <w:lang w:val="en-US"/>
        </w:rPr>
        <w:t>a</w:t>
      </w:r>
      <w:r>
        <w:rPr>
          <w:lang w:val="en-US"/>
        </w:rPr>
        <w:t>,</w:t>
      </w:r>
      <w:proofErr w:type="gramEnd"/>
      <w:r>
        <w:rPr>
          <w:lang w:val="en-US"/>
        </w:rPr>
        <w:t xml:space="preserve"> Gating strategy for T-cell immunophenotyping by FACS. </w:t>
      </w:r>
      <w:r w:rsidRPr="00564852">
        <w:rPr>
          <w:b/>
          <w:bCs/>
          <w:lang w:val="en-US"/>
        </w:rPr>
        <w:t>b-c</w:t>
      </w:r>
      <w:r>
        <w:rPr>
          <w:lang w:val="en-US"/>
        </w:rPr>
        <w:t>, Stacked bar plot of CD4+ (</w:t>
      </w:r>
      <w:r w:rsidRPr="00564852">
        <w:rPr>
          <w:b/>
          <w:bCs/>
          <w:lang w:val="en-US"/>
        </w:rPr>
        <w:t>b</w:t>
      </w:r>
      <w:r>
        <w:rPr>
          <w:lang w:val="en-US"/>
        </w:rPr>
        <w:t>) and CD8+ (</w:t>
      </w:r>
      <w:r w:rsidRPr="00564852">
        <w:rPr>
          <w:b/>
          <w:bCs/>
          <w:lang w:val="en-US"/>
        </w:rPr>
        <w:t>c</w:t>
      </w:r>
      <w:r>
        <w:rPr>
          <w:lang w:val="en-US"/>
        </w:rPr>
        <w:t>) T-cell subpopulation proportions across sampling groups.</w:t>
      </w:r>
      <w:r>
        <w:rPr>
          <w:lang w:val="en-US"/>
        </w:rPr>
        <w:br w:type="page"/>
      </w:r>
    </w:p>
    <w:p w14:paraId="1D6F1999" w14:textId="77777777" w:rsidR="00D11698" w:rsidRPr="007A57B5" w:rsidRDefault="00D11698" w:rsidP="00D11698">
      <w:pPr>
        <w:rPr>
          <w:b/>
          <w:bCs/>
          <w:lang w:val="en-US"/>
        </w:rPr>
      </w:pPr>
      <w:r>
        <w:rPr>
          <w:b/>
          <w:bCs/>
          <w:lang w:val="en-US"/>
        </w:rPr>
        <w:lastRenderedPageBreak/>
        <w:t xml:space="preserve">SUPPLEMENTARY </w:t>
      </w:r>
      <w:r w:rsidRPr="00F76677">
        <w:rPr>
          <w:b/>
          <w:bCs/>
          <w:lang w:val="en-US"/>
        </w:rPr>
        <w:t>TABLE</w:t>
      </w:r>
      <w:r>
        <w:rPr>
          <w:b/>
          <w:bCs/>
          <w:lang w:val="en-US"/>
        </w:rPr>
        <w:t>S</w:t>
      </w:r>
    </w:p>
    <w:p w14:paraId="4A35C139" w14:textId="77777777" w:rsidR="00D11698" w:rsidRDefault="00D11698" w:rsidP="00D11698">
      <w:pPr>
        <w:rPr>
          <w:b/>
          <w:bCs/>
          <w:lang w:val="en-US"/>
        </w:rPr>
      </w:pPr>
      <w:r w:rsidRPr="007A57B5">
        <w:rPr>
          <w:b/>
          <w:bCs/>
          <w:lang w:val="en-US"/>
        </w:rPr>
        <w:t xml:space="preserve">Supplementary Table 1. Overview of sample </w:t>
      </w:r>
      <w:proofErr w:type="gramStart"/>
      <w:r w:rsidRPr="007A57B5">
        <w:rPr>
          <w:b/>
          <w:bCs/>
          <w:lang w:val="en-US"/>
        </w:rPr>
        <w:t>overlap</w:t>
      </w:r>
      <w:proofErr w:type="gramEnd"/>
      <w:r w:rsidRPr="007A57B5">
        <w:rPr>
          <w:b/>
          <w:bCs/>
          <w:lang w:val="en-US"/>
        </w:rPr>
        <w:t xml:space="preserve"> across groups</w:t>
      </w:r>
      <w:r>
        <w:rPr>
          <w:b/>
          <w:bCs/>
          <w:lang w:val="en-US"/>
        </w:rPr>
        <w:t>.</w:t>
      </w:r>
    </w:p>
    <w:p w14:paraId="0B427BDB" w14:textId="77777777" w:rsidR="00D11698" w:rsidRDefault="00D11698" w:rsidP="00D11698">
      <w:pPr>
        <w:rPr>
          <w:b/>
          <w:bCs/>
          <w:lang w:val="en-US"/>
        </w:rPr>
      </w:pPr>
      <w:r>
        <w:rPr>
          <w:b/>
          <w:bCs/>
          <w:lang w:val="en-US"/>
        </w:rPr>
        <w:t>Supplementary Table 2. List of genes in the EBV lytic signatures.</w:t>
      </w:r>
    </w:p>
    <w:p w14:paraId="1096335D" w14:textId="77777777" w:rsidR="00D11698" w:rsidRDefault="00D11698" w:rsidP="00D11698">
      <w:pPr>
        <w:rPr>
          <w:b/>
          <w:bCs/>
          <w:lang w:val="en-US"/>
        </w:rPr>
      </w:pPr>
      <w:r>
        <w:rPr>
          <w:b/>
          <w:bCs/>
          <w:lang w:val="en-US"/>
        </w:rPr>
        <w:t xml:space="preserve">Supplementary Table 3. Antibody </w:t>
      </w:r>
      <w:proofErr w:type="gramStart"/>
      <w:r>
        <w:rPr>
          <w:b/>
          <w:bCs/>
          <w:lang w:val="en-US"/>
        </w:rPr>
        <w:t>panel</w:t>
      </w:r>
      <w:proofErr w:type="gramEnd"/>
      <w:r>
        <w:rPr>
          <w:b/>
          <w:bCs/>
          <w:lang w:val="en-US"/>
        </w:rPr>
        <w:t xml:space="preserve"> used for B- and T-cell immunophenotyping by FACS.</w:t>
      </w:r>
    </w:p>
    <w:p w14:paraId="6D3D301A" w14:textId="77777777" w:rsidR="00D11698" w:rsidRDefault="00D11698" w:rsidP="00D11698">
      <w:pPr>
        <w:rPr>
          <w:b/>
          <w:bCs/>
          <w:lang w:val="en-US"/>
        </w:rPr>
      </w:pPr>
      <w:r>
        <w:rPr>
          <w:b/>
          <w:bCs/>
          <w:lang w:val="en-US"/>
        </w:rPr>
        <w:t xml:space="preserve">Supplementary Table 4. Antibody </w:t>
      </w:r>
      <w:proofErr w:type="gramStart"/>
      <w:r>
        <w:rPr>
          <w:b/>
          <w:bCs/>
          <w:lang w:val="en-US"/>
        </w:rPr>
        <w:t>panel</w:t>
      </w:r>
      <w:proofErr w:type="gramEnd"/>
      <w:r>
        <w:rPr>
          <w:b/>
          <w:bCs/>
          <w:lang w:val="en-US"/>
        </w:rPr>
        <w:t xml:space="preserve"> used for B- and T-cell sorting and library preparation for </w:t>
      </w:r>
      <w:proofErr w:type="spellStart"/>
      <w:r>
        <w:rPr>
          <w:b/>
          <w:bCs/>
          <w:lang w:val="en-US"/>
        </w:rPr>
        <w:t>scRNA</w:t>
      </w:r>
      <w:proofErr w:type="spellEnd"/>
      <w:r>
        <w:rPr>
          <w:b/>
          <w:bCs/>
          <w:lang w:val="en-US"/>
        </w:rPr>
        <w:t>-seq.</w:t>
      </w:r>
    </w:p>
    <w:p w14:paraId="5F6B53EC" w14:textId="77777777" w:rsidR="00D11698" w:rsidRPr="004E62A9" w:rsidRDefault="00D11698" w:rsidP="00D11698">
      <w:pPr>
        <w:rPr>
          <w:b/>
          <w:bCs/>
          <w:lang w:val="en-US"/>
        </w:rPr>
      </w:pPr>
      <w:r w:rsidRPr="002C2C84">
        <w:rPr>
          <w:b/>
          <w:bCs/>
          <w:lang w:val="en-US"/>
        </w:rPr>
        <w:t>Suppl</w:t>
      </w:r>
      <w:r>
        <w:rPr>
          <w:b/>
          <w:bCs/>
          <w:lang w:val="en-US"/>
        </w:rPr>
        <w:t>ementary T</w:t>
      </w:r>
      <w:r w:rsidRPr="002C2C84">
        <w:rPr>
          <w:b/>
          <w:bCs/>
          <w:lang w:val="en-US"/>
        </w:rPr>
        <w:t>able 5</w:t>
      </w:r>
      <w:r>
        <w:rPr>
          <w:b/>
          <w:bCs/>
          <w:lang w:val="en-US"/>
        </w:rPr>
        <w:t>. List of analytes included in Luminex analysis.</w:t>
      </w:r>
    </w:p>
    <w:p w14:paraId="337F75F4" w14:textId="77777777" w:rsidR="00AE5AE9" w:rsidRPr="00D11698" w:rsidRDefault="00AE5AE9">
      <w:pPr>
        <w:rPr>
          <w:lang w:val="en-US"/>
        </w:rPr>
      </w:pPr>
    </w:p>
    <w:sectPr w:rsidR="00AE5AE9" w:rsidRPr="00D11698" w:rsidSect="00D11698">
      <w:footerReference w:type="default" r:id="rId13"/>
      <w:pgSz w:w="11906" w:h="16838"/>
      <w:pgMar w:top="1417" w:right="1417" w:bottom="1417" w:left="1417" w:header="708" w:footer="708" w:gutter="0"/>
      <w:lnNumType w:countBy="1" w:restart="continuous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32271342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D6B8BAD" w14:textId="77777777" w:rsidR="00D11698" w:rsidRDefault="00D11698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1DA4B9B" w14:textId="77777777" w:rsidR="00D11698" w:rsidRDefault="00D11698">
    <w:pPr>
      <w:pStyle w:val="Footer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3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1698"/>
    <w:rsid w:val="007F00ED"/>
    <w:rsid w:val="00AE5AE9"/>
    <w:rsid w:val="00BC3FBD"/>
    <w:rsid w:val="00D11698"/>
    <w:rsid w:val="00F338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66A874"/>
  <w15:chartTrackingRefBased/>
  <w15:docId w15:val="{EA3B5E72-F75C-4386-97F7-2AB0B2EBA8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v-S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11698"/>
  </w:style>
  <w:style w:type="paragraph" w:styleId="Heading1">
    <w:name w:val="heading 1"/>
    <w:basedOn w:val="Normal"/>
    <w:next w:val="Normal"/>
    <w:link w:val="Heading1Char"/>
    <w:uiPriority w:val="9"/>
    <w:qFormat/>
    <w:rsid w:val="00D1169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1169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1169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1169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1169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1169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1169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1169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1169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1169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1169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1169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1169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1169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1169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1169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1169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1169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1169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1169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1169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1169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1169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1169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1169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1169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1169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1169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11698"/>
    <w:rPr>
      <w:b/>
      <w:bCs/>
      <w:smallCaps/>
      <w:color w:val="0F4761" w:themeColor="accent1" w:themeShade="BF"/>
      <w:spacing w:val="5"/>
    </w:rPr>
  </w:style>
  <w:style w:type="paragraph" w:styleId="Footer">
    <w:name w:val="footer"/>
    <w:basedOn w:val="Normal"/>
    <w:link w:val="FooterChar"/>
    <w:uiPriority w:val="99"/>
    <w:unhideWhenUsed/>
    <w:rsid w:val="00D1169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11698"/>
  </w:style>
  <w:style w:type="character" w:styleId="LineNumber">
    <w:name w:val="line number"/>
    <w:basedOn w:val="DefaultParagraphFont"/>
    <w:uiPriority w:val="99"/>
    <w:semiHidden/>
    <w:unhideWhenUsed/>
    <w:rsid w:val="00D1169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576</Words>
  <Characters>3373</Characters>
  <Application>Microsoft Office Word</Application>
  <DocSecurity>0</DocSecurity>
  <Lines>60</Lines>
  <Paragraphs>16</Paragraphs>
  <ScaleCrop>false</ScaleCrop>
  <Company/>
  <LinksUpToDate>false</LinksUpToDate>
  <CharactersWithSpaces>3937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Chiara Starvaggi Cucuzza</dc:creator>
  <cp:keywords/>
  <dc:description/>
  <cp:lastModifiedBy>Chiara Starvaggi Cucuzza</cp:lastModifiedBy>
  <cp:revision>1</cp:revision>
  <dcterms:created xsi:type="dcterms:W3CDTF">2026-01-07T15:08:00Z</dcterms:created>
  <dcterms:modified xsi:type="dcterms:W3CDTF">2026-01-07T15:09:00Z</dcterms:modified>
</cp:coreProperties>
</file>