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4D33C" w14:textId="77777777" w:rsidR="004E65DF" w:rsidRPr="00F816A8" w:rsidRDefault="004E65DF" w:rsidP="004E65DF">
      <w:pPr>
        <w:pStyle w:val="Heading2"/>
      </w:pPr>
      <w:r w:rsidRPr="00F816A8">
        <w:t>Table 1</w:t>
      </w:r>
    </w:p>
    <w:p w14:paraId="69487B69" w14:textId="77777777" w:rsidR="004E65DF" w:rsidRPr="00F816A8" w:rsidRDefault="004E65DF" w:rsidP="004E65DF">
      <w:pPr>
        <w:rPr>
          <w:rFonts w:cs="Times New Roman"/>
          <w:i/>
          <w:iCs/>
          <w:szCs w:val="20"/>
        </w:rPr>
      </w:pPr>
      <w:r w:rsidRPr="00F816A8">
        <w:rPr>
          <w:rFonts w:eastAsia="Aptos" w:cs="Times New Roman"/>
          <w:i/>
          <w:iCs/>
          <w:szCs w:val="20"/>
        </w:rPr>
        <w:t>Study characteristics</w:t>
      </w:r>
    </w:p>
    <w:tbl>
      <w:tblPr>
        <w:tblStyle w:val="TableGrid"/>
        <w:tblW w:w="13992" w:type="dxa"/>
        <w:tblLayout w:type="fixed"/>
        <w:tblCellMar>
          <w:top w:w="85" w:type="dxa"/>
          <w:left w:w="57" w:type="dxa"/>
          <w:bottom w:w="85" w:type="dxa"/>
          <w:right w:w="57" w:type="dxa"/>
        </w:tblCellMar>
        <w:tblLook w:val="04A0" w:firstRow="1" w:lastRow="0" w:firstColumn="1" w:lastColumn="0" w:noHBand="0" w:noVBand="1"/>
      </w:tblPr>
      <w:tblGrid>
        <w:gridCol w:w="2694"/>
        <w:gridCol w:w="1701"/>
        <w:gridCol w:w="5811"/>
        <w:gridCol w:w="1262"/>
        <w:gridCol w:w="1262"/>
        <w:gridCol w:w="1262"/>
      </w:tblGrid>
      <w:tr w:rsidR="004E65DF" w:rsidRPr="00F816A8" w14:paraId="2CD4D216" w14:textId="77777777" w:rsidTr="00C8335E">
        <w:trPr>
          <w:tblHeader/>
        </w:trPr>
        <w:tc>
          <w:tcPr>
            <w:tcW w:w="2694" w:type="dxa"/>
            <w:tcBorders>
              <w:left w:val="nil"/>
              <w:bottom w:val="single" w:sz="4" w:space="0" w:color="auto"/>
              <w:right w:val="nil"/>
            </w:tcBorders>
          </w:tcPr>
          <w:p w14:paraId="1CB36A73" w14:textId="77777777" w:rsidR="004E65DF" w:rsidRPr="00F816A8" w:rsidRDefault="004E65DF" w:rsidP="00C8335E">
            <w:pPr>
              <w:spacing w:line="240" w:lineRule="auto"/>
              <w:jc w:val="center"/>
              <w:rPr>
                <w:rFonts w:cs="Times New Roman"/>
                <w:szCs w:val="20"/>
              </w:rPr>
            </w:pPr>
            <w:bookmarkStart w:id="0" w:name="_Hlk195117034"/>
            <w:r w:rsidRPr="00F816A8">
              <w:rPr>
                <w:rFonts w:cs="Times New Roman"/>
                <w:szCs w:val="20"/>
              </w:rPr>
              <w:t>Study</w:t>
            </w:r>
          </w:p>
        </w:tc>
        <w:tc>
          <w:tcPr>
            <w:tcW w:w="1701" w:type="dxa"/>
            <w:tcBorders>
              <w:left w:val="nil"/>
              <w:bottom w:val="single" w:sz="4" w:space="0" w:color="auto"/>
              <w:right w:val="nil"/>
            </w:tcBorders>
          </w:tcPr>
          <w:p w14:paraId="2A07888F" w14:textId="77777777" w:rsidR="004E65DF" w:rsidRPr="00F816A8" w:rsidRDefault="004E65DF" w:rsidP="00C8335E">
            <w:pPr>
              <w:spacing w:line="240" w:lineRule="auto"/>
              <w:rPr>
                <w:rFonts w:cs="Times New Roman"/>
                <w:szCs w:val="20"/>
              </w:rPr>
            </w:pPr>
            <w:r w:rsidRPr="00F816A8">
              <w:rPr>
                <w:rFonts w:cs="Times New Roman"/>
                <w:szCs w:val="20"/>
              </w:rPr>
              <w:t>Country</w:t>
            </w:r>
          </w:p>
        </w:tc>
        <w:tc>
          <w:tcPr>
            <w:tcW w:w="5811" w:type="dxa"/>
            <w:tcBorders>
              <w:left w:val="nil"/>
              <w:bottom w:val="single" w:sz="4" w:space="0" w:color="auto"/>
              <w:right w:val="nil"/>
            </w:tcBorders>
          </w:tcPr>
          <w:p w14:paraId="7E0E9410" w14:textId="77777777" w:rsidR="004E65DF" w:rsidRPr="00F816A8" w:rsidRDefault="004E65DF" w:rsidP="00C8335E">
            <w:pPr>
              <w:spacing w:line="240" w:lineRule="auto"/>
              <w:jc w:val="center"/>
              <w:rPr>
                <w:rFonts w:cs="Times New Roman"/>
                <w:szCs w:val="20"/>
              </w:rPr>
            </w:pPr>
            <w:r w:rsidRPr="00F816A8">
              <w:rPr>
                <w:rFonts w:cs="Times New Roman"/>
                <w:szCs w:val="20"/>
              </w:rPr>
              <w:t>Digital or Online EF Assessment Tool</w:t>
            </w:r>
          </w:p>
        </w:tc>
        <w:tc>
          <w:tcPr>
            <w:tcW w:w="1262" w:type="dxa"/>
            <w:tcBorders>
              <w:left w:val="nil"/>
              <w:bottom w:val="single" w:sz="4" w:space="0" w:color="auto"/>
              <w:right w:val="nil"/>
            </w:tcBorders>
            <w:tcMar>
              <w:left w:w="57" w:type="dxa"/>
              <w:right w:w="57" w:type="dxa"/>
            </w:tcMar>
          </w:tcPr>
          <w:p w14:paraId="105319E9" w14:textId="77777777" w:rsidR="004E65DF" w:rsidRPr="00D1706C" w:rsidRDefault="004E65DF" w:rsidP="00C8335E">
            <w:pPr>
              <w:spacing w:line="240" w:lineRule="auto"/>
              <w:jc w:val="center"/>
              <w:rPr>
                <w:rFonts w:cs="Times New Roman"/>
                <w:i/>
                <w:iCs/>
                <w:szCs w:val="20"/>
              </w:rPr>
            </w:pPr>
            <w:r w:rsidRPr="00D1706C">
              <w:rPr>
                <w:rFonts w:cs="Times New Roman"/>
                <w:i/>
                <w:iCs/>
                <w:szCs w:val="20"/>
              </w:rPr>
              <w:t>N (F)</w:t>
            </w:r>
          </w:p>
        </w:tc>
        <w:tc>
          <w:tcPr>
            <w:tcW w:w="1262" w:type="dxa"/>
            <w:tcBorders>
              <w:left w:val="nil"/>
              <w:bottom w:val="single" w:sz="4" w:space="0" w:color="auto"/>
              <w:right w:val="nil"/>
            </w:tcBorders>
            <w:tcMar>
              <w:left w:w="57" w:type="dxa"/>
              <w:right w:w="57" w:type="dxa"/>
            </w:tcMar>
          </w:tcPr>
          <w:p w14:paraId="5F15A8EE" w14:textId="77777777" w:rsidR="004E65DF" w:rsidRPr="00D1706C" w:rsidRDefault="004E65DF" w:rsidP="00C8335E">
            <w:pPr>
              <w:spacing w:line="240" w:lineRule="auto"/>
              <w:jc w:val="center"/>
              <w:rPr>
                <w:rFonts w:cs="Times New Roman"/>
                <w:i/>
                <w:iCs/>
                <w:szCs w:val="20"/>
              </w:rPr>
            </w:pPr>
            <w:r w:rsidRPr="00D1706C">
              <w:rPr>
                <w:rFonts w:cs="Times New Roman"/>
                <w:i/>
                <w:iCs/>
                <w:szCs w:val="20"/>
              </w:rPr>
              <w:t>M</w:t>
            </w:r>
            <w:r w:rsidRPr="00D1706C">
              <w:rPr>
                <w:rFonts w:cs="Times New Roman"/>
                <w:i/>
                <w:iCs/>
                <w:szCs w:val="20"/>
                <w:vertAlign w:val="subscript"/>
              </w:rPr>
              <w:t>AGE</w:t>
            </w:r>
            <w:r w:rsidRPr="00D1706C">
              <w:rPr>
                <w:rFonts w:cs="Times New Roman"/>
                <w:i/>
                <w:iCs/>
                <w:szCs w:val="20"/>
              </w:rPr>
              <w:t>(SD)</w:t>
            </w:r>
          </w:p>
        </w:tc>
        <w:tc>
          <w:tcPr>
            <w:tcW w:w="1262" w:type="dxa"/>
            <w:tcBorders>
              <w:left w:val="nil"/>
              <w:bottom w:val="single" w:sz="4" w:space="0" w:color="auto"/>
              <w:right w:val="nil"/>
            </w:tcBorders>
            <w:tcMar>
              <w:left w:w="57" w:type="dxa"/>
              <w:right w:w="57" w:type="dxa"/>
            </w:tcMar>
          </w:tcPr>
          <w:p w14:paraId="5CFE8F85" w14:textId="77777777" w:rsidR="004E65DF" w:rsidRPr="00D1706C" w:rsidRDefault="004E65DF" w:rsidP="00C8335E">
            <w:pPr>
              <w:spacing w:line="240" w:lineRule="auto"/>
              <w:jc w:val="center"/>
              <w:rPr>
                <w:rFonts w:cs="Times New Roman"/>
                <w:i/>
                <w:iCs/>
                <w:szCs w:val="20"/>
              </w:rPr>
            </w:pPr>
            <w:r w:rsidRPr="00D1706C">
              <w:rPr>
                <w:rFonts w:cs="Times New Roman"/>
                <w:i/>
                <w:iCs/>
                <w:szCs w:val="20"/>
              </w:rPr>
              <w:t>M</w:t>
            </w:r>
            <w:r w:rsidRPr="00D1706C">
              <w:rPr>
                <w:rFonts w:cs="Times New Roman"/>
                <w:i/>
                <w:iCs/>
                <w:szCs w:val="20"/>
                <w:vertAlign w:val="subscript"/>
              </w:rPr>
              <w:t>EDU</w:t>
            </w:r>
            <w:r w:rsidRPr="00D1706C">
              <w:rPr>
                <w:rFonts w:cs="Times New Roman"/>
                <w:i/>
                <w:iCs/>
                <w:szCs w:val="20"/>
              </w:rPr>
              <w:t>(SD)</w:t>
            </w:r>
          </w:p>
        </w:tc>
      </w:tr>
      <w:bookmarkEnd w:id="0"/>
      <w:tr w:rsidR="004E65DF" w:rsidRPr="00F816A8" w14:paraId="45121D41" w14:textId="77777777" w:rsidTr="00C8335E">
        <w:tc>
          <w:tcPr>
            <w:tcW w:w="2694" w:type="dxa"/>
            <w:tcBorders>
              <w:left w:val="nil"/>
              <w:bottom w:val="nil"/>
              <w:right w:val="nil"/>
            </w:tcBorders>
          </w:tcPr>
          <w:p w14:paraId="7B8C57A0"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{"citationID":"FZ5Nlj3g","properties":{"formattedCitation":"(Bergman et al., 2025)","plainCitation":"(Bergman et al., 2025)","noteIndex":0},"citationItems":[{"id":1204,"uris":["http://zotero.org/users/local/U8bdnYIb/items/FCMMUFIF"],"itemData":{"id":1204,"type":"article-journal","abstract":"The present study aimed to establish test–retest reliability and investigate practice effects of the Mindmore cognitive assessment tool, a digital adaptation of traditional pencil and paper tests designed for self-administration. Additionally, normative change scores for the most frequently used tests were derived. A total of 149 healthy Swedish adults (aged 20–79) completed the test battery twice, 1 month apart. The battery assessed attention and processing speed, memory, language, visuospatial functions, and executive functions. Test–retest reliability, measured by ICC and Spearman coefficients, and practice effects were estimated for 22 main-scores and 33 sub-scores. Regression models were used to assess change in performance while controlling for demographics, computer equipment, testing location (online or in-laboratory) and baseline performance for 12 main-scores and nine sub-scores. Test–retest reliability was good for 11 main-scores (≥0.70), satisfactory for five (0.60–0.69), and minimal for six (&lt;0.60) albeit three having satisfactory sub-scores. Practice effects were observed for tests with a major speed component, but not for reaction time, sustained attention, verbal memory and naming (alternate forms), nor visuospatial functions. Trackpad negatively influenced change for one test. Demographics and testing location did not significantly affect the change scores. Our study provides support for test–retest reliability and practice effects of the Mindmore cognitive assessment tool which were comparable to those of traditional tests. These findings, together with the normative change scores, can aid researchers and clinicians in interpreting test results and distinguishing between normal variations in performance and changes indicative of clinical impairment.","container-title":"Scandinavian Journal of Psychology","DOI":"10.1111/sjop.13054","ISSN":"1467-9450","issue":"1","language":"en","license":"© 2024 The Author(s). Scandinavian Journal of Psychology published by Scandinavian Psychological Associations and John Wiley &amp; Sons Ltd.","note":"_eprint: https://onlinelibrary.wiley.com/doi/pdf/10.1111/sjop.13054","page":"1-14","source":"Wiley Online Library","title":"Test–retest reliability, practice effects and estimates of change: A study on the Mindmore digital cognitive assessment tool","title-short":"Test–retest reliability, practice effects and estimates of change","volume":"66","author":[{"family":"Bergman","given":"I."},{"family":"Franke Föyen","given":"L."},{"family":"Gustavsson","given":"A."},{"family":"Van den Hurk","given":"W."}],"issued":{"date-parts":[["2025"]]}}}],"schema":"https://github.com/citation-style-language/schema/raw/master/csl-citation.json"} </w:instrText>
            </w:r>
            <w:r w:rsidRPr="00F816A8">
              <w:rPr>
                <w:rFonts w:cs="Times New Roman"/>
                <w:szCs w:val="20"/>
              </w:rPr>
              <w:fldChar w:fldCharType="separate"/>
            </w:r>
            <w:r w:rsidRPr="00F816A8">
              <w:rPr>
                <w:rFonts w:cs="Times New Roman"/>
              </w:rPr>
              <w:t>(Bergman et al., 2025)</w:t>
            </w:r>
            <w:r w:rsidRPr="00F816A8">
              <w:rPr>
                <w:rFonts w:cs="Times New Roman"/>
                <w:szCs w:val="20"/>
              </w:rPr>
              <w:fldChar w:fldCharType="end"/>
            </w:r>
          </w:p>
        </w:tc>
        <w:tc>
          <w:tcPr>
            <w:tcW w:w="1701" w:type="dxa"/>
            <w:tcBorders>
              <w:left w:val="nil"/>
              <w:bottom w:val="nil"/>
              <w:right w:val="nil"/>
            </w:tcBorders>
          </w:tcPr>
          <w:p w14:paraId="520A99D2" w14:textId="77777777" w:rsidR="004E65DF" w:rsidRPr="00F816A8" w:rsidRDefault="004E65DF" w:rsidP="00C8335E">
            <w:pPr>
              <w:spacing w:line="240" w:lineRule="auto"/>
              <w:rPr>
                <w:rFonts w:cs="Times New Roman"/>
                <w:szCs w:val="20"/>
              </w:rPr>
            </w:pPr>
            <w:r w:rsidRPr="00F816A8">
              <w:rPr>
                <w:rFonts w:cs="Times New Roman"/>
                <w:szCs w:val="20"/>
              </w:rPr>
              <w:t>Sweden</w:t>
            </w:r>
          </w:p>
        </w:tc>
        <w:tc>
          <w:tcPr>
            <w:tcW w:w="5811" w:type="dxa"/>
            <w:tcBorders>
              <w:left w:val="nil"/>
              <w:bottom w:val="nil"/>
              <w:right w:val="nil"/>
            </w:tcBorders>
          </w:tcPr>
          <w:p w14:paraId="7BBC0180" w14:textId="77777777" w:rsidR="004E65DF" w:rsidRPr="00F816A8" w:rsidRDefault="004E65DF" w:rsidP="00C8335E">
            <w:pPr>
              <w:spacing w:line="240" w:lineRule="auto"/>
              <w:rPr>
                <w:rFonts w:cs="Times New Roman"/>
                <w:szCs w:val="20"/>
              </w:rPr>
            </w:pPr>
            <w:r w:rsidRPr="00F816A8">
              <w:rPr>
                <w:rFonts w:cs="Times New Roman"/>
                <w:szCs w:val="20"/>
              </w:rPr>
              <w:t>Mindmore Digital Cognitive Assessment</w:t>
            </w:r>
            <w:r>
              <w:rPr>
                <w:rFonts w:cs="Times New Roman"/>
                <w:szCs w:val="20"/>
              </w:rPr>
              <w:t xml:space="preserve"> (MINDMORE)</w:t>
            </w:r>
          </w:p>
        </w:tc>
        <w:tc>
          <w:tcPr>
            <w:tcW w:w="1262" w:type="dxa"/>
            <w:tcBorders>
              <w:left w:val="nil"/>
              <w:bottom w:val="nil"/>
              <w:right w:val="nil"/>
            </w:tcBorders>
            <w:tcMar>
              <w:left w:w="57" w:type="dxa"/>
              <w:right w:w="57" w:type="dxa"/>
            </w:tcMar>
          </w:tcPr>
          <w:p w14:paraId="76928122" w14:textId="77777777" w:rsidR="004E65DF" w:rsidRPr="00F816A8" w:rsidRDefault="004E65DF" w:rsidP="00C8335E">
            <w:pPr>
              <w:spacing w:line="240" w:lineRule="auto"/>
              <w:jc w:val="center"/>
              <w:rPr>
                <w:rFonts w:cs="Times New Roman"/>
                <w:szCs w:val="20"/>
              </w:rPr>
            </w:pPr>
            <w:r w:rsidRPr="00F816A8">
              <w:rPr>
                <w:rFonts w:cs="Times New Roman"/>
                <w:szCs w:val="20"/>
              </w:rPr>
              <w:t>149 (98)</w:t>
            </w:r>
          </w:p>
        </w:tc>
        <w:tc>
          <w:tcPr>
            <w:tcW w:w="1262" w:type="dxa"/>
            <w:tcBorders>
              <w:left w:val="nil"/>
              <w:bottom w:val="nil"/>
              <w:right w:val="nil"/>
            </w:tcBorders>
            <w:tcMar>
              <w:left w:w="57" w:type="dxa"/>
              <w:right w:w="57" w:type="dxa"/>
            </w:tcMar>
          </w:tcPr>
          <w:p w14:paraId="6D70FC72" w14:textId="77777777" w:rsidR="004E65DF" w:rsidRPr="00F816A8" w:rsidRDefault="004E65DF" w:rsidP="00C8335E">
            <w:pPr>
              <w:spacing w:line="240" w:lineRule="auto"/>
              <w:jc w:val="center"/>
              <w:rPr>
                <w:rFonts w:cs="Times New Roman"/>
                <w:szCs w:val="20"/>
              </w:rPr>
            </w:pPr>
            <w:r w:rsidRPr="00F816A8">
              <w:rPr>
                <w:rFonts w:cs="Times New Roman"/>
                <w:szCs w:val="20"/>
              </w:rPr>
              <w:t>46.2 (19.8)</w:t>
            </w:r>
          </w:p>
        </w:tc>
        <w:tc>
          <w:tcPr>
            <w:tcW w:w="1262" w:type="dxa"/>
            <w:tcBorders>
              <w:left w:val="nil"/>
              <w:bottom w:val="nil"/>
              <w:right w:val="nil"/>
            </w:tcBorders>
            <w:tcMar>
              <w:left w:w="57" w:type="dxa"/>
              <w:right w:w="57" w:type="dxa"/>
            </w:tcMar>
          </w:tcPr>
          <w:p w14:paraId="22918E70" w14:textId="77777777" w:rsidR="004E65DF" w:rsidRPr="00F816A8" w:rsidRDefault="004E65DF" w:rsidP="00C8335E">
            <w:pPr>
              <w:spacing w:line="240" w:lineRule="auto"/>
              <w:jc w:val="center"/>
              <w:rPr>
                <w:rFonts w:cs="Times New Roman"/>
                <w:szCs w:val="20"/>
              </w:rPr>
            </w:pPr>
            <w:r w:rsidRPr="00F816A8">
              <w:rPr>
                <w:rFonts w:cs="Times New Roman"/>
                <w:szCs w:val="20"/>
              </w:rPr>
              <w:t>15.0 (2.8)</w:t>
            </w:r>
          </w:p>
        </w:tc>
      </w:tr>
      <w:tr w:rsidR="004E65DF" w:rsidRPr="00F816A8" w14:paraId="4C16998C" w14:textId="77777777" w:rsidTr="00C8335E">
        <w:tc>
          <w:tcPr>
            <w:tcW w:w="2694" w:type="dxa"/>
            <w:tcBorders>
              <w:top w:val="nil"/>
              <w:left w:val="nil"/>
              <w:bottom w:val="nil"/>
              <w:right w:val="nil"/>
            </w:tcBorders>
          </w:tcPr>
          <w:p w14:paraId="62F913CA"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{"citationID":"LrASDJh8","properties":{"formattedCitation":"(Bruno et al., 2024)","plainCitation":"(Bruno et al., 2024)","noteIndex":0},"citationItems":[{"id":1209,"uris":["http://zotero.org/users/local/U8bdnYIb/items/MK3FBDPW"],"itemData":{"id":1209,"type":"article-journal","abstract":"The Aggie Figures Learning Test (AFLT) is a visual memory assessment tool, which was constructed as an analog to the Rey Auditory Verbal Learning Test (RAVLT). Since the test holds close resemblance to the RAVLT, it is possible to make meaningful comparisons between these two tests. These comparisons are notably relevant in the assessment of material-specific memory impairments in epilepsy. However, the AFLT convergent validity has not yet been established. Objective: The purpose of the present study was to demonstrate the convergent validity of the AFLT and to provide norms for an adult population ranging from 18 to 58. Method: 140 healthy volunteers participated in the study. They ranged in age from 18 to 58 years, with 12 to 25 years of education. Subjects were assessed with a comprehensive neuropsychological battery which included the ALFT (A version) and the Rey–Osterrieth Complex Figure (ROCF). Results: Positive correlations were found between the scores of both tests for recent memory (r = 0.606, p &lt; 0.01), delayed free recall (r = 0.534, p &lt; 0.01) and recognition memory (r = 0.202, p &lt; 0.05). These results demonstrate the convergent validity of the AFLT. Conclusions: The AFLT is a visual memory assessment tool with adequate psychometric properties, which allows a comprehensive evaluation of visual memory processes.","container-title":"Applied Neuropsychology: Adult","DOI":"10.1080/23279095.2024.2354856","ISSN":"2327-9095","issue":"0","note":"publisher: Routledge\n_eprint: https://doi.org/10.1080/23279095.2024.2354856\nPMID: 38758574","page":"1-7","source":"Taylor and Francis+NEJM","title":"Validity and norms for young adults for the Aggie Figures Learning Test","volume":"0","author":[{"family":"Bruno","given":"D."},{"family":"Sánchez Rueda","given":"D."},{"family":"Lopez","given":"E."},{"family":"Pinasco","given":"C."},{"family":"Torralva","given":"T."},{"family":"Alfredo","given":"T."},{"family":"Sierra Sanjurjo","given":"N."},{"family":"Roca","given":"M."}],"issued":{"date-parts":[["2024"]]}}}],"schema":"https://github.com/citation-style-language/schema/raw/master/csl-citation.json"} </w:instrText>
            </w:r>
            <w:r w:rsidRPr="00F816A8">
              <w:rPr>
                <w:rFonts w:cs="Times New Roman"/>
                <w:szCs w:val="20"/>
              </w:rPr>
              <w:fldChar w:fldCharType="separate"/>
            </w:r>
            <w:r w:rsidRPr="00F816A8">
              <w:rPr>
                <w:rFonts w:cs="Times New Roman"/>
              </w:rPr>
              <w:t>(Bruno et al., 2024)</w:t>
            </w:r>
            <w:r w:rsidRPr="00F816A8">
              <w:rPr>
                <w:rFonts w:cs="Times New Roman"/>
                <w:szCs w:val="20"/>
              </w:rPr>
              <w:fldChar w:fldCharType="end"/>
            </w:r>
          </w:p>
        </w:tc>
        <w:tc>
          <w:tcPr>
            <w:tcW w:w="1701" w:type="dxa"/>
            <w:tcBorders>
              <w:top w:val="nil"/>
              <w:left w:val="nil"/>
              <w:bottom w:val="nil"/>
              <w:right w:val="nil"/>
            </w:tcBorders>
          </w:tcPr>
          <w:p w14:paraId="087909AC" w14:textId="77777777" w:rsidR="004E65DF" w:rsidRPr="00F816A8" w:rsidRDefault="004E65DF" w:rsidP="00C8335E">
            <w:pPr>
              <w:spacing w:line="240" w:lineRule="auto"/>
              <w:rPr>
                <w:rFonts w:cs="Times New Roman"/>
                <w:szCs w:val="20"/>
              </w:rPr>
            </w:pPr>
            <w:r w:rsidRPr="00F816A8">
              <w:rPr>
                <w:rFonts w:cs="Times New Roman"/>
                <w:szCs w:val="20"/>
              </w:rPr>
              <w:t>Argentina</w:t>
            </w:r>
          </w:p>
        </w:tc>
        <w:tc>
          <w:tcPr>
            <w:tcW w:w="5811" w:type="dxa"/>
            <w:tcBorders>
              <w:top w:val="nil"/>
              <w:left w:val="nil"/>
              <w:bottom w:val="nil"/>
              <w:right w:val="nil"/>
            </w:tcBorders>
          </w:tcPr>
          <w:p w14:paraId="2674C46F" w14:textId="77777777" w:rsidR="004E65DF" w:rsidRPr="00F816A8" w:rsidRDefault="004E65DF" w:rsidP="00C8335E">
            <w:pPr>
              <w:spacing w:line="240" w:lineRule="auto"/>
              <w:rPr>
                <w:rFonts w:cs="Times New Roman"/>
                <w:szCs w:val="20"/>
              </w:rPr>
            </w:pPr>
            <w:r w:rsidRPr="00F816A8">
              <w:rPr>
                <w:rFonts w:cs="Times New Roman"/>
                <w:szCs w:val="20"/>
              </w:rPr>
              <w:t>Aggie Figures Learning Test (AFLT)</w:t>
            </w:r>
          </w:p>
        </w:tc>
        <w:tc>
          <w:tcPr>
            <w:tcW w:w="1262" w:type="dxa"/>
            <w:tcBorders>
              <w:top w:val="nil"/>
              <w:left w:val="nil"/>
              <w:bottom w:val="nil"/>
              <w:right w:val="nil"/>
            </w:tcBorders>
          </w:tcPr>
          <w:p w14:paraId="68A08B99" w14:textId="77777777" w:rsidR="004E65DF" w:rsidRPr="00F816A8" w:rsidRDefault="004E65DF" w:rsidP="00C8335E">
            <w:pPr>
              <w:spacing w:line="240" w:lineRule="auto"/>
              <w:jc w:val="center"/>
              <w:rPr>
                <w:rFonts w:cs="Times New Roman"/>
                <w:szCs w:val="20"/>
              </w:rPr>
            </w:pPr>
            <w:r w:rsidRPr="00F816A8">
              <w:rPr>
                <w:rFonts w:cs="Times New Roman"/>
                <w:szCs w:val="20"/>
              </w:rPr>
              <w:t>140 (106)</w:t>
            </w:r>
          </w:p>
        </w:tc>
        <w:tc>
          <w:tcPr>
            <w:tcW w:w="1262" w:type="dxa"/>
            <w:tcBorders>
              <w:top w:val="nil"/>
              <w:left w:val="nil"/>
              <w:bottom w:val="nil"/>
              <w:right w:val="nil"/>
            </w:tcBorders>
          </w:tcPr>
          <w:p w14:paraId="72184C0A" w14:textId="77777777" w:rsidR="004E65DF" w:rsidRPr="00D1706C" w:rsidRDefault="004E65DF" w:rsidP="00C8335E">
            <w:pPr>
              <w:spacing w:line="240" w:lineRule="auto"/>
              <w:jc w:val="center"/>
              <w:rPr>
                <w:rFonts w:cs="Times New Roman"/>
                <w:szCs w:val="20"/>
                <w:highlight w:val="yellow"/>
              </w:rPr>
            </w:pPr>
            <w:r w:rsidRPr="00E55CC8">
              <w:rPr>
                <w:rFonts w:cs="Times New Roman"/>
                <w:szCs w:val="20"/>
              </w:rPr>
              <w:t>32</w:t>
            </w:r>
            <w:r w:rsidRPr="00D1706C">
              <w:rPr>
                <w:rFonts w:cs="Times New Roman"/>
                <w:szCs w:val="20"/>
              </w:rPr>
              <w:t>.</w:t>
            </w:r>
            <w:r w:rsidRPr="00E55CC8">
              <w:rPr>
                <w:rFonts w:cs="Times New Roman"/>
                <w:szCs w:val="20"/>
              </w:rPr>
              <w:t>1 (10,8)</w:t>
            </w:r>
          </w:p>
        </w:tc>
        <w:tc>
          <w:tcPr>
            <w:tcW w:w="1262" w:type="dxa"/>
            <w:tcBorders>
              <w:top w:val="nil"/>
              <w:left w:val="nil"/>
              <w:bottom w:val="nil"/>
              <w:right w:val="nil"/>
            </w:tcBorders>
          </w:tcPr>
          <w:p w14:paraId="292A0535" w14:textId="77777777" w:rsidR="004E65DF" w:rsidRPr="00D1706C" w:rsidRDefault="004E65DF" w:rsidP="00C8335E">
            <w:pPr>
              <w:spacing w:line="240" w:lineRule="auto"/>
              <w:jc w:val="center"/>
              <w:rPr>
                <w:rFonts w:cs="Times New Roman"/>
                <w:szCs w:val="20"/>
                <w:highlight w:val="yellow"/>
              </w:rPr>
            </w:pPr>
            <w:r w:rsidRPr="00E55CC8">
              <w:rPr>
                <w:rFonts w:cs="Times New Roman"/>
                <w:szCs w:val="20"/>
              </w:rPr>
              <w:t>16</w:t>
            </w:r>
            <w:r w:rsidRPr="00D1706C">
              <w:rPr>
                <w:rFonts w:cs="Times New Roman"/>
                <w:szCs w:val="20"/>
              </w:rPr>
              <w:t>.</w:t>
            </w:r>
            <w:r w:rsidRPr="00E55CC8">
              <w:rPr>
                <w:rFonts w:cs="Times New Roman"/>
                <w:szCs w:val="20"/>
              </w:rPr>
              <w:t>9 (2,9)</w:t>
            </w:r>
          </w:p>
        </w:tc>
      </w:tr>
      <w:tr w:rsidR="004E65DF" w:rsidRPr="00F816A8" w14:paraId="7DE16C0F" w14:textId="77777777" w:rsidTr="00C8335E">
        <w:tc>
          <w:tcPr>
            <w:tcW w:w="2694" w:type="dxa"/>
            <w:tcBorders>
              <w:top w:val="nil"/>
              <w:left w:val="nil"/>
              <w:bottom w:val="nil"/>
              <w:right w:val="nil"/>
            </w:tcBorders>
          </w:tcPr>
          <w:p w14:paraId="1A0D5ACA"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{"citationID":"yIUTfnRy","properties":{"formattedCitation":"(Byrne et al., 2024)","plainCitation":"(Byrne et al., 2024)","noteIndex":0},"citationItems":[{"id":1212,"uris":["http://zotero.org/users/local/U8bdnYIb/items/5PX77V8T"],"itemData":{"id":1212,"type":"article-journal","abstract":"Multiple studies have explored the factor structure of working memory (WM) tasks, yet few have done so controlling for both the domain and category of the memory items in a single study. In the cur...","archive_location":"world","container-title":"Memory","ISSN":"0965-8211","language":"EN","license":"© 2024 The Author(s). Published by Informa UK Limited, trading as Taylor &amp; Francis Group","note":"publisher: Routledge","source":"www.tandfonline.com","title":"Evidence for separate backward recall and n-back working memory factors: a large-scale latent variable analysis","title-short":"Evidence for separate backward recall and n-back working memory factors","URL":"https://www.tandfonline.com/doi/abs/10.1080/09658211.2024.2393388","author":[{"family":"Byrne","given":"E. M."},{"family":"Gilbert","given":"R. A."},{"family":"Kievit","given":"R. A."},{"family":"Holmes","given":"J."}],"accessed":{"date-parts":[["2025",4,9]]},"issued":{"date-parts":[["2024",10,20]]}}}],"schema":"https://github.com/citation-style-language/schema/raw/master/csl-citation.json"} </w:instrText>
            </w:r>
            <w:r w:rsidRPr="00F816A8">
              <w:rPr>
                <w:rFonts w:cs="Times New Roman"/>
                <w:szCs w:val="20"/>
              </w:rPr>
              <w:fldChar w:fldCharType="separate"/>
            </w:r>
            <w:r w:rsidRPr="00F816A8">
              <w:rPr>
                <w:rFonts w:cs="Times New Roman"/>
              </w:rPr>
              <w:t>(Byrne et al., 2024)</w:t>
            </w:r>
            <w:r w:rsidRPr="00F816A8">
              <w:rPr>
                <w:rFonts w:cs="Times New Roman"/>
                <w:szCs w:val="20"/>
              </w:rPr>
              <w:fldChar w:fldCharType="end"/>
            </w:r>
          </w:p>
        </w:tc>
        <w:tc>
          <w:tcPr>
            <w:tcW w:w="1701" w:type="dxa"/>
            <w:tcBorders>
              <w:top w:val="nil"/>
              <w:left w:val="nil"/>
              <w:bottom w:val="nil"/>
              <w:right w:val="nil"/>
            </w:tcBorders>
          </w:tcPr>
          <w:p w14:paraId="0D60C370" w14:textId="77777777" w:rsidR="004E65DF" w:rsidRPr="00F816A8" w:rsidRDefault="004E65DF" w:rsidP="00C8335E">
            <w:pPr>
              <w:spacing w:line="240" w:lineRule="auto"/>
              <w:rPr>
                <w:rFonts w:cs="Times New Roman"/>
                <w:szCs w:val="20"/>
              </w:rPr>
            </w:pPr>
            <w:r w:rsidRPr="00F816A8">
              <w:rPr>
                <w:rFonts w:cs="Times New Roman"/>
                <w:szCs w:val="20"/>
              </w:rPr>
              <w:t>United Kingdom</w:t>
            </w:r>
          </w:p>
        </w:tc>
        <w:tc>
          <w:tcPr>
            <w:tcW w:w="5811" w:type="dxa"/>
            <w:tcBorders>
              <w:top w:val="nil"/>
              <w:left w:val="nil"/>
              <w:bottom w:val="nil"/>
              <w:right w:val="nil"/>
            </w:tcBorders>
          </w:tcPr>
          <w:p w14:paraId="5436612D" w14:textId="77777777" w:rsidR="004E65DF" w:rsidRPr="00F816A8" w:rsidRDefault="004E65DF" w:rsidP="00C8335E">
            <w:pPr>
              <w:spacing w:line="240" w:lineRule="auto"/>
              <w:rPr>
                <w:rFonts w:cs="Times New Roman"/>
                <w:szCs w:val="20"/>
              </w:rPr>
            </w:pPr>
            <w:r w:rsidRPr="00F816A8">
              <w:rPr>
                <w:rFonts w:cs="Times New Roman"/>
                <w:szCs w:val="20"/>
              </w:rPr>
              <w:t>N-back e Backward Recall Tasks</w:t>
            </w:r>
            <w:r>
              <w:rPr>
                <w:rFonts w:cs="Times New Roman"/>
                <w:szCs w:val="20"/>
              </w:rPr>
              <w:t xml:space="preserve"> (</w:t>
            </w:r>
            <w:r>
              <w:rPr>
                <w:color w:val="000000"/>
                <w:szCs w:val="20"/>
              </w:rPr>
              <w:t>N-BR)</w:t>
            </w:r>
          </w:p>
        </w:tc>
        <w:tc>
          <w:tcPr>
            <w:tcW w:w="1262" w:type="dxa"/>
            <w:tcBorders>
              <w:top w:val="nil"/>
              <w:left w:val="nil"/>
              <w:bottom w:val="nil"/>
              <w:right w:val="nil"/>
            </w:tcBorders>
          </w:tcPr>
          <w:p w14:paraId="453ACBBF" w14:textId="77777777" w:rsidR="004E65DF" w:rsidRPr="00F816A8" w:rsidRDefault="004E65DF" w:rsidP="00C8335E">
            <w:pPr>
              <w:spacing w:line="240" w:lineRule="auto"/>
              <w:jc w:val="center"/>
              <w:rPr>
                <w:rFonts w:cs="Times New Roman"/>
                <w:szCs w:val="20"/>
              </w:rPr>
            </w:pPr>
            <w:r w:rsidRPr="00F816A8">
              <w:rPr>
                <w:rFonts w:cs="Times New Roman"/>
                <w:szCs w:val="20"/>
              </w:rPr>
              <w:t>703 (421)</w:t>
            </w:r>
          </w:p>
        </w:tc>
        <w:tc>
          <w:tcPr>
            <w:tcW w:w="1262" w:type="dxa"/>
            <w:tcBorders>
              <w:top w:val="nil"/>
              <w:left w:val="nil"/>
              <w:bottom w:val="nil"/>
              <w:right w:val="nil"/>
            </w:tcBorders>
          </w:tcPr>
          <w:p w14:paraId="7BA73467" w14:textId="77777777" w:rsidR="004E65DF" w:rsidRPr="00F816A8" w:rsidRDefault="004E65DF" w:rsidP="00C8335E">
            <w:pPr>
              <w:spacing w:line="240" w:lineRule="auto"/>
              <w:jc w:val="center"/>
              <w:rPr>
                <w:rFonts w:cs="Times New Roman"/>
                <w:szCs w:val="20"/>
              </w:rPr>
            </w:pPr>
            <w:r w:rsidRPr="00F816A8">
              <w:rPr>
                <w:rFonts w:cs="Times New Roman"/>
                <w:szCs w:val="20"/>
              </w:rPr>
              <w:t>27.5 (4.5)</w:t>
            </w:r>
          </w:p>
        </w:tc>
        <w:tc>
          <w:tcPr>
            <w:tcW w:w="1262" w:type="dxa"/>
            <w:tcBorders>
              <w:top w:val="nil"/>
              <w:left w:val="nil"/>
              <w:bottom w:val="nil"/>
              <w:right w:val="nil"/>
            </w:tcBorders>
          </w:tcPr>
          <w:p w14:paraId="58924156"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0F37AF7D" w14:textId="77777777" w:rsidTr="00C8335E">
        <w:tc>
          <w:tcPr>
            <w:tcW w:w="2694" w:type="dxa"/>
            <w:tcBorders>
              <w:top w:val="nil"/>
              <w:left w:val="nil"/>
              <w:bottom w:val="nil"/>
              <w:right w:val="nil"/>
            </w:tcBorders>
          </w:tcPr>
          <w:p w14:paraId="4BFB8A43"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{"citationID":"gKIiX3Xn","properties":{"formattedCitation":"(Depauw et al., 2024)","plainCitation":"(Depauw et al., 2024)","noteIndex":0},"citationItems":[{"id":1215,"uris":["http://zotero.org/users/local/U8bdnYIb/items/ZGHC3TIA"],"itemData":{"id":1215,"type":"article-journal","abstract":"Background: Cognitive functional ability affects the accessibility of IT and is thus something that should be controlled for in user experience (UX) research. However, many cognitive function assessment batteries are long and complex, making them impractical for use in conventional experimental time frames. Therefore, there is a need for a short and reliable cognitive assessment that has discriminant validity for cognitive functions needed for general IT tasks. One potential candidate is the Trail Making Test (TMT).\nObjective: This study investigated the usefulness of a digital TMT as a cognitive profiling tool in IT-related UX research by assessing its predictive validity on general IT task performance and exploring its discriminant validity according to discrete cognitive functions required to perform the IT task.\nMethods: A digital TMT (parts A and B) named Axon was administered to 27 healthy participants, followed by administration of 5 IT tasks in the form of CAPTCHAs (Completely Automated Public Turing tests to Tell Computers and Humans Apart). The discrete cognitive functions required to perform each CAPTCHA were rated by trained evaluators. To further explain and cross-validate our results, the original TMT and 2 psychological assessments of visuomotor and short-term memory function were administered.\nResults: Axon A and B were administrable in less than 5 minutes, and overall performance was significantly predictive of general IT task performance (F5,19=6.352; P=.001; Λ=0.374). This result was driven by performance on Axon B (F5,19=3.382; P=.02; Λ=0.529), particularly for IT tasks involving the combination of executive processing with visual object and pattern recognition. Furthermore, Axon was cross-validated with the original TMT (Pcorr=.001 and Pcorr=.017 for A and B, respectively) and visuomotor and short-term memory tasks.\nConclusions: The results demonstrate that variance in IT task performance among an age-homogenous neurotypical population can be related to intersubject variance in cognitive function as assessed by Axon. Although Axon’s predictive validity seemed stronger for tasks involving the combination of executive function with visual object and pattern recognition, these cognitive functions are arguably relevant to the majority of IT interfaces. Considering its short administration time and remote implementability, the Axon digital TMT demonstrates the potential to be a useful cognitive profiling tool for IT-based UX research.","container-title":"JMIR Human Factors","DOI":"10.2196/49992","issue":"1","language":"EN","license":"This is an open-access article distributed under the terms of the Creative Commons Attribution License (https://creativecommons.org/licenses/by/4.0/), which permits unrestricted use, distribution, and reproduction in any medium, provided the original work, first published JMIR Human Factors, is properly cited. The complete bibliographic information, a link to the original publication on https://humanfactors.jmir.org/, as well as this copyright and license information must be included.","note":"Company: JMIR Human Factors\nDistributor: JMIR Human Factors\nInstitution: JMIR Human Factors\nLabel: JMIR Human Factors\npublisher: JMIR Publications Inc., Toronto, Canada","page":"e49992","source":"humanfactors.jmir.org","title":"Assessing the Relationship Between Digital Trail Making Test Performance and IT Task Performance: Empirical Study","title-short":"Assessing the Relationship Between Digital Trail Making Test Performance and IT Task Performance","volume":"11","author":[{"family":"Depauw","given":"T."},{"family":"Boasen","given":"J."},{"family":"Léger","given":"P. M."},{"family":"Sénécal","given":"S."}],"issued":{"date-parts":[["2024",6,14]]}}}],"schema":"https://github.com/citation-style-language/schema/raw/master/csl-citation.json"} </w:instrText>
            </w:r>
            <w:r w:rsidRPr="00F816A8">
              <w:rPr>
                <w:rFonts w:cs="Times New Roman"/>
                <w:szCs w:val="20"/>
              </w:rPr>
              <w:fldChar w:fldCharType="separate"/>
            </w:r>
            <w:r w:rsidRPr="00F816A8">
              <w:rPr>
                <w:rFonts w:cs="Times New Roman"/>
              </w:rPr>
              <w:t>(Depauw et al., 2024)</w:t>
            </w:r>
            <w:r w:rsidRPr="00F816A8">
              <w:rPr>
                <w:rFonts w:cs="Times New Roman"/>
                <w:szCs w:val="20"/>
              </w:rPr>
              <w:fldChar w:fldCharType="end"/>
            </w:r>
          </w:p>
        </w:tc>
        <w:tc>
          <w:tcPr>
            <w:tcW w:w="1701" w:type="dxa"/>
            <w:tcBorders>
              <w:top w:val="nil"/>
              <w:left w:val="nil"/>
              <w:bottom w:val="nil"/>
              <w:right w:val="nil"/>
            </w:tcBorders>
          </w:tcPr>
          <w:p w14:paraId="0BF40E46" w14:textId="77777777" w:rsidR="004E65DF" w:rsidRPr="00F816A8" w:rsidRDefault="004E65DF" w:rsidP="00C8335E">
            <w:pPr>
              <w:spacing w:line="240" w:lineRule="auto"/>
              <w:rPr>
                <w:rFonts w:cs="Times New Roman"/>
                <w:szCs w:val="20"/>
              </w:rPr>
            </w:pPr>
            <w:r w:rsidRPr="00F816A8">
              <w:rPr>
                <w:rFonts w:cs="Times New Roman"/>
                <w:szCs w:val="20"/>
              </w:rPr>
              <w:t>Canada</w:t>
            </w:r>
          </w:p>
        </w:tc>
        <w:tc>
          <w:tcPr>
            <w:tcW w:w="5811" w:type="dxa"/>
            <w:tcBorders>
              <w:top w:val="nil"/>
              <w:left w:val="nil"/>
              <w:bottom w:val="nil"/>
              <w:right w:val="nil"/>
            </w:tcBorders>
          </w:tcPr>
          <w:p w14:paraId="2CD4566B" w14:textId="77777777" w:rsidR="004E65DF" w:rsidRPr="00F816A8" w:rsidRDefault="004E65DF" w:rsidP="00C8335E">
            <w:pPr>
              <w:spacing w:line="240" w:lineRule="auto"/>
              <w:rPr>
                <w:rFonts w:cs="Times New Roman"/>
                <w:szCs w:val="20"/>
              </w:rPr>
            </w:pPr>
            <w:r w:rsidRPr="00F816A8">
              <w:rPr>
                <w:rFonts w:cs="Times New Roman"/>
                <w:szCs w:val="20"/>
              </w:rPr>
              <w:t>Axon Digital Trail Making Test</w:t>
            </w:r>
            <w:r>
              <w:rPr>
                <w:rFonts w:cs="Times New Roman"/>
                <w:szCs w:val="20"/>
              </w:rPr>
              <w:t xml:space="preserve"> (Axon-TMT)</w:t>
            </w:r>
          </w:p>
        </w:tc>
        <w:tc>
          <w:tcPr>
            <w:tcW w:w="1262" w:type="dxa"/>
            <w:tcBorders>
              <w:top w:val="nil"/>
              <w:left w:val="nil"/>
              <w:bottom w:val="nil"/>
              <w:right w:val="nil"/>
            </w:tcBorders>
          </w:tcPr>
          <w:p w14:paraId="6904092E" w14:textId="77777777" w:rsidR="004E65DF" w:rsidRPr="00F816A8" w:rsidRDefault="004E65DF" w:rsidP="00C8335E">
            <w:pPr>
              <w:spacing w:line="240" w:lineRule="auto"/>
              <w:jc w:val="center"/>
              <w:rPr>
                <w:rFonts w:cs="Times New Roman"/>
                <w:szCs w:val="20"/>
              </w:rPr>
            </w:pPr>
            <w:r w:rsidRPr="00F816A8">
              <w:rPr>
                <w:rFonts w:cs="Times New Roman"/>
                <w:szCs w:val="20"/>
              </w:rPr>
              <w:t>27 (15)</w:t>
            </w:r>
          </w:p>
        </w:tc>
        <w:tc>
          <w:tcPr>
            <w:tcW w:w="1262" w:type="dxa"/>
            <w:tcBorders>
              <w:top w:val="nil"/>
              <w:left w:val="nil"/>
              <w:bottom w:val="nil"/>
              <w:right w:val="nil"/>
            </w:tcBorders>
          </w:tcPr>
          <w:p w14:paraId="5AE12065" w14:textId="77777777" w:rsidR="004E65DF" w:rsidRPr="00F816A8" w:rsidRDefault="004E65DF" w:rsidP="00C8335E">
            <w:pPr>
              <w:spacing w:line="240" w:lineRule="auto"/>
              <w:jc w:val="center"/>
              <w:rPr>
                <w:rFonts w:cs="Times New Roman"/>
                <w:szCs w:val="20"/>
              </w:rPr>
            </w:pPr>
            <w:r w:rsidRPr="00F816A8">
              <w:rPr>
                <w:rFonts w:cs="Times New Roman"/>
                <w:szCs w:val="20"/>
              </w:rPr>
              <w:t>24.0 (4.2)</w:t>
            </w:r>
          </w:p>
        </w:tc>
        <w:tc>
          <w:tcPr>
            <w:tcW w:w="1262" w:type="dxa"/>
            <w:tcBorders>
              <w:top w:val="nil"/>
              <w:left w:val="nil"/>
              <w:bottom w:val="nil"/>
              <w:right w:val="nil"/>
            </w:tcBorders>
          </w:tcPr>
          <w:p w14:paraId="09A4B81C"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069E7648" w14:textId="77777777" w:rsidTr="00C8335E">
        <w:tc>
          <w:tcPr>
            <w:tcW w:w="2694" w:type="dxa"/>
            <w:tcBorders>
              <w:top w:val="nil"/>
              <w:left w:val="nil"/>
              <w:bottom w:val="nil"/>
              <w:right w:val="nil"/>
            </w:tcBorders>
          </w:tcPr>
          <w:p w14:paraId="6654136B"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Pr>
                <w:rFonts w:cs="Times New Roman"/>
                <w:szCs w:val="20"/>
              </w:rPr>
              <w:instrText xml:space="preserve"> ADDIN ZOTERO_ITEM CSL_CITATION {"citationID":"VxrkKGXa","properties":{"formattedCitation":"(Giorgini et al., 2024)","plainCitation":"(Giorgini et al., 2024)","dontUpdate":true,"noteIndex":0},"citationItems":[{"id":1217,"uris":["http://zotero.org/users/local/U8bdnYIb/items/4PDBGKTT"],"itemData":{"id":1217,"type":"article-journal","abstract":"Previous literature showed a complex interpretation of recall tasks due to the complex relationship between Executive Functions (EF) and Long Term Memory (M). The Test of Memory Strategies (TMS) could be useful for assessing this issue, because it evaluates EF and M simultaneously. This study aims to explore the validity of the TMS structure, comparing the models proposed by Vaccaro et al. (2022) and evaluating the measurement invariance according to three countries (Italy, Spain, and Portugal) through Confirmatory Factor Analysis (CFA). Four hundred thirty-one healthy subjects (Age mean = 54.84, sd = 20.43; Education mean = 8.85, sd =4.05; M = 177, F = 259) were recruited in three countries (Italy, Spain, and Portugal). Measurement invariance across three country groups was evaluated through Structural Equation modeling. Also, convergent and divergent validity were examined through the correlation between TMS and classical neuropsychological tests. CFA outcomes suggested that the best model was the three-dimensional model, in which list 1 and list2 reflect EF, list 3 reflects a mixed factor of EF and M (EFM) and list4 and list5 reflect M. This result is in line with the theory that TMS decreases EF components progressively. TMS was metric invariant to the country, but scalar invariance was not tenable. Finally, the factor scores of TMS showed convergent validity with the classical neuropsychological tests. The overall results support cross-validation of TMS in the three countries considered.","container-title":"Acta Psychologica","DOI":"10.1016/j.actpsy.2024.104291","ISSN":"0001-6918","journalAbbreviation":"Acta Psychologica","page":"104291","source":"ScienceDirect","title":"Measurement invariance across countries of the Test of Memory Strategies (TMS): A contribution to the cross-national validity study","title-short":"Measurement invariance across countries of the Test of Memory Strategies (TMS)","volume":"246","author":[{"family":"Giorgini","given":"R."},{"family":"Maestu","given":"Fernando"},{"family":"Sara","given":"F. M."},{"family":"Pastore","given":"M."},{"family":"Abellan","given":"M."},{"family":"Quattrone","given":"A."},{"family":"Caparello","given":"S."},{"family":"Quattrone","given":"A."},{"family":"Vaccaro","given":"M. G."}],"issued":{"date-parts":[["2024",6,1]]}}}],"schema":"https://github.com/citation-style-language/schema/raw/master/csl-citation.json"} </w:instrText>
            </w:r>
            <w:r w:rsidRPr="00F816A8">
              <w:rPr>
                <w:rFonts w:cs="Times New Roman"/>
                <w:szCs w:val="20"/>
              </w:rPr>
              <w:fldChar w:fldCharType="separate"/>
            </w:r>
            <w:r w:rsidRPr="00F816A8">
              <w:rPr>
                <w:rFonts w:cs="Times New Roman"/>
              </w:rPr>
              <w:t>(Giorgini-- et al., 2024)</w:t>
            </w:r>
            <w:r w:rsidRPr="00F816A8">
              <w:rPr>
                <w:rFonts w:cs="Times New Roman"/>
                <w:szCs w:val="20"/>
              </w:rPr>
              <w:fldChar w:fldCharType="end"/>
            </w:r>
          </w:p>
        </w:tc>
        <w:tc>
          <w:tcPr>
            <w:tcW w:w="1701" w:type="dxa"/>
            <w:tcBorders>
              <w:top w:val="nil"/>
              <w:left w:val="nil"/>
              <w:bottom w:val="nil"/>
              <w:right w:val="nil"/>
            </w:tcBorders>
          </w:tcPr>
          <w:p w14:paraId="4279D4E0" w14:textId="77777777" w:rsidR="004E65DF" w:rsidRPr="00F816A8" w:rsidRDefault="004E65DF" w:rsidP="00C8335E">
            <w:pPr>
              <w:spacing w:line="240" w:lineRule="auto"/>
              <w:rPr>
                <w:rFonts w:cs="Times New Roman"/>
                <w:szCs w:val="20"/>
              </w:rPr>
            </w:pPr>
            <w:r w:rsidRPr="00F816A8">
              <w:rPr>
                <w:rFonts w:cs="Times New Roman"/>
                <w:szCs w:val="20"/>
              </w:rPr>
              <w:t>Italy</w:t>
            </w:r>
          </w:p>
          <w:p w14:paraId="56E86985" w14:textId="77777777" w:rsidR="004E65DF" w:rsidRPr="00F816A8" w:rsidRDefault="004E65DF" w:rsidP="00C8335E">
            <w:pPr>
              <w:spacing w:line="240" w:lineRule="auto"/>
              <w:rPr>
                <w:rFonts w:cs="Times New Roman"/>
                <w:szCs w:val="20"/>
              </w:rPr>
            </w:pPr>
            <w:r w:rsidRPr="00F816A8">
              <w:rPr>
                <w:rFonts w:cs="Times New Roman"/>
                <w:szCs w:val="20"/>
              </w:rPr>
              <w:t>Spain</w:t>
            </w:r>
          </w:p>
          <w:p w14:paraId="2D24EC7C" w14:textId="77777777" w:rsidR="004E65DF" w:rsidRPr="00F816A8" w:rsidRDefault="004E65DF" w:rsidP="00C8335E">
            <w:pPr>
              <w:spacing w:line="240" w:lineRule="auto"/>
              <w:rPr>
                <w:rFonts w:cs="Times New Roman"/>
                <w:szCs w:val="20"/>
              </w:rPr>
            </w:pPr>
            <w:r w:rsidRPr="00F816A8">
              <w:rPr>
                <w:rFonts w:cs="Times New Roman"/>
                <w:szCs w:val="20"/>
              </w:rPr>
              <w:t>Portugal</w:t>
            </w:r>
          </w:p>
        </w:tc>
        <w:tc>
          <w:tcPr>
            <w:tcW w:w="5811" w:type="dxa"/>
            <w:tcBorders>
              <w:top w:val="nil"/>
              <w:left w:val="nil"/>
              <w:bottom w:val="nil"/>
              <w:right w:val="nil"/>
            </w:tcBorders>
          </w:tcPr>
          <w:p w14:paraId="7C910A5D" w14:textId="77777777" w:rsidR="004E65DF" w:rsidRPr="00F816A8" w:rsidRDefault="004E65DF" w:rsidP="00C8335E">
            <w:pPr>
              <w:spacing w:line="240" w:lineRule="auto"/>
              <w:rPr>
                <w:rFonts w:cs="Times New Roman"/>
                <w:szCs w:val="20"/>
              </w:rPr>
            </w:pPr>
            <w:r w:rsidRPr="00F816A8">
              <w:rPr>
                <w:rFonts w:cs="Times New Roman"/>
                <w:szCs w:val="20"/>
              </w:rPr>
              <w:t>Test of Memory Strategies (TMS)</w:t>
            </w:r>
          </w:p>
        </w:tc>
        <w:tc>
          <w:tcPr>
            <w:tcW w:w="1262" w:type="dxa"/>
            <w:tcBorders>
              <w:top w:val="nil"/>
              <w:left w:val="nil"/>
              <w:bottom w:val="nil"/>
              <w:right w:val="nil"/>
            </w:tcBorders>
          </w:tcPr>
          <w:p w14:paraId="63479043" w14:textId="77777777" w:rsidR="004E65DF" w:rsidRPr="00F816A8" w:rsidRDefault="004E65DF" w:rsidP="00C8335E">
            <w:pPr>
              <w:spacing w:line="240" w:lineRule="auto"/>
              <w:jc w:val="center"/>
              <w:rPr>
                <w:rFonts w:cs="Times New Roman"/>
                <w:szCs w:val="20"/>
              </w:rPr>
            </w:pPr>
            <w:r w:rsidRPr="00F816A8">
              <w:rPr>
                <w:rFonts w:cs="Times New Roman"/>
                <w:szCs w:val="20"/>
              </w:rPr>
              <w:t>121 (74)</w:t>
            </w:r>
          </w:p>
          <w:p w14:paraId="4B764B8E" w14:textId="77777777" w:rsidR="004E65DF" w:rsidRPr="00F816A8" w:rsidRDefault="004E65DF" w:rsidP="00C8335E">
            <w:pPr>
              <w:spacing w:line="240" w:lineRule="auto"/>
              <w:jc w:val="center"/>
              <w:rPr>
                <w:rFonts w:cs="Times New Roman"/>
                <w:szCs w:val="20"/>
              </w:rPr>
            </w:pPr>
            <w:r w:rsidRPr="00F816A8">
              <w:rPr>
                <w:rFonts w:cs="Times New Roman"/>
                <w:szCs w:val="20"/>
              </w:rPr>
              <w:t>180 (101)</w:t>
            </w:r>
          </w:p>
          <w:p w14:paraId="143D7209" w14:textId="77777777" w:rsidR="004E65DF" w:rsidRPr="00F816A8" w:rsidRDefault="004E65DF" w:rsidP="00C8335E">
            <w:pPr>
              <w:spacing w:line="240" w:lineRule="auto"/>
              <w:jc w:val="center"/>
              <w:rPr>
                <w:rFonts w:cs="Times New Roman"/>
                <w:szCs w:val="20"/>
              </w:rPr>
            </w:pPr>
            <w:r w:rsidRPr="00F816A8">
              <w:rPr>
                <w:rFonts w:cs="Times New Roman"/>
                <w:szCs w:val="20"/>
              </w:rPr>
              <w:t>135 (84)</w:t>
            </w:r>
          </w:p>
        </w:tc>
        <w:tc>
          <w:tcPr>
            <w:tcW w:w="1262" w:type="dxa"/>
            <w:tcBorders>
              <w:top w:val="nil"/>
              <w:left w:val="nil"/>
              <w:bottom w:val="nil"/>
              <w:right w:val="nil"/>
            </w:tcBorders>
          </w:tcPr>
          <w:p w14:paraId="144C88E2" w14:textId="77777777" w:rsidR="004E65DF" w:rsidRPr="00F816A8" w:rsidRDefault="004E65DF" w:rsidP="00C8335E">
            <w:pPr>
              <w:spacing w:line="240" w:lineRule="auto"/>
              <w:jc w:val="center"/>
              <w:rPr>
                <w:rFonts w:cs="Times New Roman"/>
                <w:szCs w:val="20"/>
              </w:rPr>
            </w:pPr>
            <w:r w:rsidRPr="00F816A8">
              <w:rPr>
                <w:rFonts w:cs="Times New Roman"/>
                <w:szCs w:val="20"/>
              </w:rPr>
              <w:t>45.9 (20.4)</w:t>
            </w:r>
          </w:p>
          <w:p w14:paraId="572BEFC3" w14:textId="77777777" w:rsidR="004E65DF" w:rsidRPr="00F816A8" w:rsidRDefault="004E65DF" w:rsidP="00C8335E">
            <w:pPr>
              <w:spacing w:line="240" w:lineRule="auto"/>
              <w:jc w:val="center"/>
              <w:rPr>
                <w:rFonts w:cs="Times New Roman"/>
                <w:szCs w:val="20"/>
              </w:rPr>
            </w:pPr>
            <w:r w:rsidRPr="00F816A8">
              <w:rPr>
                <w:rFonts w:cs="Times New Roman"/>
                <w:szCs w:val="20"/>
              </w:rPr>
              <w:t>54.0 (16.7)</w:t>
            </w:r>
          </w:p>
          <w:p w14:paraId="4B99E561" w14:textId="77777777" w:rsidR="004E65DF" w:rsidRPr="00F816A8" w:rsidRDefault="004E65DF" w:rsidP="00C8335E">
            <w:pPr>
              <w:spacing w:line="240" w:lineRule="auto"/>
              <w:jc w:val="center"/>
              <w:rPr>
                <w:rFonts w:cs="Times New Roman"/>
                <w:szCs w:val="20"/>
              </w:rPr>
            </w:pPr>
            <w:r w:rsidRPr="00F816A8">
              <w:rPr>
                <w:rFonts w:cs="Times New Roman"/>
                <w:szCs w:val="20"/>
              </w:rPr>
              <w:t>64.0 (21.3)</w:t>
            </w:r>
          </w:p>
        </w:tc>
        <w:tc>
          <w:tcPr>
            <w:tcW w:w="1262" w:type="dxa"/>
            <w:tcBorders>
              <w:top w:val="nil"/>
              <w:left w:val="nil"/>
              <w:bottom w:val="nil"/>
              <w:right w:val="nil"/>
            </w:tcBorders>
          </w:tcPr>
          <w:p w14:paraId="6A019666" w14:textId="77777777" w:rsidR="004E65DF" w:rsidRPr="00F816A8" w:rsidRDefault="004E65DF" w:rsidP="00C8335E">
            <w:pPr>
              <w:spacing w:line="240" w:lineRule="auto"/>
              <w:jc w:val="center"/>
              <w:rPr>
                <w:rFonts w:cs="Times New Roman"/>
                <w:szCs w:val="20"/>
              </w:rPr>
            </w:pPr>
            <w:r w:rsidRPr="00F816A8">
              <w:rPr>
                <w:rFonts w:cs="Times New Roman"/>
                <w:szCs w:val="20"/>
              </w:rPr>
              <w:t>13</w:t>
            </w:r>
            <w:r>
              <w:rPr>
                <w:rFonts w:cs="Times New Roman"/>
                <w:szCs w:val="20"/>
              </w:rPr>
              <w:t>.</w:t>
            </w:r>
            <w:r w:rsidRPr="00F816A8">
              <w:rPr>
                <w:rFonts w:cs="Times New Roman"/>
                <w:szCs w:val="20"/>
              </w:rPr>
              <w:t>2 (4.0)</w:t>
            </w:r>
          </w:p>
          <w:p w14:paraId="59F3B0ED" w14:textId="77777777" w:rsidR="004E65DF" w:rsidRPr="00F816A8" w:rsidRDefault="004E65DF" w:rsidP="00C8335E">
            <w:pPr>
              <w:spacing w:line="240" w:lineRule="auto"/>
              <w:jc w:val="center"/>
              <w:rPr>
                <w:rFonts w:cs="Times New Roman"/>
                <w:szCs w:val="20"/>
              </w:rPr>
            </w:pPr>
            <w:r w:rsidRPr="00F816A8">
              <w:rPr>
                <w:rFonts w:cs="Times New Roman"/>
                <w:szCs w:val="20"/>
              </w:rPr>
              <w:t>7.4 (2.4)</w:t>
            </w:r>
          </w:p>
          <w:p w14:paraId="74D7672F" w14:textId="77777777" w:rsidR="004E65DF" w:rsidRPr="00F816A8" w:rsidRDefault="004E65DF" w:rsidP="00C8335E">
            <w:pPr>
              <w:spacing w:line="240" w:lineRule="auto"/>
              <w:jc w:val="center"/>
              <w:rPr>
                <w:rFonts w:cs="Times New Roman"/>
                <w:szCs w:val="20"/>
              </w:rPr>
            </w:pPr>
            <w:r w:rsidRPr="00F816A8">
              <w:rPr>
                <w:rFonts w:cs="Times New Roman"/>
                <w:szCs w:val="20"/>
              </w:rPr>
              <w:t>8.1 (4.5)</w:t>
            </w:r>
          </w:p>
        </w:tc>
      </w:tr>
      <w:tr w:rsidR="004E65DF" w:rsidRPr="00F816A8" w14:paraId="4C7702AE" w14:textId="77777777" w:rsidTr="00C8335E">
        <w:tc>
          <w:tcPr>
            <w:tcW w:w="2694" w:type="dxa"/>
            <w:tcBorders>
              <w:top w:val="nil"/>
              <w:left w:val="nil"/>
              <w:bottom w:val="nil"/>
              <w:right w:val="nil"/>
            </w:tcBorders>
          </w:tcPr>
          <w:p w14:paraId="082C538B"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{"citationID":"kidjX7PK","properties":{"formattedCitation":"(Hassm\\uc0\\u233{}n et al., 2024)","plainCitation":"(Hassmén et al., 2024)","noteIndex":0},"citationItems":[{"id":1219,"uris":["http://zotero.org/users/local/U8bdnYIb/items/UJPP93RM"],"itemData":{"id":1219,"type":"article-journal","abstract":"Mental processes responsible for goal-oriented behavior – executive functioning (EF) – include working memory, flexible thinking, and cognitive control. A reliable and valid assessment of EF can in...","archive_location":"world","container-title":"Applied Neuropsychology: Adult","ISSN":"2327-9095","language":"EN","license":"© 2024 The Author(s). Published with license by Taylor &amp; Francis Group, LLC.","note":"publisher: Routledge","source":"www.tandfonline.com","title":"Piloting the Coffs Harbour Executive Functioning Screen (CHEFS): An off-road tool to predict fitness to drive","title-short":"Piloting the Coffs Harbour Executive Functioning Screen (CHEFS)","URL":"https://www.tandfonline.com/doi/abs/10.1080/23279095.2024.2418031","author":[{"family":"Hassmén","given":"P."},{"family":"Hindman","given":"E."},{"family":"Keiller","given":"T."},{"family":"Blair","given":"D."}],"accessed":{"date-parts":[["2025",4,9]]},"issued":{"date-parts":[["2024",10,22]]}}}],"schema":"https://github.com/citation-style-language/schema/raw/master/csl-citation.json"} </w:instrText>
            </w:r>
            <w:r w:rsidRPr="00F816A8">
              <w:rPr>
                <w:rFonts w:cs="Times New Roman"/>
                <w:szCs w:val="20"/>
              </w:rPr>
              <w:fldChar w:fldCharType="separate"/>
            </w:r>
            <w:r w:rsidRPr="00F816A8">
              <w:rPr>
                <w:rFonts w:cs="Times New Roman"/>
                <w:kern w:val="0"/>
              </w:rPr>
              <w:t>(Hassmén et al., 2024)</w:t>
            </w:r>
            <w:r w:rsidRPr="00F816A8">
              <w:rPr>
                <w:rFonts w:cs="Times New Roman"/>
                <w:szCs w:val="20"/>
              </w:rPr>
              <w:fldChar w:fldCharType="end"/>
            </w:r>
          </w:p>
        </w:tc>
        <w:tc>
          <w:tcPr>
            <w:tcW w:w="1701" w:type="dxa"/>
            <w:tcBorders>
              <w:top w:val="nil"/>
              <w:left w:val="nil"/>
              <w:bottom w:val="nil"/>
              <w:right w:val="nil"/>
            </w:tcBorders>
          </w:tcPr>
          <w:p w14:paraId="278DB57E" w14:textId="77777777" w:rsidR="004E65DF" w:rsidRPr="00F816A8" w:rsidRDefault="004E65DF" w:rsidP="00C8335E">
            <w:pPr>
              <w:spacing w:line="240" w:lineRule="auto"/>
              <w:rPr>
                <w:rFonts w:cs="Times New Roman"/>
                <w:szCs w:val="20"/>
              </w:rPr>
            </w:pPr>
            <w:r w:rsidRPr="00F816A8">
              <w:rPr>
                <w:rFonts w:cs="Times New Roman"/>
                <w:szCs w:val="20"/>
              </w:rPr>
              <w:t>Australia</w:t>
            </w:r>
          </w:p>
        </w:tc>
        <w:tc>
          <w:tcPr>
            <w:tcW w:w="5811" w:type="dxa"/>
            <w:tcBorders>
              <w:top w:val="nil"/>
              <w:left w:val="nil"/>
              <w:bottom w:val="nil"/>
              <w:right w:val="nil"/>
            </w:tcBorders>
          </w:tcPr>
          <w:p w14:paraId="02786CE2" w14:textId="77777777" w:rsidR="004E65DF" w:rsidRPr="00F816A8" w:rsidRDefault="004E65DF" w:rsidP="00C8335E">
            <w:pPr>
              <w:spacing w:line="240" w:lineRule="auto"/>
              <w:rPr>
                <w:rFonts w:cs="Times New Roman"/>
                <w:szCs w:val="20"/>
              </w:rPr>
            </w:pPr>
            <w:r w:rsidRPr="00F816A8">
              <w:rPr>
                <w:rFonts w:cs="Times New Roman"/>
                <w:szCs w:val="20"/>
              </w:rPr>
              <w:t>Coffs Harbour Executive Functioning Screen (CHEFS)</w:t>
            </w:r>
          </w:p>
        </w:tc>
        <w:tc>
          <w:tcPr>
            <w:tcW w:w="1262" w:type="dxa"/>
            <w:tcBorders>
              <w:top w:val="nil"/>
              <w:left w:val="nil"/>
              <w:bottom w:val="nil"/>
              <w:right w:val="nil"/>
            </w:tcBorders>
          </w:tcPr>
          <w:p w14:paraId="60F5BFDD" w14:textId="77777777" w:rsidR="004E65DF" w:rsidRPr="00F816A8" w:rsidRDefault="004E65DF" w:rsidP="00C8335E">
            <w:pPr>
              <w:spacing w:line="240" w:lineRule="auto"/>
              <w:jc w:val="center"/>
              <w:rPr>
                <w:rFonts w:cs="Times New Roman"/>
                <w:szCs w:val="20"/>
              </w:rPr>
            </w:pPr>
            <w:r w:rsidRPr="00F816A8">
              <w:rPr>
                <w:rFonts w:cs="Times New Roman"/>
                <w:szCs w:val="20"/>
              </w:rPr>
              <w:t>55 (39)</w:t>
            </w:r>
          </w:p>
        </w:tc>
        <w:tc>
          <w:tcPr>
            <w:tcW w:w="1262" w:type="dxa"/>
            <w:tcBorders>
              <w:top w:val="nil"/>
              <w:left w:val="nil"/>
              <w:bottom w:val="nil"/>
              <w:right w:val="nil"/>
            </w:tcBorders>
          </w:tcPr>
          <w:p w14:paraId="4ECE701B" w14:textId="77777777" w:rsidR="004E65DF" w:rsidRPr="00F816A8" w:rsidRDefault="004E65DF" w:rsidP="00C8335E">
            <w:pPr>
              <w:spacing w:line="240" w:lineRule="auto"/>
              <w:jc w:val="center"/>
              <w:rPr>
                <w:rFonts w:cs="Times New Roman"/>
                <w:szCs w:val="20"/>
              </w:rPr>
            </w:pPr>
            <w:r w:rsidRPr="00F816A8">
              <w:rPr>
                <w:rFonts w:cs="Times New Roman"/>
                <w:szCs w:val="20"/>
              </w:rPr>
              <w:t>29.3 (11.5)</w:t>
            </w:r>
          </w:p>
        </w:tc>
        <w:tc>
          <w:tcPr>
            <w:tcW w:w="1262" w:type="dxa"/>
            <w:tcBorders>
              <w:top w:val="nil"/>
              <w:left w:val="nil"/>
              <w:bottom w:val="nil"/>
              <w:right w:val="nil"/>
            </w:tcBorders>
          </w:tcPr>
          <w:p w14:paraId="60AF9F16"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6E15F7EE" w14:textId="77777777" w:rsidTr="00C8335E">
        <w:tc>
          <w:tcPr>
            <w:tcW w:w="2694" w:type="dxa"/>
            <w:tcBorders>
              <w:top w:val="nil"/>
              <w:left w:val="nil"/>
              <w:bottom w:val="nil"/>
              <w:right w:val="nil"/>
            </w:tcBorders>
          </w:tcPr>
          <w:p w14:paraId="0CAEB870"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{"citationID":"2pEdVGjL","properties":{"formattedCitation":"(Hatahet &amp; Seghier, 2024)","plainCitation":"(Hatahet &amp; Seghier, 2024)","noteIndex":0},"citationItems":[{"id":1221,"uris":["http://zotero.org/users/local/U8bdnYIb/items/YNWWXTNF"],"itemData":{"id":1221,"type":"article-journal","abstract":"A clinically useful characterization of the cognitive aging process requires the development of valid and robust behavioral tests, with an emphasis on explaining and understanding typical inter-individual variability in cognition. Here, using a dataset that includes behavioral scores collected with the National Institute of Health Toolbox Cognition Battery (NIHTB-CB) and other auxiliary tests, we examined (1) the differences between young and old adults across different cognitive domains, (2) the strength of across-subject correlations in behavioral test scores, (3) the consistency of low-dimensional behavioral representations across age using factor analysis, and (4) the accuracy of behavioral scores in predicting participants’ age. Our results revealed that (1) elderly females had better verbal episodic memory scores than elderly males, (2) across-subject correlations between behavioral tests varied with age group, (3) although a three-factor model explained the behavioral data in both age groups, some tasks loaded to different factors between the two groups, and (4) age-performance relationship (i.e. a regression model linking age to cognitive scores) in one group cannot be extrapolated to predict age in the other group, indicating an inconsistency in age-performance relationships across groups. These findings suggest that executive function tests might tap into different cognitive processes in different age groups, which might ultimately suggest that a statistically significant between-group difference in test performance might not always reflect differences in the same underlying cognitive processes. Overall, this study calls for more caution when interpreting age-related differences and similarities between age groups with different cognitive abilities even when the same tests are used.","container-title":"Scientific Reports","DOI":"10.1038/s41598-024-74488-0","ISSN":"2045-2322","issue":"1","journalAbbreviation":"Sci Rep","language":"en","license":"2024 The Author(s)","note":"publisher: Nature Publishing Group","page":"23880","source":"www.nature.com","title":"The validity of studying healthy aging with cognitive tests measuring different constructs","volume":"14","author":[{"family":"Hatahet","given":"O."},{"family":"Seghier","given":"M. L."}],"issued":{"date-parts":[["2024",10,12]]}}}],"schema":"https://github.com/citation-style-language/schema/raw/master/csl-citation.json"} </w:instrText>
            </w:r>
            <w:r w:rsidRPr="00F816A8">
              <w:rPr>
                <w:rFonts w:cs="Times New Roman"/>
                <w:szCs w:val="20"/>
              </w:rPr>
              <w:fldChar w:fldCharType="separate"/>
            </w:r>
            <w:r w:rsidRPr="00F816A8">
              <w:rPr>
                <w:rFonts w:cs="Times New Roman"/>
              </w:rPr>
              <w:t>(Hatahet &amp; Seghier, 2024)</w:t>
            </w:r>
            <w:r w:rsidRPr="00F816A8">
              <w:rPr>
                <w:rFonts w:cs="Times New Roman"/>
                <w:szCs w:val="20"/>
              </w:rPr>
              <w:fldChar w:fldCharType="end"/>
            </w:r>
          </w:p>
        </w:tc>
        <w:tc>
          <w:tcPr>
            <w:tcW w:w="1701" w:type="dxa"/>
            <w:tcBorders>
              <w:top w:val="nil"/>
              <w:left w:val="nil"/>
              <w:bottom w:val="nil"/>
              <w:right w:val="nil"/>
            </w:tcBorders>
          </w:tcPr>
          <w:p w14:paraId="25E65165" w14:textId="77777777" w:rsidR="004E65DF" w:rsidRPr="00F816A8" w:rsidRDefault="004E65DF" w:rsidP="00C8335E">
            <w:pPr>
              <w:spacing w:line="240" w:lineRule="auto"/>
              <w:rPr>
                <w:rFonts w:cs="Times New Roman"/>
                <w:szCs w:val="20"/>
              </w:rPr>
            </w:pPr>
            <w:r w:rsidRPr="00F816A8">
              <w:rPr>
                <w:rFonts w:cs="Times New Roman"/>
                <w:szCs w:val="20"/>
              </w:rPr>
              <w:t>United Arab Emirates</w:t>
            </w:r>
          </w:p>
        </w:tc>
        <w:tc>
          <w:tcPr>
            <w:tcW w:w="5811" w:type="dxa"/>
            <w:tcBorders>
              <w:top w:val="nil"/>
              <w:left w:val="nil"/>
              <w:bottom w:val="nil"/>
              <w:right w:val="nil"/>
            </w:tcBorders>
          </w:tcPr>
          <w:p w14:paraId="0FCD45B8" w14:textId="77777777" w:rsidR="004E65DF" w:rsidRPr="00F816A8" w:rsidRDefault="004E65DF" w:rsidP="00C8335E">
            <w:pPr>
              <w:spacing w:line="240" w:lineRule="auto"/>
              <w:rPr>
                <w:rFonts w:cs="Times New Roman"/>
                <w:szCs w:val="20"/>
              </w:rPr>
            </w:pPr>
            <w:r w:rsidRPr="00F816A8">
              <w:rPr>
                <w:rFonts w:cs="Times New Roman"/>
                <w:szCs w:val="20"/>
              </w:rPr>
              <w:t>National Institute of Health Toolbox Cognition Battery (NIHTB-CB)</w:t>
            </w:r>
          </w:p>
        </w:tc>
        <w:tc>
          <w:tcPr>
            <w:tcW w:w="1262" w:type="dxa"/>
            <w:tcBorders>
              <w:top w:val="nil"/>
              <w:left w:val="nil"/>
              <w:bottom w:val="nil"/>
              <w:right w:val="nil"/>
            </w:tcBorders>
          </w:tcPr>
          <w:p w14:paraId="50F855E5" w14:textId="77777777" w:rsidR="004E65DF" w:rsidRPr="00F816A8" w:rsidRDefault="004E65DF" w:rsidP="00C8335E">
            <w:pPr>
              <w:spacing w:line="240" w:lineRule="auto"/>
              <w:jc w:val="center"/>
              <w:rPr>
                <w:rFonts w:cs="Times New Roman"/>
                <w:szCs w:val="20"/>
              </w:rPr>
            </w:pPr>
            <w:r w:rsidRPr="00F816A8">
              <w:rPr>
                <w:rFonts w:cs="Times New Roman"/>
                <w:szCs w:val="20"/>
              </w:rPr>
              <w:t>163 y.a.</w:t>
            </w:r>
          </w:p>
          <w:p w14:paraId="620418EB" w14:textId="77777777" w:rsidR="004E65DF" w:rsidRPr="00F816A8" w:rsidRDefault="004E65DF" w:rsidP="00C8335E">
            <w:pPr>
              <w:spacing w:line="240" w:lineRule="auto"/>
              <w:jc w:val="center"/>
              <w:rPr>
                <w:rFonts w:cs="Times New Roman"/>
                <w:szCs w:val="20"/>
              </w:rPr>
            </w:pPr>
            <w:r w:rsidRPr="00F816A8">
              <w:rPr>
                <w:rFonts w:cs="Times New Roman"/>
                <w:szCs w:val="20"/>
              </w:rPr>
              <w:t>120 o.a.</w:t>
            </w:r>
          </w:p>
        </w:tc>
        <w:tc>
          <w:tcPr>
            <w:tcW w:w="1262" w:type="dxa"/>
            <w:tcBorders>
              <w:top w:val="nil"/>
              <w:left w:val="nil"/>
              <w:bottom w:val="nil"/>
              <w:right w:val="nil"/>
            </w:tcBorders>
          </w:tcPr>
          <w:p w14:paraId="523CCA55" w14:textId="77777777" w:rsidR="004E65DF" w:rsidRPr="00F816A8" w:rsidRDefault="004E65DF" w:rsidP="00C8335E">
            <w:pPr>
              <w:spacing w:line="240" w:lineRule="auto"/>
              <w:jc w:val="center"/>
              <w:rPr>
                <w:rFonts w:cs="Times New Roman"/>
                <w:szCs w:val="20"/>
              </w:rPr>
            </w:pPr>
            <w:r w:rsidRPr="00F816A8">
              <w:rPr>
                <w:rFonts w:cs="Times New Roman"/>
                <w:szCs w:val="20"/>
              </w:rPr>
              <w:t>18 to 34 y.o.</w:t>
            </w:r>
          </w:p>
          <w:p w14:paraId="012B0C5A" w14:textId="77777777" w:rsidR="004E65DF" w:rsidRPr="00F816A8" w:rsidRDefault="004E65DF" w:rsidP="00C8335E">
            <w:pPr>
              <w:spacing w:line="240" w:lineRule="auto"/>
              <w:jc w:val="center"/>
              <w:rPr>
                <w:rFonts w:cs="Times New Roman"/>
                <w:szCs w:val="20"/>
              </w:rPr>
            </w:pPr>
            <w:r w:rsidRPr="00F816A8">
              <w:rPr>
                <w:rFonts w:cs="Times New Roman"/>
                <w:szCs w:val="20"/>
              </w:rPr>
              <w:t>60 to 89 y.o.</w:t>
            </w:r>
          </w:p>
        </w:tc>
        <w:tc>
          <w:tcPr>
            <w:tcW w:w="1262" w:type="dxa"/>
            <w:tcBorders>
              <w:top w:val="nil"/>
              <w:left w:val="nil"/>
              <w:bottom w:val="nil"/>
              <w:right w:val="nil"/>
            </w:tcBorders>
          </w:tcPr>
          <w:p w14:paraId="6B859AA1" w14:textId="77777777" w:rsidR="004E65DF" w:rsidRPr="00F816A8" w:rsidRDefault="004E65DF" w:rsidP="00C8335E">
            <w:pPr>
              <w:spacing w:line="240" w:lineRule="auto"/>
              <w:jc w:val="center"/>
              <w:rPr>
                <w:rFonts w:cs="Times New Roman"/>
                <w:szCs w:val="20"/>
              </w:rPr>
            </w:pPr>
            <w:r w:rsidRPr="00F816A8">
              <w:rPr>
                <w:rFonts w:cs="Times New Roman"/>
                <w:szCs w:val="20"/>
              </w:rPr>
              <w:t>&gt;12 years</w:t>
            </w:r>
          </w:p>
          <w:p w14:paraId="7F8A0CB2" w14:textId="77777777" w:rsidR="004E65DF" w:rsidRPr="00F816A8" w:rsidRDefault="004E65DF" w:rsidP="00C8335E">
            <w:pPr>
              <w:spacing w:line="240" w:lineRule="auto"/>
              <w:jc w:val="center"/>
              <w:rPr>
                <w:rFonts w:cs="Times New Roman"/>
                <w:szCs w:val="20"/>
              </w:rPr>
            </w:pPr>
            <w:r w:rsidRPr="00F816A8">
              <w:rPr>
                <w:rFonts w:cs="Times New Roman"/>
                <w:szCs w:val="20"/>
              </w:rPr>
              <w:t>&gt;12 years</w:t>
            </w:r>
          </w:p>
        </w:tc>
      </w:tr>
      <w:tr w:rsidR="004E65DF" w:rsidRPr="00F816A8" w14:paraId="19662E19" w14:textId="77777777" w:rsidTr="00C8335E">
        <w:tc>
          <w:tcPr>
            <w:tcW w:w="2694" w:type="dxa"/>
            <w:tcBorders>
              <w:top w:val="nil"/>
              <w:left w:val="nil"/>
              <w:bottom w:val="nil"/>
              <w:right w:val="nil"/>
            </w:tcBorders>
          </w:tcPr>
          <w:p w14:paraId="5BD55B9F"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{"citationID":"xFRo5YOe","properties":{"formattedCitation":"(Hurtado-Pomares et al., 2024)","plainCitation":"(Hurtado-Pomares et al., 2024)","noteIndex":0},"citationItems":[{"id":1223,"uris":["http://zotero.org/users/local/U8bdnYIb/items/R42B94LL"],"itemData":{"id":1223,"type":"article-journal","abstract":"BACKGROUND: The Frontal Assessment Battery is a short bedside test used to assess executive functions (EF). The aims of the present study were, first, to evaluate the psychometric proprieties of the Spanish version of the FAB (FAB-E) in a representative sample, and second, to establish cut-off points for impairment in executive function according to age and education level.\nMETHODS: A sample of 798 healthy Spanish adult subjects aged 19 to 91 participated in this study. Neuropsychological assessment of participants was conducted using the FAB-E, Mini-Mental State Examination (MMSE) and Trail Making Test (TMT). We examined internal consistency, intraclass correlation, test-retest reliability, and concurrent and divergent validity. In addition, we established a cut-off point for detecting executive function impairment based on the 5th percentile by age group and education level.\nRESULTS: The analysis of the psychometric properties of the FAB-E showed good internal consistency (Cronbach's α = 0.60), intraclass correlation (0.72), test-retest reliability (0.70) and concurrent and divergent validity between the TMT (r = -0.523), MMSE (r = 0.426) and the FAB-E. The cut-off points for each age group were 16 points for the ≤ 29 group, 15 points for the 30-39 group, 14 points for the 40-49 and 50-59 groups, 12 points for the 60-69 group, and 10 points for the ≥ 70 age group.\nCONCLUSIONS: The psychometric analysis showed that the FAB-E has good validity and reliability. Thus, FAB-E may be a helpful tool to evaluate EF in a healthy Spanish population. In addition, this study provides information on reference data that will be very valuable for clinicians and researchers.","container-title":"Neurologia","DOI":"10.1016/j.nrleng.2022.09.004","ISSN":"2173-5808","issue":"8","journalAbbreviation":"Neurologia (Engl Ed)","language":"eng","note":"PMID: 36216225","page":"694-700","source":"PubMed","title":"Psychometric properties of the Spanish version of the Frontal Assessment Battery (FAB-E) and normative values in a representative adult population sample","volume":"39","author":[{"family":"Hurtado-Pomares","given":"M."},{"family":"Juárez-Leal","given":"I."},{"family":"Company-Devesa","given":"V."},{"family":"Sánchez-Pérez","given":"A."},{"family":"Peral-Gómez","given":"P."},{"family":"Espinosa-Sempere","given":"C."},{"family":"Valera-Gran","given":"D."},{"family":"Navarrete-Muñoz","given":"E.-M."}],"issued":{"date-parts":[["2024",10]]}}}],"schema":"https://github.com/citation-style-language/schema/raw/master/csl-citation.json"} </w:instrText>
            </w:r>
            <w:r w:rsidRPr="00F816A8">
              <w:rPr>
                <w:rFonts w:cs="Times New Roman"/>
                <w:szCs w:val="20"/>
              </w:rPr>
              <w:fldChar w:fldCharType="separate"/>
            </w:r>
            <w:r w:rsidRPr="00F816A8">
              <w:rPr>
                <w:rFonts w:cs="Times New Roman"/>
              </w:rPr>
              <w:t>(Hurtado-Pomares et al., 2024)</w:t>
            </w:r>
            <w:r w:rsidRPr="00F816A8">
              <w:rPr>
                <w:rFonts w:cs="Times New Roman"/>
                <w:szCs w:val="20"/>
              </w:rPr>
              <w:fldChar w:fldCharType="end"/>
            </w:r>
          </w:p>
        </w:tc>
        <w:tc>
          <w:tcPr>
            <w:tcW w:w="1701" w:type="dxa"/>
            <w:tcBorders>
              <w:top w:val="nil"/>
              <w:left w:val="nil"/>
              <w:bottom w:val="nil"/>
              <w:right w:val="nil"/>
            </w:tcBorders>
          </w:tcPr>
          <w:p w14:paraId="2328CDD6" w14:textId="77777777" w:rsidR="004E65DF" w:rsidRPr="00F816A8" w:rsidRDefault="004E65DF" w:rsidP="00C8335E">
            <w:pPr>
              <w:spacing w:line="240" w:lineRule="auto"/>
              <w:rPr>
                <w:rFonts w:cs="Times New Roman"/>
                <w:szCs w:val="20"/>
              </w:rPr>
            </w:pPr>
            <w:r w:rsidRPr="00F816A8">
              <w:rPr>
                <w:rFonts w:cs="Times New Roman"/>
                <w:szCs w:val="20"/>
              </w:rPr>
              <w:t>Spain</w:t>
            </w:r>
          </w:p>
        </w:tc>
        <w:tc>
          <w:tcPr>
            <w:tcW w:w="5811" w:type="dxa"/>
            <w:tcBorders>
              <w:top w:val="nil"/>
              <w:left w:val="nil"/>
              <w:bottom w:val="nil"/>
              <w:right w:val="nil"/>
            </w:tcBorders>
          </w:tcPr>
          <w:p w14:paraId="6F6D53DF" w14:textId="77777777" w:rsidR="004E65DF" w:rsidRPr="00F816A8" w:rsidRDefault="004E65DF" w:rsidP="00C8335E">
            <w:pPr>
              <w:spacing w:line="240" w:lineRule="auto"/>
              <w:rPr>
                <w:rFonts w:cs="Times New Roman"/>
                <w:szCs w:val="20"/>
              </w:rPr>
            </w:pPr>
            <w:r w:rsidRPr="00F816A8">
              <w:rPr>
                <w:rFonts w:cs="Times New Roman"/>
                <w:szCs w:val="20"/>
              </w:rPr>
              <w:t>Frontal Assessment Battery - Spanish Version (FAB-E)</w:t>
            </w:r>
          </w:p>
        </w:tc>
        <w:tc>
          <w:tcPr>
            <w:tcW w:w="1262" w:type="dxa"/>
            <w:tcBorders>
              <w:top w:val="nil"/>
              <w:left w:val="nil"/>
              <w:bottom w:val="nil"/>
              <w:right w:val="nil"/>
            </w:tcBorders>
          </w:tcPr>
          <w:p w14:paraId="503776A4" w14:textId="77777777" w:rsidR="004E65DF" w:rsidRPr="00F816A8" w:rsidRDefault="004E65DF" w:rsidP="00C8335E">
            <w:pPr>
              <w:spacing w:line="240" w:lineRule="auto"/>
              <w:jc w:val="center"/>
              <w:rPr>
                <w:rFonts w:cs="Times New Roman"/>
                <w:szCs w:val="20"/>
              </w:rPr>
            </w:pPr>
            <w:r w:rsidRPr="00F816A8">
              <w:rPr>
                <w:rFonts w:cs="Times New Roman"/>
                <w:szCs w:val="20"/>
              </w:rPr>
              <w:t>798 (435)</w:t>
            </w:r>
          </w:p>
        </w:tc>
        <w:tc>
          <w:tcPr>
            <w:tcW w:w="1262" w:type="dxa"/>
            <w:tcBorders>
              <w:top w:val="nil"/>
              <w:left w:val="nil"/>
              <w:bottom w:val="nil"/>
              <w:right w:val="nil"/>
            </w:tcBorders>
          </w:tcPr>
          <w:p w14:paraId="7ACF4951" w14:textId="77777777" w:rsidR="004E65DF" w:rsidRPr="00F816A8" w:rsidRDefault="004E65DF" w:rsidP="00C8335E">
            <w:pPr>
              <w:spacing w:line="240" w:lineRule="auto"/>
              <w:jc w:val="center"/>
              <w:rPr>
                <w:rFonts w:cs="Times New Roman"/>
                <w:szCs w:val="20"/>
              </w:rPr>
            </w:pPr>
            <w:r w:rsidRPr="00F816A8">
              <w:rPr>
                <w:rFonts w:cs="Times New Roman"/>
                <w:szCs w:val="20"/>
              </w:rPr>
              <w:t>46 (NR)</w:t>
            </w:r>
          </w:p>
        </w:tc>
        <w:tc>
          <w:tcPr>
            <w:tcW w:w="1262" w:type="dxa"/>
            <w:tcBorders>
              <w:top w:val="nil"/>
              <w:left w:val="nil"/>
              <w:bottom w:val="nil"/>
              <w:right w:val="nil"/>
            </w:tcBorders>
          </w:tcPr>
          <w:p w14:paraId="7D3C9D29"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57C36EF7" w14:textId="77777777" w:rsidTr="00C8335E">
        <w:tc>
          <w:tcPr>
            <w:tcW w:w="2694" w:type="dxa"/>
            <w:tcBorders>
              <w:top w:val="nil"/>
              <w:left w:val="nil"/>
              <w:bottom w:val="nil"/>
              <w:right w:val="nil"/>
            </w:tcBorders>
          </w:tcPr>
          <w:p w14:paraId="000346D5"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{"citationID":"N2TB3Hhh","properties":{"formattedCitation":"(Morrissey et al., 2024)","plainCitation":"(Morrissey et al., 2024)","noteIndex":0},"citationItems":[{"id":1190,"uris":["http://zotero.org/users/local/U8bdnYIb/items/HLJLDHTJ"],"itemData":{"id":1190,"type":"article-journal","abstract":"Background Early evidence in using online cognitive assessments show that they could offer a feasible and resource-efficient alternative to in-person clinical assessments in evaluating cognitive performance, yet there is currently little understanding about how these assessments relate to traditional, in-person cognitive tests. Objectives In this preliminary study, we assess the feasibility and reliability of NeurOn, a novel online cognitive assessment tool. NeurOn measures various cognitive domains including processing speed, executive functioning, spatial working memory, episodic memory, attentional control, visuospatial functioning, and spatial orientation. Design Thirty-two participants (mean age: 70.19) completed two testing sessions, unsupervised online and in-person, one-week apart. Participants were randomised in the order of testing appointments. For both sessions, participants completed questionnaires prior to a cognitive assessment. Test-retest reliability and concurrent validity of the online cognitive battery was assessed using intraclass correlation coefficients (ICCs) and correlational analysis, respectively. This was conducted by comparing performance in repeated tasks across testing sessions as well as with traditional, in-person cognitive tests. Results Global cognition in the NeurOn battery moderately validated against MoCA performance, and the battery demonstrated moderate test-retest reliability. Concurrent validity was found only between the online and paper versions of the Trail Making Test -A, as well as global cognitive performance between online and in-person testing sessions. Conclusions The NeurOn cognitive battery provides a promising tool for measuring cognitive performance online both longitudinally and across short retesting intervals within healthy older adults. When considering cost-effectiveness, flexible administration, and improved accessibility for wider populations, online cognitive assessments show promise for future screening of neurodegenerative diseases.","container-title":"PLOS ONE","DOI":"10.1371/journal.pone.0309006","ISSN":"1932-6203","issue":"8","journalAbbreviation":"PLOS ONE","language":"en","note":"publisher: Public Library of Science","page":"e0309006","source":"PLoS Journals","title":"Feasibility and reliability of online vs in-person cognitive testing in healthy older people","volume":"19","author":[{"family":"Morrissey","given":"Sol"},{"family":"Gillings","given":"Rachel"},{"family":"Hornberger","given":"Michael"}],"issued":{"date-parts":[["2024",8,20]]}}}],"schema":"https://github.com/citation-style-language/schema/raw/master/csl-citation.json"} </w:instrText>
            </w:r>
            <w:r w:rsidRPr="00F816A8">
              <w:rPr>
                <w:rFonts w:cs="Times New Roman"/>
                <w:szCs w:val="20"/>
              </w:rPr>
              <w:fldChar w:fldCharType="separate"/>
            </w:r>
            <w:r w:rsidRPr="00F816A8">
              <w:rPr>
                <w:rFonts w:cs="Times New Roman"/>
              </w:rPr>
              <w:t>(Morrissey et al., 2024)</w:t>
            </w:r>
            <w:r w:rsidRPr="00F816A8">
              <w:rPr>
                <w:rFonts w:cs="Times New Roman"/>
                <w:szCs w:val="20"/>
              </w:rPr>
              <w:fldChar w:fldCharType="end"/>
            </w:r>
          </w:p>
        </w:tc>
        <w:tc>
          <w:tcPr>
            <w:tcW w:w="1701" w:type="dxa"/>
            <w:tcBorders>
              <w:top w:val="nil"/>
              <w:left w:val="nil"/>
              <w:bottom w:val="nil"/>
              <w:right w:val="nil"/>
            </w:tcBorders>
          </w:tcPr>
          <w:p w14:paraId="18C11360" w14:textId="77777777" w:rsidR="004E65DF" w:rsidRPr="00F816A8" w:rsidRDefault="004E65DF" w:rsidP="00C8335E">
            <w:pPr>
              <w:spacing w:line="240" w:lineRule="auto"/>
              <w:rPr>
                <w:rFonts w:cs="Times New Roman"/>
                <w:szCs w:val="20"/>
              </w:rPr>
            </w:pPr>
            <w:r w:rsidRPr="00F816A8">
              <w:rPr>
                <w:rFonts w:cs="Times New Roman"/>
                <w:szCs w:val="20"/>
              </w:rPr>
              <w:t>United Kingdom</w:t>
            </w:r>
          </w:p>
        </w:tc>
        <w:tc>
          <w:tcPr>
            <w:tcW w:w="5811" w:type="dxa"/>
            <w:tcBorders>
              <w:top w:val="nil"/>
              <w:left w:val="nil"/>
              <w:bottom w:val="nil"/>
              <w:right w:val="nil"/>
            </w:tcBorders>
          </w:tcPr>
          <w:p w14:paraId="421113FB" w14:textId="77777777" w:rsidR="004E65DF" w:rsidRPr="00F816A8" w:rsidRDefault="004E65DF" w:rsidP="00C8335E">
            <w:pPr>
              <w:spacing w:line="240" w:lineRule="auto"/>
              <w:rPr>
                <w:rFonts w:cs="Times New Roman"/>
                <w:szCs w:val="20"/>
              </w:rPr>
            </w:pPr>
            <w:r w:rsidRPr="00F816A8">
              <w:rPr>
                <w:rFonts w:cs="Times New Roman"/>
                <w:szCs w:val="20"/>
              </w:rPr>
              <w:t>NeurOn Cognitive Battery</w:t>
            </w:r>
            <w:r>
              <w:rPr>
                <w:rFonts w:cs="Times New Roman"/>
                <w:szCs w:val="20"/>
              </w:rPr>
              <w:t xml:space="preserve"> (NeurOn)</w:t>
            </w:r>
          </w:p>
        </w:tc>
        <w:tc>
          <w:tcPr>
            <w:tcW w:w="1262" w:type="dxa"/>
            <w:tcBorders>
              <w:top w:val="nil"/>
              <w:left w:val="nil"/>
              <w:bottom w:val="nil"/>
              <w:right w:val="nil"/>
            </w:tcBorders>
          </w:tcPr>
          <w:p w14:paraId="24385E23" w14:textId="77777777" w:rsidR="004E65DF" w:rsidRPr="00F816A8" w:rsidRDefault="004E65DF" w:rsidP="00C8335E">
            <w:pPr>
              <w:spacing w:line="240" w:lineRule="auto"/>
              <w:jc w:val="center"/>
              <w:rPr>
                <w:rFonts w:cs="Times New Roman"/>
                <w:szCs w:val="20"/>
              </w:rPr>
            </w:pPr>
            <w:r w:rsidRPr="00F816A8">
              <w:rPr>
                <w:rFonts w:cs="Times New Roman"/>
                <w:szCs w:val="20"/>
              </w:rPr>
              <w:t>32 (15)</w:t>
            </w:r>
          </w:p>
        </w:tc>
        <w:tc>
          <w:tcPr>
            <w:tcW w:w="1262" w:type="dxa"/>
            <w:tcBorders>
              <w:top w:val="nil"/>
              <w:left w:val="nil"/>
              <w:bottom w:val="nil"/>
              <w:right w:val="nil"/>
            </w:tcBorders>
          </w:tcPr>
          <w:p w14:paraId="21802DB2" w14:textId="77777777" w:rsidR="004E65DF" w:rsidRPr="00F816A8" w:rsidRDefault="004E65DF" w:rsidP="00C8335E">
            <w:pPr>
              <w:spacing w:line="240" w:lineRule="auto"/>
              <w:jc w:val="center"/>
              <w:rPr>
                <w:rFonts w:cs="Times New Roman"/>
                <w:szCs w:val="20"/>
              </w:rPr>
            </w:pPr>
            <w:r w:rsidRPr="00F816A8">
              <w:rPr>
                <w:rFonts w:cs="Times New Roman"/>
                <w:szCs w:val="20"/>
              </w:rPr>
              <w:t>70.2 (4.8)</w:t>
            </w:r>
          </w:p>
        </w:tc>
        <w:tc>
          <w:tcPr>
            <w:tcW w:w="1262" w:type="dxa"/>
            <w:tcBorders>
              <w:top w:val="nil"/>
              <w:left w:val="nil"/>
              <w:bottom w:val="nil"/>
              <w:right w:val="nil"/>
            </w:tcBorders>
          </w:tcPr>
          <w:p w14:paraId="4D65DC5B" w14:textId="77777777" w:rsidR="004E65DF" w:rsidRPr="00F816A8" w:rsidRDefault="004E65DF" w:rsidP="00C8335E">
            <w:pPr>
              <w:spacing w:line="240" w:lineRule="auto"/>
              <w:jc w:val="center"/>
              <w:rPr>
                <w:rFonts w:cs="Times New Roman"/>
                <w:szCs w:val="20"/>
              </w:rPr>
            </w:pPr>
            <w:r w:rsidRPr="00F816A8">
              <w:rPr>
                <w:rFonts w:cs="Times New Roman"/>
                <w:szCs w:val="20"/>
              </w:rPr>
              <w:t>15.9 (3.9)</w:t>
            </w:r>
          </w:p>
        </w:tc>
      </w:tr>
      <w:tr w:rsidR="004E65DF" w:rsidRPr="00F816A8" w14:paraId="4D1AFB90" w14:textId="77777777" w:rsidTr="00C8335E">
        <w:tc>
          <w:tcPr>
            <w:tcW w:w="2694" w:type="dxa"/>
            <w:tcBorders>
              <w:top w:val="nil"/>
              <w:left w:val="nil"/>
              <w:bottom w:val="nil"/>
              <w:right w:val="nil"/>
            </w:tcBorders>
          </w:tcPr>
          <w:p w14:paraId="7F84E6BF"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{"citationID":"Hz2CfUOP","properties":{"formattedCitation":"(Paolillo et al., 2024)","plainCitation":"(Paolillo et al., 2024)","noteIndex":0},"citationItems":[{"id":1229,"uris":["http://zotero.org/users/local/U8bdnYIb/items/S6A5MPG8"],"itemData":{"id":1229,"type":"article-journal","abstract":"Background: Mobile cognitive testing is growing in popularity, with numerous advantages over traditional cognitive testing; however, the field lacks studies that deeply examine mobile cognitive test data from general adult samples. Objective: This study characterized performance for a suite of 8 mobile cognitive tests from the NeuroUX platform in a sample of US adults across the adult lifespan. Methods: Overall, 393 participants completed 8 NeuroUX cognitive tests and a brief ecological momentary assessment survey once per day on their smartphones for 10 consecutive days; each test was administered 5 times over the testing period. The tests tapped the domains of executive function, processing speed, reaction time, recognition memory, and working memory. Participants also completed a poststudy usability feedback survey. We examined alternate form test-retest reliability; practice effects; and associations between scores (averages and intraindividual variability) and demographics as well as test-taking context (ie, smartphone type, being at home vs not at home, and being alone vs not alone). Results: Our final sample consisted of 393 English-speaking US residents (aged 20-79 y; female: n=198, 50.4%). Of the 367 participants who provided responses about their race and ethnicity, 258 (70.3%) were White. Of the 393 participants, 181 (46.1%) were iOS users, and 212 (53.9%) were Android users. Of 12 test scores derived from the 8 tests, 9 (75%) showed good to excellent test-retest reliability (intraclass correlation coefficients &gt;0.76). Practice effects (ie, improvements in performance) were observed for 4 (33%) of the 12 scores. Older age was associated with worse performance on most of the test scores (9/12, 75%) and greater within-person variability for nearly all reaction time scores (3/4, 75%). Relationships with smartphone type showed better performance among iOS users and those with newer Android software versions compared to those with older software. Being at home (vs not at home) was associated with better performance on tests of processing speed. Being alone (vs not alone) was associated with better performance on tests of recognition and working memory. Poststudy feedback indicated that participants found NeuroUX easy to learn and use, an enjoyable experience, and an app that would be helpful in understanding their thinking skills. Only 4.2% (16/379) endorsed privacy concerns, and 77.3% (293/379) reported that they would be willing to share their results with their health care provider. Older age—but not other demographics—was associated with finding the tests more challenging. Conclusions: In a sample of adults across a wide age range, this study characterized features that are particularly important for the interpretation of remote, repeated mobile cognitive testing performance, including test-retest reliability, practice effects, smartphone type, and test-taking context. These data enhance the understanding and application of mobile cognitive testing, paving the way for improved clinical decision-making, personalized interventions, and advancements in cognitive research.","container-title":"Journal of Medical Internet Research","DOI":"10.2196/51978","issue":"1","language":"EN","note":"Company: Journal of Medical Internet Research\nDistributor: Journal of Medical Internet Research\nInstitution: Journal of Medical Internet Research\nLabel: Journal of Medical Internet Research\npublisher: JMIR Publications Inc., Toronto, Canada","page":"e51978","source":"www.jmir.org","title":"Characterizing Performance on a Suite of English-Language NeuroUX Mobile Cognitive Tests in a US Adult Sample: Ecological Momentary Cognitive Testing Study","title-short":"Characterizing Performance on a Suite of English-Language NeuroUX Mobile Cognitive Tests in a US Adult Sample","volume":"26","author":[{"family":"Paolillo","given":"E. W."},{"family":"Bomyea","given":"J."},{"family":"Depp","given":"C. A."},{"family":"Henneghan","given":"A. M."},{"family":"Raj","given":"A."},{"family":"Moore","given":"R. C."}],"issued":{"date-parts":[["2024",11,25]]}}}],"schema":"https://github.com/citation-style-language/schema/raw/master/csl-citation.json"} </w:instrText>
            </w:r>
            <w:r w:rsidRPr="00F816A8">
              <w:rPr>
                <w:rFonts w:cs="Times New Roman"/>
                <w:szCs w:val="20"/>
              </w:rPr>
              <w:fldChar w:fldCharType="separate"/>
            </w:r>
            <w:r w:rsidRPr="00F816A8">
              <w:rPr>
                <w:rFonts w:cs="Times New Roman"/>
              </w:rPr>
              <w:t>(Paolillo et al., 2024)</w:t>
            </w:r>
            <w:r w:rsidRPr="00F816A8">
              <w:rPr>
                <w:rFonts w:cs="Times New Roman"/>
                <w:szCs w:val="20"/>
              </w:rPr>
              <w:fldChar w:fldCharType="end"/>
            </w:r>
          </w:p>
        </w:tc>
        <w:tc>
          <w:tcPr>
            <w:tcW w:w="1701" w:type="dxa"/>
            <w:tcBorders>
              <w:top w:val="nil"/>
              <w:left w:val="nil"/>
              <w:bottom w:val="nil"/>
              <w:right w:val="nil"/>
            </w:tcBorders>
          </w:tcPr>
          <w:p w14:paraId="2895389B" w14:textId="77777777" w:rsidR="004E65DF" w:rsidRPr="00F816A8" w:rsidRDefault="004E65DF" w:rsidP="00C8335E">
            <w:pPr>
              <w:spacing w:line="240" w:lineRule="auto"/>
              <w:rPr>
                <w:rFonts w:cs="Times New Roman"/>
                <w:szCs w:val="20"/>
              </w:rPr>
            </w:pPr>
            <w:r w:rsidRPr="00F816A8">
              <w:rPr>
                <w:rFonts w:cs="Times New Roman"/>
                <w:szCs w:val="20"/>
              </w:rPr>
              <w:t>United States</w:t>
            </w:r>
          </w:p>
        </w:tc>
        <w:tc>
          <w:tcPr>
            <w:tcW w:w="5811" w:type="dxa"/>
            <w:tcBorders>
              <w:top w:val="nil"/>
              <w:left w:val="nil"/>
              <w:bottom w:val="nil"/>
              <w:right w:val="nil"/>
            </w:tcBorders>
          </w:tcPr>
          <w:p w14:paraId="7FA958AA" w14:textId="77777777" w:rsidR="004E65DF" w:rsidRPr="00F816A8" w:rsidRDefault="004E65DF" w:rsidP="00C8335E">
            <w:pPr>
              <w:spacing w:line="240" w:lineRule="auto"/>
              <w:rPr>
                <w:rFonts w:cs="Times New Roman"/>
                <w:szCs w:val="20"/>
              </w:rPr>
            </w:pPr>
            <w:r w:rsidRPr="00F816A8">
              <w:rPr>
                <w:rFonts w:cs="Times New Roman"/>
                <w:szCs w:val="20"/>
              </w:rPr>
              <w:t>NeuroUX Mobile Cognitive Tests</w:t>
            </w:r>
            <w:r>
              <w:rPr>
                <w:rFonts w:cs="Times New Roman"/>
                <w:szCs w:val="20"/>
              </w:rPr>
              <w:t xml:space="preserve"> (NeuroUX)</w:t>
            </w:r>
          </w:p>
        </w:tc>
        <w:tc>
          <w:tcPr>
            <w:tcW w:w="1262" w:type="dxa"/>
            <w:tcBorders>
              <w:top w:val="nil"/>
              <w:left w:val="nil"/>
              <w:bottom w:val="nil"/>
              <w:right w:val="nil"/>
            </w:tcBorders>
          </w:tcPr>
          <w:p w14:paraId="1EBB611B" w14:textId="77777777" w:rsidR="004E65DF" w:rsidRPr="00F816A8" w:rsidRDefault="004E65DF" w:rsidP="00C8335E">
            <w:pPr>
              <w:spacing w:line="240" w:lineRule="auto"/>
              <w:jc w:val="center"/>
              <w:rPr>
                <w:rFonts w:cs="Times New Roman"/>
                <w:szCs w:val="20"/>
              </w:rPr>
            </w:pPr>
            <w:r w:rsidRPr="00F816A8">
              <w:rPr>
                <w:rFonts w:cs="Times New Roman"/>
                <w:szCs w:val="20"/>
              </w:rPr>
              <w:t>393 (198)</w:t>
            </w:r>
          </w:p>
        </w:tc>
        <w:tc>
          <w:tcPr>
            <w:tcW w:w="1262" w:type="dxa"/>
            <w:tcBorders>
              <w:top w:val="nil"/>
              <w:left w:val="nil"/>
              <w:bottom w:val="nil"/>
              <w:right w:val="nil"/>
            </w:tcBorders>
          </w:tcPr>
          <w:p w14:paraId="1588F94A" w14:textId="77777777" w:rsidR="004E65DF" w:rsidRPr="00F816A8" w:rsidRDefault="004E65DF" w:rsidP="00C8335E">
            <w:pPr>
              <w:spacing w:line="240" w:lineRule="auto"/>
              <w:jc w:val="center"/>
              <w:rPr>
                <w:rFonts w:cs="Times New Roman"/>
                <w:szCs w:val="20"/>
              </w:rPr>
            </w:pPr>
            <w:r w:rsidRPr="00F816A8">
              <w:rPr>
                <w:rFonts w:cs="Times New Roman"/>
                <w:szCs w:val="20"/>
              </w:rPr>
              <w:t>44.6 (16.1)</w:t>
            </w:r>
          </w:p>
        </w:tc>
        <w:tc>
          <w:tcPr>
            <w:tcW w:w="1262" w:type="dxa"/>
            <w:tcBorders>
              <w:top w:val="nil"/>
              <w:left w:val="nil"/>
              <w:bottom w:val="nil"/>
              <w:right w:val="nil"/>
            </w:tcBorders>
          </w:tcPr>
          <w:p w14:paraId="42D0535D" w14:textId="77777777" w:rsidR="004E65DF" w:rsidRPr="00F816A8" w:rsidRDefault="004E65DF" w:rsidP="00C8335E">
            <w:pPr>
              <w:spacing w:line="240" w:lineRule="auto"/>
              <w:jc w:val="center"/>
              <w:rPr>
                <w:rFonts w:cs="Times New Roman"/>
                <w:szCs w:val="20"/>
              </w:rPr>
            </w:pPr>
            <w:r w:rsidRPr="00F816A8">
              <w:rPr>
                <w:rFonts w:cs="Times New Roman"/>
                <w:szCs w:val="20"/>
              </w:rPr>
              <w:t>&gt;12 years</w:t>
            </w:r>
          </w:p>
        </w:tc>
      </w:tr>
      <w:tr w:rsidR="004E65DF" w:rsidRPr="00F816A8" w14:paraId="3C57E961" w14:textId="77777777" w:rsidTr="00C8335E">
        <w:tc>
          <w:tcPr>
            <w:tcW w:w="2694" w:type="dxa"/>
            <w:tcBorders>
              <w:top w:val="nil"/>
              <w:left w:val="nil"/>
              <w:bottom w:val="nil"/>
              <w:right w:val="nil"/>
            </w:tcBorders>
          </w:tcPr>
          <w:p w14:paraId="1F31A8EB"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{"citationID":"8lxaEXkK","properties":{"formattedCitation":"(Perzl et al., 2024)","plainCitation":"(Perzl et al., 2024)","noteIndex":0},"citationItems":[{"id":1231,"uris":["http://zotero.org/users/local/U8bdnYIb/items/2FN4XNKW"],"itemData":{"id":1231,"type":"article-journal","abstract":"Mobile devices provide new opportunities to draw conclusions about cognitive performance in everyday situations. To gain insights into cognitive performance patterns in healthy adult populations, we adapted three established cognitive tests for smartphone use: the Digit Symbol Substitution Task (DSST), Sustained Attention to Response Task (SART), and Psychomotor Vigilance Task (PVT). To increase their feasibility for ambulatory assessment, we identified the minimum measurement durations that provide reliable and valid state measures of cognitive performance. Over 2 weeks, 46 participants performed each test once per day at random times, along with self-reports (e.g., on concentration, mood, and mental demands). The validity and reliability of change are promising for the 30-second PVT and 90-second DSST and SART. The DSST and SART provide fruitful outcomes for ambulatory field studies linked to mood, stress, and mental demands. We provide digital versions of the adapted DSST and SART online for free.","container-title":"Assessment","DOI":"10.1177/10731911231213845","ISSN":"1073-1911","issue":"6","journalAbbreviation":"Assessment","language":"EN","note":"publisher: SAGE Publications Inc","page":"1270-1291","source":"SAGE Journals","title":"Measuring Situational Cognitive Performance in the Wild: A Psychometric Evaluation of Three Brief Smartphone-Based Test Procedures","title-short":"Measuring Situational Cognitive Performance in the Wild","volume":"31","author":[{"family":"Perzl","given":"J."},{"family":"Riedl","given":"E. M."},{"family":"Thomas","given":"J."}],"issued":{"date-parts":[["2024",9,1]]}}}],"schema":"https://github.com/citation-style-language/schema/raw/master/csl-citation.json"} </w:instrText>
            </w:r>
            <w:r w:rsidRPr="00F816A8">
              <w:rPr>
                <w:rFonts w:cs="Times New Roman"/>
                <w:szCs w:val="20"/>
              </w:rPr>
              <w:fldChar w:fldCharType="separate"/>
            </w:r>
            <w:r w:rsidRPr="00F816A8">
              <w:rPr>
                <w:rFonts w:cs="Times New Roman"/>
              </w:rPr>
              <w:t>(Perzl et al., 2024)</w:t>
            </w:r>
            <w:r w:rsidRPr="00F816A8">
              <w:rPr>
                <w:rFonts w:cs="Times New Roman"/>
                <w:szCs w:val="20"/>
              </w:rPr>
              <w:fldChar w:fldCharType="end"/>
            </w:r>
          </w:p>
        </w:tc>
        <w:tc>
          <w:tcPr>
            <w:tcW w:w="1701" w:type="dxa"/>
            <w:tcBorders>
              <w:top w:val="nil"/>
              <w:left w:val="nil"/>
              <w:bottom w:val="nil"/>
              <w:right w:val="nil"/>
            </w:tcBorders>
          </w:tcPr>
          <w:p w14:paraId="4F29FE89" w14:textId="77777777" w:rsidR="004E65DF" w:rsidRPr="00F816A8" w:rsidRDefault="004E65DF" w:rsidP="00C8335E">
            <w:pPr>
              <w:spacing w:line="240" w:lineRule="auto"/>
              <w:rPr>
                <w:rFonts w:cs="Times New Roman"/>
                <w:szCs w:val="20"/>
              </w:rPr>
            </w:pPr>
            <w:r w:rsidRPr="00F816A8">
              <w:rPr>
                <w:rFonts w:cs="Times New Roman"/>
                <w:szCs w:val="20"/>
              </w:rPr>
              <w:t>Germany</w:t>
            </w:r>
          </w:p>
        </w:tc>
        <w:tc>
          <w:tcPr>
            <w:tcW w:w="5811" w:type="dxa"/>
            <w:tcBorders>
              <w:top w:val="nil"/>
              <w:left w:val="nil"/>
              <w:bottom w:val="nil"/>
              <w:right w:val="nil"/>
            </w:tcBorders>
          </w:tcPr>
          <w:p w14:paraId="1916AC55" w14:textId="77777777" w:rsidR="004E65DF" w:rsidRPr="00F816A8" w:rsidRDefault="004E65DF" w:rsidP="00C8335E">
            <w:pPr>
              <w:spacing w:line="240" w:lineRule="auto"/>
              <w:rPr>
                <w:rFonts w:cs="Times New Roman"/>
                <w:szCs w:val="20"/>
              </w:rPr>
            </w:pPr>
            <w:r w:rsidRPr="00F816A8">
              <w:rPr>
                <w:rFonts w:cs="Times New Roman"/>
                <w:szCs w:val="20"/>
              </w:rPr>
              <w:t>Digit Symbol Substitution Task (DSST)</w:t>
            </w:r>
          </w:p>
        </w:tc>
        <w:tc>
          <w:tcPr>
            <w:tcW w:w="1262" w:type="dxa"/>
            <w:tcBorders>
              <w:top w:val="nil"/>
              <w:left w:val="nil"/>
              <w:bottom w:val="nil"/>
              <w:right w:val="nil"/>
            </w:tcBorders>
          </w:tcPr>
          <w:p w14:paraId="15DDF533" w14:textId="77777777" w:rsidR="004E65DF" w:rsidRPr="00F816A8" w:rsidRDefault="004E65DF" w:rsidP="00C8335E">
            <w:pPr>
              <w:spacing w:line="240" w:lineRule="auto"/>
              <w:jc w:val="center"/>
              <w:rPr>
                <w:rFonts w:cs="Times New Roman"/>
                <w:szCs w:val="20"/>
              </w:rPr>
            </w:pPr>
            <w:r w:rsidRPr="00F816A8">
              <w:rPr>
                <w:rFonts w:cs="Times New Roman"/>
                <w:szCs w:val="20"/>
              </w:rPr>
              <w:t>46 (40)</w:t>
            </w:r>
          </w:p>
        </w:tc>
        <w:tc>
          <w:tcPr>
            <w:tcW w:w="1262" w:type="dxa"/>
            <w:tcBorders>
              <w:top w:val="nil"/>
              <w:left w:val="nil"/>
              <w:bottom w:val="nil"/>
              <w:right w:val="nil"/>
            </w:tcBorders>
          </w:tcPr>
          <w:p w14:paraId="7F146177" w14:textId="77777777" w:rsidR="004E65DF" w:rsidRPr="00F816A8" w:rsidRDefault="004E65DF" w:rsidP="00C8335E">
            <w:pPr>
              <w:spacing w:line="240" w:lineRule="auto"/>
              <w:jc w:val="center"/>
              <w:rPr>
                <w:rFonts w:cs="Times New Roman"/>
                <w:szCs w:val="20"/>
              </w:rPr>
            </w:pPr>
            <w:r w:rsidRPr="00F816A8">
              <w:rPr>
                <w:rFonts w:cs="Times New Roman"/>
                <w:szCs w:val="20"/>
              </w:rPr>
              <w:t>20.7 (4.0)</w:t>
            </w:r>
          </w:p>
        </w:tc>
        <w:tc>
          <w:tcPr>
            <w:tcW w:w="1262" w:type="dxa"/>
            <w:tcBorders>
              <w:top w:val="nil"/>
              <w:left w:val="nil"/>
              <w:bottom w:val="nil"/>
              <w:right w:val="nil"/>
            </w:tcBorders>
          </w:tcPr>
          <w:p w14:paraId="4BEC1E6C"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3BC65C50" w14:textId="77777777" w:rsidTr="00C8335E">
        <w:tc>
          <w:tcPr>
            <w:tcW w:w="2694" w:type="dxa"/>
            <w:tcBorders>
              <w:top w:val="nil"/>
              <w:left w:val="nil"/>
              <w:bottom w:val="nil"/>
              <w:right w:val="nil"/>
            </w:tcBorders>
          </w:tcPr>
          <w:p w14:paraId="13A10768"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{"citationID":"ztawaGos","properties":{"formattedCitation":"(Toh &amp; Yang, 2024)","plainCitation":"(Toh &amp; Yang, 2024)","noteIndex":0},"citationItems":[{"id":1181,"uris":["http://zotero.org/users/local/U8bdnYIb/items/M2G783UX"],"itemData":{"id":1181,"type":"article-journal","abstract":"Emotion regulation (ER) constitutes strategies that modulate the experience and expression of emotions. While past work has predominantly assumed that ER strategies are consistently adaptive (or maladaptive) across situations, recent research has begun to examine individual-difference factors that are associated with the flexible use of ER strategies in line with contextual demands (i.e., ER flexibility). Theoretical accounts maintain that the choice to use ER strategies in a given context is contingent on individual differences in executive function (EF), which refers to a collection of general-purpose regulatory operations. Based on a comprehensive battery of EF tasks, we investigated how the various EF facets (i.e., common EF, working-memory-specific, and shifting-specific factors) are related to the frequency of maintaining and switching ER strategies in response to stimuli that elicit varying levels of emotional intensity. Results indicated that individuals with higher EF demonstrated a more flexible pattern of ER strategy use across high- and low-intensity conditions. Specifically, better working-memory-specific ability (i.e., manipulating information within a mental workspace) was associated with a greater frequency of reappraisal-to-distraction strategy switching in high-intensity contexts. Furthermore, more proficient common EF (i.e., sustaining relevant goals in the face of competing goals and responses) corresponded to a higher propensity to maintain the use of reappraisal in low-intensity situations. The outcomes of this study offer a first glimpse of the cognitive factors underlying ER flexibility. (PsycInfo Database Record (c) 2024 APA, all rights reserved)","container-title":"Emotion","DOI":"10.1037/emo0001250","ISSN":"1931-1516","issue":"1","note":"publisher-place: US\npublisher: American Psychological Association","page":"52-66","source":"APA PsycNet","title":"To switch or not to switch? Individual differences in executive function and emotion regulation flexibility","title-short":"To switch or not to switch?","volume":"24","author":[{"family":"Toh","given":"Wei Xing"},{"family":"Yang","given":"Hwajin"}],"issued":{"date-parts":[["2024"]]}}}],"schema":"https://github.com/citation-style-language/schema/raw/master/csl-citation.json"} </w:instrText>
            </w:r>
            <w:r w:rsidRPr="00F816A8">
              <w:rPr>
                <w:rFonts w:cs="Times New Roman"/>
                <w:szCs w:val="20"/>
              </w:rPr>
              <w:fldChar w:fldCharType="separate"/>
            </w:r>
            <w:r w:rsidRPr="00F816A8">
              <w:rPr>
                <w:rFonts w:cs="Times New Roman"/>
              </w:rPr>
              <w:t>(Toh &amp; Yang, 2024)</w:t>
            </w:r>
            <w:r w:rsidRPr="00F816A8">
              <w:rPr>
                <w:rFonts w:cs="Times New Roman"/>
                <w:szCs w:val="20"/>
              </w:rPr>
              <w:fldChar w:fldCharType="end"/>
            </w:r>
          </w:p>
        </w:tc>
        <w:tc>
          <w:tcPr>
            <w:tcW w:w="1701" w:type="dxa"/>
            <w:tcBorders>
              <w:top w:val="nil"/>
              <w:left w:val="nil"/>
              <w:bottom w:val="nil"/>
              <w:right w:val="nil"/>
            </w:tcBorders>
          </w:tcPr>
          <w:p w14:paraId="23A5DA1A" w14:textId="77777777" w:rsidR="004E65DF" w:rsidRPr="00F816A8" w:rsidRDefault="004E65DF" w:rsidP="00C8335E">
            <w:pPr>
              <w:spacing w:line="240" w:lineRule="auto"/>
              <w:rPr>
                <w:rFonts w:cs="Times New Roman"/>
                <w:szCs w:val="20"/>
              </w:rPr>
            </w:pPr>
            <w:r w:rsidRPr="00F816A8">
              <w:rPr>
                <w:rFonts w:cs="Times New Roman"/>
                <w:szCs w:val="20"/>
              </w:rPr>
              <w:t>Singapore</w:t>
            </w:r>
          </w:p>
        </w:tc>
        <w:tc>
          <w:tcPr>
            <w:tcW w:w="5811" w:type="dxa"/>
            <w:tcBorders>
              <w:top w:val="nil"/>
              <w:left w:val="nil"/>
              <w:bottom w:val="nil"/>
              <w:right w:val="nil"/>
            </w:tcBorders>
          </w:tcPr>
          <w:p w14:paraId="2CACEF90" w14:textId="77777777" w:rsidR="004E65DF" w:rsidRPr="00F816A8" w:rsidRDefault="004E65DF" w:rsidP="00C8335E">
            <w:pPr>
              <w:spacing w:line="240" w:lineRule="auto"/>
              <w:rPr>
                <w:rFonts w:cs="Times New Roman"/>
                <w:szCs w:val="20"/>
              </w:rPr>
            </w:pPr>
            <w:r w:rsidRPr="00F816A8">
              <w:rPr>
                <w:rFonts w:cs="Times New Roman"/>
                <w:szCs w:val="20"/>
              </w:rPr>
              <w:t>Task-Switching Paradigm</w:t>
            </w:r>
            <w:r>
              <w:rPr>
                <w:rFonts w:cs="Times New Roman"/>
                <w:szCs w:val="20"/>
              </w:rPr>
              <w:t xml:space="preserve"> (TST)</w:t>
            </w:r>
          </w:p>
        </w:tc>
        <w:tc>
          <w:tcPr>
            <w:tcW w:w="1262" w:type="dxa"/>
            <w:tcBorders>
              <w:top w:val="nil"/>
              <w:left w:val="nil"/>
              <w:bottom w:val="nil"/>
              <w:right w:val="nil"/>
            </w:tcBorders>
          </w:tcPr>
          <w:p w14:paraId="016F322C" w14:textId="77777777" w:rsidR="004E65DF" w:rsidRPr="00F816A8" w:rsidRDefault="004E65DF" w:rsidP="00C8335E">
            <w:pPr>
              <w:spacing w:line="240" w:lineRule="auto"/>
              <w:jc w:val="center"/>
              <w:rPr>
                <w:rFonts w:cs="Times New Roman"/>
                <w:szCs w:val="20"/>
              </w:rPr>
            </w:pPr>
            <w:r w:rsidRPr="00F816A8">
              <w:rPr>
                <w:rFonts w:cs="Times New Roman"/>
                <w:szCs w:val="20"/>
              </w:rPr>
              <w:t>208 (147)</w:t>
            </w:r>
          </w:p>
        </w:tc>
        <w:tc>
          <w:tcPr>
            <w:tcW w:w="1262" w:type="dxa"/>
            <w:tcBorders>
              <w:top w:val="nil"/>
              <w:left w:val="nil"/>
              <w:bottom w:val="nil"/>
              <w:right w:val="nil"/>
            </w:tcBorders>
          </w:tcPr>
          <w:p w14:paraId="21E460B5" w14:textId="77777777" w:rsidR="004E65DF" w:rsidRPr="00F816A8" w:rsidRDefault="004E65DF" w:rsidP="00C8335E">
            <w:pPr>
              <w:spacing w:line="240" w:lineRule="auto"/>
              <w:jc w:val="center"/>
              <w:rPr>
                <w:rFonts w:cs="Times New Roman"/>
                <w:szCs w:val="20"/>
              </w:rPr>
            </w:pPr>
            <w:r w:rsidRPr="00F816A8">
              <w:rPr>
                <w:rFonts w:cs="Times New Roman"/>
                <w:szCs w:val="20"/>
              </w:rPr>
              <w:t>22.2 (1.8)</w:t>
            </w:r>
          </w:p>
        </w:tc>
        <w:tc>
          <w:tcPr>
            <w:tcW w:w="1262" w:type="dxa"/>
            <w:tcBorders>
              <w:top w:val="nil"/>
              <w:left w:val="nil"/>
              <w:bottom w:val="nil"/>
              <w:right w:val="nil"/>
            </w:tcBorders>
          </w:tcPr>
          <w:p w14:paraId="515EC55D"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5E7B25B1" w14:textId="77777777" w:rsidTr="00C8335E">
        <w:tc>
          <w:tcPr>
            <w:tcW w:w="2694" w:type="dxa"/>
            <w:tcBorders>
              <w:top w:val="nil"/>
              <w:left w:val="nil"/>
              <w:bottom w:val="nil"/>
              <w:right w:val="nil"/>
            </w:tcBorders>
          </w:tcPr>
          <w:p w14:paraId="43D02ADA"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{"citationID":"LIwFMIbA","properties":{"formattedCitation":"(Zhang et al., 2024)","plainCitation":"(Zhang et al., 2024)","noteIndex":0},"citationItems":[{"id":1237,"uris":["http://zotero.org/users/local/U8bdnYIb/items/WBDHSCLQ"],"itemData":{"id":1237,"type":"article-journal","abstract":"Executive function is vital for normal social, cognitive, and motor functions. Executive function decline due to aging increases the risk of disability and falls in older adults, which has become an urgent public health issue. Fast and convenient neuropsychological tools are thus needed to identify high-risk groups as early as possible to conduct a timely intervention. Card sorting tasks, such as Wisconsin Card Sorting Task (WCST) and its variants, are popular tools for measuring executive function. This study investigated the reliability of an open-source, self-administered, online, short-version card sorting task with a sample of young (n = 107, 65 females, age: M = 30.1 years, SD = 5.5 years) and elderly Chinese (n = 113, 53 females, age: M = 64.0 years, SD = 6.7 years). We developed an automated scoring and visualization procedure following the recent recommendations on scoring perseverative responses to make the results comparable to the standardized WCST. Reliability estimates of commonly used measures were calculated using the split-half method. All task indices' reliabilities were reasonably good in both old and young groups except for \"failure-to-maintain-set.\" Elderly Chinese adults showed compromised task performance on all measures compared with the young Chinese adults at the group level. The R script of automated scoring and estimation of reliability is publicly available.","container-title":"Behavior Research Methods","DOI":"10.3758/s13428-023-02104-6","ISSN":"1554-3528","issue":"2","journalAbbreviation":"Behav Res","language":"en","page":"1039-1051","source":"Springer Link","title":"Split-half reliability estimates of an online card sorting task in a community sample of young and elderly adults","volume":"56","author":[{"family":"Zhang","given":"Z."},{"family":"Yang","given":"L. Z."},{"family":"Vékony","given":"T."},{"family":"Wang","given":"C."},{"family":"Li","given":"H."}],"issued":{"date-parts":[["2024",2,1]]}}}],"schema":"https://github.com/citation-style-language/schema/raw/master/csl-citation.json"} </w:instrText>
            </w:r>
            <w:r w:rsidRPr="00F816A8">
              <w:rPr>
                <w:rFonts w:cs="Times New Roman"/>
                <w:szCs w:val="20"/>
              </w:rPr>
              <w:fldChar w:fldCharType="separate"/>
            </w:r>
            <w:r w:rsidRPr="00F816A8">
              <w:rPr>
                <w:rFonts w:cs="Times New Roman"/>
              </w:rPr>
              <w:t>(Zhang et al., 2024)</w:t>
            </w:r>
            <w:r w:rsidRPr="00F816A8">
              <w:rPr>
                <w:rFonts w:cs="Times New Roman"/>
                <w:szCs w:val="20"/>
              </w:rPr>
              <w:fldChar w:fldCharType="end"/>
            </w:r>
          </w:p>
        </w:tc>
        <w:tc>
          <w:tcPr>
            <w:tcW w:w="1701" w:type="dxa"/>
            <w:tcBorders>
              <w:top w:val="nil"/>
              <w:left w:val="nil"/>
              <w:bottom w:val="nil"/>
              <w:right w:val="nil"/>
            </w:tcBorders>
          </w:tcPr>
          <w:p w14:paraId="2408B31B" w14:textId="77777777" w:rsidR="004E65DF" w:rsidRPr="00F816A8" w:rsidRDefault="004E65DF" w:rsidP="00C8335E">
            <w:pPr>
              <w:spacing w:line="240" w:lineRule="auto"/>
              <w:rPr>
                <w:rFonts w:cs="Times New Roman"/>
                <w:szCs w:val="20"/>
              </w:rPr>
            </w:pPr>
            <w:r w:rsidRPr="00F816A8">
              <w:rPr>
                <w:rFonts w:cs="Times New Roman"/>
                <w:szCs w:val="20"/>
              </w:rPr>
              <w:t>China</w:t>
            </w:r>
          </w:p>
        </w:tc>
        <w:tc>
          <w:tcPr>
            <w:tcW w:w="5811" w:type="dxa"/>
            <w:tcBorders>
              <w:top w:val="nil"/>
              <w:left w:val="nil"/>
              <w:bottom w:val="nil"/>
              <w:right w:val="nil"/>
            </w:tcBorders>
          </w:tcPr>
          <w:p w14:paraId="7CCBD857" w14:textId="77777777" w:rsidR="004E65DF" w:rsidRPr="00F816A8" w:rsidRDefault="004E65DF" w:rsidP="00C8335E">
            <w:pPr>
              <w:spacing w:line="240" w:lineRule="auto"/>
              <w:rPr>
                <w:rFonts w:cs="Times New Roman"/>
                <w:szCs w:val="20"/>
              </w:rPr>
            </w:pPr>
            <w:r w:rsidRPr="00F816A8">
              <w:rPr>
                <w:rFonts w:cs="Times New Roman"/>
                <w:szCs w:val="20"/>
              </w:rPr>
              <w:t>Online Card Sorting Task (OCST)</w:t>
            </w:r>
            <w:r>
              <w:rPr>
                <w:rFonts w:cs="Times New Roman"/>
                <w:szCs w:val="20"/>
              </w:rPr>
              <w:t>.</w:t>
            </w:r>
          </w:p>
        </w:tc>
        <w:tc>
          <w:tcPr>
            <w:tcW w:w="1262" w:type="dxa"/>
            <w:tcBorders>
              <w:top w:val="nil"/>
              <w:left w:val="nil"/>
              <w:bottom w:val="nil"/>
              <w:right w:val="nil"/>
            </w:tcBorders>
          </w:tcPr>
          <w:p w14:paraId="33377106" w14:textId="77777777" w:rsidR="004E65DF" w:rsidRPr="00F816A8" w:rsidRDefault="004E65DF" w:rsidP="00C8335E">
            <w:pPr>
              <w:spacing w:line="240" w:lineRule="auto"/>
              <w:jc w:val="center"/>
              <w:rPr>
                <w:rFonts w:cs="Times New Roman"/>
                <w:szCs w:val="20"/>
              </w:rPr>
            </w:pPr>
            <w:r w:rsidRPr="00F816A8">
              <w:rPr>
                <w:rFonts w:cs="Times New Roman"/>
                <w:szCs w:val="20"/>
              </w:rPr>
              <w:t>107 (65)</w:t>
            </w:r>
          </w:p>
          <w:p w14:paraId="70F7D0EA" w14:textId="77777777" w:rsidR="004E65DF" w:rsidRPr="00F816A8" w:rsidRDefault="004E65DF" w:rsidP="00C8335E">
            <w:pPr>
              <w:spacing w:line="240" w:lineRule="auto"/>
              <w:jc w:val="center"/>
              <w:rPr>
                <w:rFonts w:cs="Times New Roman"/>
                <w:szCs w:val="20"/>
              </w:rPr>
            </w:pPr>
            <w:r w:rsidRPr="00F816A8">
              <w:rPr>
                <w:rFonts w:cs="Times New Roman"/>
                <w:szCs w:val="20"/>
              </w:rPr>
              <w:t>113 (53)</w:t>
            </w:r>
          </w:p>
        </w:tc>
        <w:tc>
          <w:tcPr>
            <w:tcW w:w="1262" w:type="dxa"/>
            <w:tcBorders>
              <w:top w:val="nil"/>
              <w:left w:val="nil"/>
              <w:bottom w:val="nil"/>
              <w:right w:val="nil"/>
            </w:tcBorders>
          </w:tcPr>
          <w:p w14:paraId="6E1683C3" w14:textId="77777777" w:rsidR="004E65DF" w:rsidRPr="00F816A8" w:rsidRDefault="004E65DF" w:rsidP="00C8335E">
            <w:pPr>
              <w:spacing w:line="240" w:lineRule="auto"/>
              <w:jc w:val="center"/>
              <w:rPr>
                <w:rFonts w:cs="Times New Roman"/>
                <w:szCs w:val="20"/>
              </w:rPr>
            </w:pPr>
            <w:r w:rsidRPr="00F816A8">
              <w:rPr>
                <w:rFonts w:cs="Times New Roman"/>
                <w:szCs w:val="20"/>
              </w:rPr>
              <w:t>30.1 (5.5)</w:t>
            </w:r>
          </w:p>
          <w:p w14:paraId="70C9B943" w14:textId="77777777" w:rsidR="004E65DF" w:rsidRPr="00F816A8" w:rsidRDefault="004E65DF" w:rsidP="00C8335E">
            <w:pPr>
              <w:spacing w:line="240" w:lineRule="auto"/>
              <w:jc w:val="center"/>
              <w:rPr>
                <w:rFonts w:cs="Times New Roman"/>
                <w:szCs w:val="20"/>
              </w:rPr>
            </w:pPr>
            <w:r w:rsidRPr="00F816A8">
              <w:rPr>
                <w:rFonts w:cs="Times New Roman"/>
                <w:szCs w:val="20"/>
              </w:rPr>
              <w:t>64.0 (6.7)</w:t>
            </w:r>
          </w:p>
        </w:tc>
        <w:tc>
          <w:tcPr>
            <w:tcW w:w="1262" w:type="dxa"/>
            <w:tcBorders>
              <w:top w:val="nil"/>
              <w:left w:val="nil"/>
              <w:bottom w:val="nil"/>
              <w:right w:val="nil"/>
            </w:tcBorders>
          </w:tcPr>
          <w:p w14:paraId="05D52F10" w14:textId="77777777" w:rsidR="004E65DF" w:rsidRPr="00F816A8" w:rsidRDefault="004E65DF" w:rsidP="00C8335E">
            <w:pPr>
              <w:spacing w:line="240" w:lineRule="auto"/>
              <w:jc w:val="center"/>
              <w:rPr>
                <w:rFonts w:cs="Times New Roman"/>
                <w:szCs w:val="20"/>
              </w:rPr>
            </w:pPr>
          </w:p>
        </w:tc>
      </w:tr>
      <w:tr w:rsidR="004E65DF" w:rsidRPr="00F816A8" w14:paraId="4E52343E" w14:textId="77777777" w:rsidTr="00C8335E">
        <w:tc>
          <w:tcPr>
            <w:tcW w:w="2694" w:type="dxa"/>
            <w:tcBorders>
              <w:top w:val="nil"/>
              <w:left w:val="nil"/>
              <w:bottom w:val="nil"/>
              <w:right w:val="nil"/>
            </w:tcBorders>
          </w:tcPr>
          <w:p w14:paraId="3561EFF0"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{"citationID":"vKfHbVUx","properties":{"formattedCitation":"(Kruger et al., 2023)","plainCitation":"(Kruger et al., 2023)","noteIndex":0},"citationItems":[{"id":120,"uris":["http://zotero.org/users/local/U8bdnYIb/items/6GX95SJZ"],"itemData":{"id":120,"type":"article-journal","abstract":"Objective: Executive functions (EF) are cognitive processes composed of inhibitory control (IC), working memory (WM), and cognitive flexibility (CF), necessary for adaptive, goal-directed behaviors. This study aimed to describe the process of development and present preliminary evidence of validity according to the internal structure and external variables of a self-report scale for assessing EF in adults based on Diamond’s integrative theoretical model. Method: The method involved the development and assessment of the content of the scale items, its application to 484 adults, and an analysis of its relation to the Dysexecutive Questionnaire (DEX). Results: The final version contained 27 items, representing the three components of EF, with a Cronbach’s α of .90 for WM, .79 for IC, and .62 for CF. All of them correlated positively with the total score of the DEX. Conclusions: We concluded that the developed scale based on the current EF model showed satisfactory preliminary evidence. (PsycInfo Database Record (c) 2023 APA, all rights reserved)","archive_location":"rayyan-567636396","container-title":"Psychology &amp; Neuroscience","DOI":"10.1037/pne0000321","ISSN":"1983-3288(Electronic),1984-3054(Print)","note":"publisher-place: Lopes, Fernanda Machado: Department of Psychology, Federal University of Santa Catarina, Engenheiro Agronomo Andrey Cristian Ferreira, 240, Carvoeira, SC, Florianopolis, Brazil, 88036-020, femlopes23@gmail.com US\npublisher: Educational Publishing Foundation","page":"No Pagination Specified-No Pagination Specified","title":"Preliminary validity evidence for the Executive Function Scale for Adults (EFSA).","author":[{"family":"Kruger","given":"Olivia Entrebato"},{"family":"Zibetti","given":"Murilo Ricardo"},{"family":"Schlindwein","given":"Rachel"},{"family":"Lopes","given":"Fernanda Machado"}],"issued":{"date-parts":[["2023"]]}}}],"schema":"https://github.com/citation-style-language/schema/raw/master/csl-citation.json"} </w:instrText>
            </w:r>
            <w:r w:rsidRPr="00F816A8">
              <w:rPr>
                <w:rFonts w:cs="Times New Roman"/>
                <w:szCs w:val="20"/>
              </w:rPr>
              <w:fldChar w:fldCharType="separate"/>
            </w:r>
            <w:r w:rsidRPr="00F816A8">
              <w:rPr>
                <w:rFonts w:cs="Times New Roman"/>
              </w:rPr>
              <w:t>(Kruger et al., 2023)</w:t>
            </w:r>
            <w:r w:rsidRPr="00F816A8">
              <w:rPr>
                <w:rFonts w:cs="Times New Roman"/>
                <w:szCs w:val="20"/>
              </w:rPr>
              <w:fldChar w:fldCharType="end"/>
            </w:r>
          </w:p>
        </w:tc>
        <w:tc>
          <w:tcPr>
            <w:tcW w:w="1701" w:type="dxa"/>
            <w:tcBorders>
              <w:top w:val="nil"/>
              <w:left w:val="nil"/>
              <w:bottom w:val="nil"/>
              <w:right w:val="nil"/>
            </w:tcBorders>
          </w:tcPr>
          <w:p w14:paraId="093E8E9A" w14:textId="77777777" w:rsidR="004E65DF" w:rsidRPr="00F816A8" w:rsidRDefault="004E65DF" w:rsidP="00C8335E">
            <w:pPr>
              <w:spacing w:line="240" w:lineRule="auto"/>
              <w:rPr>
                <w:rFonts w:cs="Times New Roman"/>
                <w:szCs w:val="20"/>
              </w:rPr>
            </w:pPr>
            <w:r w:rsidRPr="00F816A8">
              <w:rPr>
                <w:rFonts w:cs="Times New Roman"/>
                <w:szCs w:val="20"/>
              </w:rPr>
              <w:t>Brazil</w:t>
            </w:r>
          </w:p>
        </w:tc>
        <w:tc>
          <w:tcPr>
            <w:tcW w:w="5811" w:type="dxa"/>
            <w:tcBorders>
              <w:top w:val="nil"/>
              <w:left w:val="nil"/>
              <w:bottom w:val="nil"/>
              <w:right w:val="nil"/>
            </w:tcBorders>
          </w:tcPr>
          <w:p w14:paraId="3FF15734" w14:textId="77777777" w:rsidR="004E65DF" w:rsidRPr="00F816A8" w:rsidRDefault="004E65DF" w:rsidP="00C8335E">
            <w:pPr>
              <w:spacing w:line="240" w:lineRule="auto"/>
              <w:rPr>
                <w:rFonts w:cs="Times New Roman"/>
                <w:szCs w:val="20"/>
              </w:rPr>
            </w:pPr>
            <w:r w:rsidRPr="00F816A8">
              <w:rPr>
                <w:rFonts w:cs="Times New Roman"/>
                <w:szCs w:val="20"/>
              </w:rPr>
              <w:t>Executive Function Scale for Adults (EFSA)</w:t>
            </w:r>
          </w:p>
        </w:tc>
        <w:tc>
          <w:tcPr>
            <w:tcW w:w="1262" w:type="dxa"/>
            <w:tcBorders>
              <w:top w:val="nil"/>
              <w:left w:val="nil"/>
              <w:bottom w:val="nil"/>
              <w:right w:val="nil"/>
            </w:tcBorders>
          </w:tcPr>
          <w:p w14:paraId="28AB34A4" w14:textId="77777777" w:rsidR="004E65DF" w:rsidRPr="00F816A8" w:rsidRDefault="004E65DF" w:rsidP="00C8335E">
            <w:pPr>
              <w:spacing w:line="240" w:lineRule="auto"/>
              <w:jc w:val="center"/>
              <w:rPr>
                <w:rFonts w:cs="Times New Roman"/>
                <w:szCs w:val="20"/>
              </w:rPr>
            </w:pPr>
            <w:r w:rsidRPr="00F816A8">
              <w:rPr>
                <w:rFonts w:cs="Times New Roman"/>
                <w:szCs w:val="20"/>
              </w:rPr>
              <w:t>484 (376)</w:t>
            </w:r>
          </w:p>
        </w:tc>
        <w:tc>
          <w:tcPr>
            <w:tcW w:w="1262" w:type="dxa"/>
            <w:tcBorders>
              <w:top w:val="nil"/>
              <w:left w:val="nil"/>
              <w:bottom w:val="nil"/>
              <w:right w:val="nil"/>
            </w:tcBorders>
          </w:tcPr>
          <w:p w14:paraId="4B0F4DBF" w14:textId="77777777" w:rsidR="004E65DF" w:rsidRPr="00F816A8" w:rsidRDefault="004E65DF" w:rsidP="00C8335E">
            <w:pPr>
              <w:spacing w:line="240" w:lineRule="auto"/>
              <w:jc w:val="center"/>
              <w:rPr>
                <w:rFonts w:cs="Times New Roman"/>
                <w:szCs w:val="20"/>
              </w:rPr>
            </w:pPr>
            <w:r w:rsidRPr="00F816A8">
              <w:rPr>
                <w:rFonts w:cs="Times New Roman"/>
                <w:szCs w:val="20"/>
              </w:rPr>
              <w:t>37.4 (16.4)</w:t>
            </w:r>
          </w:p>
        </w:tc>
        <w:tc>
          <w:tcPr>
            <w:tcW w:w="1262" w:type="dxa"/>
            <w:tcBorders>
              <w:top w:val="nil"/>
              <w:left w:val="nil"/>
              <w:bottom w:val="nil"/>
              <w:right w:val="nil"/>
            </w:tcBorders>
          </w:tcPr>
          <w:p w14:paraId="25266DE2" w14:textId="77777777" w:rsidR="004E65DF" w:rsidRPr="00F816A8" w:rsidRDefault="004E65DF" w:rsidP="00C8335E">
            <w:pPr>
              <w:spacing w:line="240" w:lineRule="auto"/>
              <w:jc w:val="center"/>
              <w:rPr>
                <w:rFonts w:cs="Times New Roman"/>
                <w:szCs w:val="20"/>
              </w:rPr>
            </w:pPr>
            <w:r w:rsidRPr="00F816A8">
              <w:rPr>
                <w:rFonts w:cs="Times New Roman"/>
                <w:szCs w:val="20"/>
              </w:rPr>
              <w:t>&gt;12 years</w:t>
            </w:r>
          </w:p>
        </w:tc>
      </w:tr>
      <w:tr w:rsidR="004E65DF" w:rsidRPr="00F816A8" w14:paraId="72BA5A7F" w14:textId="77777777" w:rsidTr="00C8335E">
        <w:tc>
          <w:tcPr>
            <w:tcW w:w="2694" w:type="dxa"/>
            <w:tcBorders>
              <w:top w:val="nil"/>
              <w:left w:val="nil"/>
              <w:bottom w:val="nil"/>
              <w:right w:val="nil"/>
            </w:tcBorders>
          </w:tcPr>
          <w:p w14:paraId="42AB10C1"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{"citationID":"kpzuuPOi","properties":{"formattedCitation":"(Wang et al., 2023)","plainCitation":"(Wang et al., 2023)","noteIndex":0},"citationItems":[{"id":148,"uris":["http://zotero.org/users/local/U8bdnYIb/items/6CUKUCCV"],"itemData":{"id":148,"type":"article-journal","abstract":"Executive functions (EFs) are essential for daily living activities but decline with age. Convenient assessment and timely intervention have particular significance for older adults. However, the traditional laboratory tasks of EFs are typically monotonous and inconvenient. The current study aimed to develop an interesting and convenient supplementary tool to assess EFs for older adults. According to the theory of EFs, we developed a serious game, FISHERMAN, to assess EFs. The game includes three subgames, Cautious Fisherman, Agile Fisherman, and Wise Fisherman, targeting core components of inhibition, shifting, and working memory, respectively. The current study aims to verify the reliability and validity of the game. One hundred and eight healthy older adults participated in this study and were tested through the FISHERMAN game and a battery of cognitive tests. The results show that the FISHERMAN game has high internal consistency reliability and good construct validity as well as criterion-related validity, suggesting that the game design is valid and can be used in EFs assessment for older adults. Future studies are warranted to establish the norm of the FISHERMAN game in older adults and investigate whether the FISHERMAN game can be generalized to other populations.","archive_location":"rayyan-567636871","container-title":"Assessment","DOI":"10.1177/10731911221105648","ISSN":"1552-3489 (Electronic)","issue":"5","journalAbbreviation":"Assessment","language":"eng","note":"publisher-place: United States","page":"1499-1513","title":"FISHERMAN: A Serious Game for Executive Function Assessment of Older Adults.","volume":"30","author":[{"family":"Wang","given":"P."},{"family":"Fang","given":"Y."},{"family":"Qi","given":"J. Y."},{"family":"Li","given":"H. J."}],"issued":{"date-parts":[["2023"]]}}}],"schema":"https://github.com/citation-style-language/schema/raw/master/csl-citation.json"} </w:instrText>
            </w:r>
            <w:r w:rsidRPr="00F816A8">
              <w:rPr>
                <w:rFonts w:cs="Times New Roman"/>
                <w:szCs w:val="20"/>
              </w:rPr>
              <w:fldChar w:fldCharType="separate"/>
            </w:r>
            <w:r w:rsidRPr="00F816A8">
              <w:rPr>
                <w:rFonts w:cs="Times New Roman"/>
              </w:rPr>
              <w:t>(Wang et al., 2023)</w:t>
            </w:r>
            <w:r w:rsidRPr="00F816A8">
              <w:rPr>
                <w:rFonts w:cs="Times New Roman"/>
                <w:szCs w:val="20"/>
              </w:rPr>
              <w:fldChar w:fldCharType="end"/>
            </w:r>
          </w:p>
        </w:tc>
        <w:tc>
          <w:tcPr>
            <w:tcW w:w="1701" w:type="dxa"/>
            <w:tcBorders>
              <w:top w:val="nil"/>
              <w:left w:val="nil"/>
              <w:bottom w:val="nil"/>
              <w:right w:val="nil"/>
            </w:tcBorders>
          </w:tcPr>
          <w:p w14:paraId="37AE9AF9" w14:textId="77777777" w:rsidR="004E65DF" w:rsidRPr="00F816A8" w:rsidRDefault="004E65DF" w:rsidP="00C8335E">
            <w:pPr>
              <w:spacing w:line="240" w:lineRule="auto"/>
              <w:rPr>
                <w:rFonts w:cs="Times New Roman"/>
                <w:szCs w:val="20"/>
              </w:rPr>
            </w:pPr>
            <w:r w:rsidRPr="00F816A8">
              <w:rPr>
                <w:rFonts w:cs="Times New Roman"/>
                <w:szCs w:val="20"/>
              </w:rPr>
              <w:t>China</w:t>
            </w:r>
          </w:p>
        </w:tc>
        <w:tc>
          <w:tcPr>
            <w:tcW w:w="5811" w:type="dxa"/>
            <w:tcBorders>
              <w:top w:val="nil"/>
              <w:left w:val="nil"/>
              <w:bottom w:val="nil"/>
              <w:right w:val="nil"/>
            </w:tcBorders>
          </w:tcPr>
          <w:p w14:paraId="407C1AA6" w14:textId="77777777" w:rsidR="004E65DF" w:rsidRPr="00F816A8" w:rsidRDefault="004E65DF" w:rsidP="00C8335E">
            <w:pPr>
              <w:spacing w:line="240" w:lineRule="auto"/>
              <w:rPr>
                <w:rFonts w:cs="Times New Roman"/>
                <w:szCs w:val="20"/>
              </w:rPr>
            </w:pPr>
            <w:r w:rsidRPr="00F816A8">
              <w:rPr>
                <w:rFonts w:cs="Times New Roman"/>
                <w:szCs w:val="20"/>
              </w:rPr>
              <w:t>“Fisherman” serious game</w:t>
            </w:r>
            <w:r>
              <w:rPr>
                <w:rFonts w:cs="Times New Roman"/>
                <w:szCs w:val="20"/>
              </w:rPr>
              <w:t xml:space="preserve"> (</w:t>
            </w:r>
            <w:r>
              <w:rPr>
                <w:color w:val="000000"/>
                <w:szCs w:val="20"/>
              </w:rPr>
              <w:t>FISHERMAN)</w:t>
            </w:r>
          </w:p>
        </w:tc>
        <w:tc>
          <w:tcPr>
            <w:tcW w:w="1262" w:type="dxa"/>
            <w:tcBorders>
              <w:top w:val="nil"/>
              <w:left w:val="nil"/>
              <w:bottom w:val="nil"/>
              <w:right w:val="nil"/>
            </w:tcBorders>
          </w:tcPr>
          <w:p w14:paraId="74172420" w14:textId="77777777" w:rsidR="004E65DF" w:rsidRPr="00F816A8" w:rsidRDefault="004E65DF" w:rsidP="00C8335E">
            <w:pPr>
              <w:spacing w:line="240" w:lineRule="auto"/>
              <w:jc w:val="center"/>
              <w:rPr>
                <w:rFonts w:cs="Times New Roman"/>
                <w:szCs w:val="20"/>
              </w:rPr>
            </w:pPr>
            <w:r w:rsidRPr="00F816A8">
              <w:rPr>
                <w:rFonts w:cs="Times New Roman"/>
                <w:szCs w:val="20"/>
              </w:rPr>
              <w:t>108 (73)</w:t>
            </w:r>
          </w:p>
        </w:tc>
        <w:tc>
          <w:tcPr>
            <w:tcW w:w="1262" w:type="dxa"/>
            <w:tcBorders>
              <w:top w:val="nil"/>
              <w:left w:val="nil"/>
              <w:bottom w:val="nil"/>
              <w:right w:val="nil"/>
            </w:tcBorders>
          </w:tcPr>
          <w:p w14:paraId="36D1C6F4" w14:textId="77777777" w:rsidR="004E65DF" w:rsidRPr="00F816A8" w:rsidRDefault="004E65DF" w:rsidP="00C8335E">
            <w:pPr>
              <w:spacing w:line="240" w:lineRule="auto"/>
              <w:jc w:val="center"/>
              <w:rPr>
                <w:rFonts w:cs="Times New Roman"/>
                <w:szCs w:val="20"/>
              </w:rPr>
            </w:pPr>
            <w:r w:rsidRPr="00F816A8">
              <w:rPr>
                <w:rFonts w:cs="Times New Roman"/>
                <w:szCs w:val="20"/>
              </w:rPr>
              <w:t>66.8 (4.1)</w:t>
            </w:r>
          </w:p>
        </w:tc>
        <w:tc>
          <w:tcPr>
            <w:tcW w:w="1262" w:type="dxa"/>
            <w:tcBorders>
              <w:top w:val="nil"/>
              <w:left w:val="nil"/>
              <w:bottom w:val="nil"/>
              <w:right w:val="nil"/>
            </w:tcBorders>
          </w:tcPr>
          <w:p w14:paraId="28CA44B3" w14:textId="77777777" w:rsidR="004E65DF" w:rsidRPr="00F816A8" w:rsidRDefault="004E65DF" w:rsidP="00C8335E">
            <w:pPr>
              <w:spacing w:line="240" w:lineRule="auto"/>
              <w:jc w:val="center"/>
              <w:rPr>
                <w:rFonts w:cs="Times New Roman"/>
                <w:szCs w:val="20"/>
              </w:rPr>
            </w:pPr>
            <w:r w:rsidRPr="00F816A8">
              <w:rPr>
                <w:rFonts w:cs="Times New Roman"/>
                <w:szCs w:val="20"/>
              </w:rPr>
              <w:t>11.9 (2.8)</w:t>
            </w:r>
          </w:p>
        </w:tc>
      </w:tr>
      <w:tr w:rsidR="004E65DF" w:rsidRPr="00F816A8" w14:paraId="65624DDC" w14:textId="77777777" w:rsidTr="00C8335E">
        <w:tc>
          <w:tcPr>
            <w:tcW w:w="2694" w:type="dxa"/>
            <w:tcBorders>
              <w:top w:val="nil"/>
              <w:left w:val="nil"/>
              <w:bottom w:val="nil"/>
              <w:right w:val="nil"/>
            </w:tcBorders>
          </w:tcPr>
          <w:p w14:paraId="722EA14F" w14:textId="77777777" w:rsidR="004E65DF" w:rsidRPr="00F816A8" w:rsidRDefault="004E65DF" w:rsidP="00C8335E">
            <w:pPr>
              <w:spacing w:line="240" w:lineRule="auto"/>
              <w:rPr>
                <w:rFonts w:cs="Times New Roman"/>
                <w:szCs w:val="20"/>
              </w:rPr>
            </w:pPr>
            <w:r w:rsidRPr="00F816A8">
              <w:rPr>
                <w:rFonts w:eastAsia="Calibri" w:cs="Times New Roman"/>
                <w:kern w:val="0"/>
                <w:szCs w:val="20"/>
                <w:lang w:eastAsia="en-GB"/>
                <w14:ligatures w14:val="none"/>
              </w:rPr>
              <w:fldChar w:fldCharType="begin"/>
            </w:r>
            <w:r w:rsidRPr="00F816A8">
              <w:rPr>
                <w:rFonts w:eastAsia="Calibri" w:cs="Times New Roman"/>
                <w:kern w:val="0"/>
                <w:szCs w:val="20"/>
                <w:lang w:eastAsia="en-GB"/>
                <w14:ligatures w14:val="none"/>
              </w:rPr>
              <w:instrText xml:space="preserve"> ADDIN ZOTERO_ITEM CSL_CITATION {"citationID":"pQ9mouBb","properties":{"formattedCitation":"(Arioli et al., 2022)","plainCitation":"(Arioli et al., 2022)","noteIndex":0},"citationItems":[{"id":451,"uris":["http://zotero.org/users/local/U8bdnYIb/items/2AUCE6SP"],"itemData":{"id":451,"type":"article-journal","abstract":"Standardized neuropsychological assessments of older adults are important for both clinical diagnosis and biobehavioral research. Over decades, in-person testing has been the basis for population normative values that rank cognitive performance by demographic status. Most recently, digital tools have enabled remote data collection for cognitive measures, which offers the significant promise to extend the basis for normative values to be more inclusive of a larger cross section of the older population. We developed a Remote Characterization Module (RCM), using a speech-to-text interface, as a novel digital tool to administer an at-home, 25-minute cognitive screener that mimics eight standardized neuropsychological measures. 40 cognitively healthy participants were recruited from a longitudinal aging research cohort, and they performed the same measures of memory, attention, verbal fluency and set-shifting in both in-clinic paper-and-pencil (PAP) and at-home RCM versions. The results showed small differences, if any, for how participants performed on in-person and remote versions in five of eight tasks. Critically, robust correlations between their PAP and RCM scores across participants support the finding that remote, digital testing can provide a reliable assessment tool for rapid and remote screening of healthy older adults’ cognitive performance in several key domains. The implications for digital cognitive screeners are discussed.","container-title":"Frontiers in Aging Neuroscience","DOI":"10.3389/fnagi.2022.907496","ISSN":"1663-4365","journalAbbreviation":"Front. Aging Neurosci.","language":"English","note":"publisher: Frontiers","source":"Frontiers","title":"Validation of At-Home Application of a Digital Cognitive Screener for Older Adults","URL":"https://www.frontiersin.org/articles/10.3389/fnagi.2022.907496","volume":"14","author":[{"family":"Arioli","given":"M."},{"family":"Rini","given":"J."},{"family":"Anguera-Singla","given":"R."},{"family":"Gazzaley","given":"A."},{"family":"Wais","given":"P. E."}],"accessed":{"date-parts":[["2024",3,14]]},"issued":{"date-parts":[["2022",7,1]]}}}],"schema":"https://github.com/citation-style-language/schema/raw/master/csl-citation.json"} </w:instrText>
            </w:r>
            <w:r w:rsidRPr="00F816A8">
              <w:rPr>
                <w:rFonts w:eastAsia="Calibri" w:cs="Times New Roman"/>
                <w:kern w:val="0"/>
                <w:szCs w:val="20"/>
                <w:lang w:eastAsia="en-GB"/>
                <w14:ligatures w14:val="none"/>
              </w:rPr>
              <w:fldChar w:fldCharType="separate"/>
            </w:r>
            <w:r w:rsidRPr="00F816A8">
              <w:rPr>
                <w:rFonts w:cs="Times New Roman"/>
              </w:rPr>
              <w:t>(Arioli et al., 2022)</w:t>
            </w:r>
            <w:r w:rsidRPr="00F816A8">
              <w:rPr>
                <w:rFonts w:eastAsia="Calibri" w:cs="Times New Roman"/>
                <w:kern w:val="0"/>
                <w:szCs w:val="20"/>
                <w:lang w:eastAsia="en-GB"/>
                <w14:ligatures w14:val="none"/>
              </w:rPr>
              <w:fldChar w:fldCharType="end"/>
            </w:r>
          </w:p>
        </w:tc>
        <w:tc>
          <w:tcPr>
            <w:tcW w:w="1701" w:type="dxa"/>
            <w:tcBorders>
              <w:top w:val="nil"/>
              <w:left w:val="nil"/>
              <w:bottom w:val="nil"/>
              <w:right w:val="nil"/>
            </w:tcBorders>
          </w:tcPr>
          <w:p w14:paraId="01EF588D" w14:textId="77777777" w:rsidR="004E65DF" w:rsidRPr="00F816A8" w:rsidRDefault="004E65DF" w:rsidP="00C8335E">
            <w:pPr>
              <w:spacing w:line="240" w:lineRule="auto"/>
              <w:rPr>
                <w:rFonts w:cs="Times New Roman"/>
                <w:szCs w:val="20"/>
              </w:rPr>
            </w:pPr>
            <w:r w:rsidRPr="00F816A8">
              <w:rPr>
                <w:rFonts w:cs="Times New Roman"/>
                <w:szCs w:val="20"/>
              </w:rPr>
              <w:t>United States</w:t>
            </w:r>
          </w:p>
        </w:tc>
        <w:tc>
          <w:tcPr>
            <w:tcW w:w="5811" w:type="dxa"/>
            <w:tcBorders>
              <w:top w:val="nil"/>
              <w:left w:val="nil"/>
              <w:bottom w:val="nil"/>
              <w:right w:val="nil"/>
            </w:tcBorders>
          </w:tcPr>
          <w:p w14:paraId="5624CEA5" w14:textId="77777777" w:rsidR="004E65DF" w:rsidRPr="00F816A8" w:rsidRDefault="004E65DF" w:rsidP="00C8335E">
            <w:pPr>
              <w:spacing w:line="240" w:lineRule="auto"/>
              <w:rPr>
                <w:rFonts w:cs="Times New Roman"/>
                <w:szCs w:val="20"/>
              </w:rPr>
            </w:pPr>
            <w:r w:rsidRPr="00F816A8">
              <w:rPr>
                <w:rFonts w:cs="Times New Roman"/>
                <w:szCs w:val="20"/>
              </w:rPr>
              <w:t>Remote Characterization Module (RCM)</w:t>
            </w:r>
          </w:p>
        </w:tc>
        <w:tc>
          <w:tcPr>
            <w:tcW w:w="1262" w:type="dxa"/>
            <w:tcBorders>
              <w:top w:val="nil"/>
              <w:left w:val="nil"/>
              <w:bottom w:val="nil"/>
              <w:right w:val="nil"/>
            </w:tcBorders>
          </w:tcPr>
          <w:p w14:paraId="5D187D56" w14:textId="77777777" w:rsidR="004E65DF" w:rsidRPr="00F816A8" w:rsidRDefault="004E65DF" w:rsidP="00C8335E">
            <w:pPr>
              <w:spacing w:line="240" w:lineRule="auto"/>
              <w:jc w:val="center"/>
              <w:rPr>
                <w:rFonts w:cs="Times New Roman"/>
                <w:szCs w:val="20"/>
              </w:rPr>
            </w:pPr>
            <w:r w:rsidRPr="00F816A8">
              <w:rPr>
                <w:rFonts w:cs="Times New Roman"/>
                <w:szCs w:val="20"/>
              </w:rPr>
              <w:t>40 (23)</w:t>
            </w:r>
          </w:p>
        </w:tc>
        <w:tc>
          <w:tcPr>
            <w:tcW w:w="1262" w:type="dxa"/>
            <w:tcBorders>
              <w:top w:val="nil"/>
              <w:left w:val="nil"/>
              <w:bottom w:val="nil"/>
              <w:right w:val="nil"/>
            </w:tcBorders>
          </w:tcPr>
          <w:p w14:paraId="0F8D4495" w14:textId="77777777" w:rsidR="004E65DF" w:rsidRPr="00F816A8" w:rsidRDefault="004E65DF" w:rsidP="00C8335E">
            <w:pPr>
              <w:spacing w:line="240" w:lineRule="auto"/>
              <w:jc w:val="center"/>
              <w:rPr>
                <w:rFonts w:cs="Times New Roman"/>
                <w:szCs w:val="20"/>
              </w:rPr>
            </w:pPr>
            <w:r w:rsidRPr="00F816A8">
              <w:rPr>
                <w:rFonts w:cs="Times New Roman"/>
                <w:szCs w:val="20"/>
              </w:rPr>
              <w:t>74.5 (6.5)</w:t>
            </w:r>
          </w:p>
        </w:tc>
        <w:tc>
          <w:tcPr>
            <w:tcW w:w="1262" w:type="dxa"/>
            <w:tcBorders>
              <w:top w:val="nil"/>
              <w:left w:val="nil"/>
              <w:bottom w:val="nil"/>
              <w:right w:val="nil"/>
            </w:tcBorders>
          </w:tcPr>
          <w:p w14:paraId="398CB0AA" w14:textId="77777777" w:rsidR="004E65DF" w:rsidRPr="00F816A8" w:rsidRDefault="004E65DF" w:rsidP="00C8335E">
            <w:pPr>
              <w:spacing w:line="240" w:lineRule="auto"/>
              <w:jc w:val="center"/>
              <w:rPr>
                <w:rFonts w:cs="Times New Roman"/>
                <w:szCs w:val="20"/>
              </w:rPr>
            </w:pPr>
            <w:r w:rsidRPr="00F816A8">
              <w:rPr>
                <w:rFonts w:cs="Times New Roman"/>
                <w:szCs w:val="20"/>
              </w:rPr>
              <w:t>17.3 (1.3)</w:t>
            </w:r>
          </w:p>
        </w:tc>
      </w:tr>
      <w:tr w:rsidR="004E65DF" w:rsidRPr="00F816A8" w14:paraId="7A0BCAB2" w14:textId="77777777" w:rsidTr="00C8335E">
        <w:tc>
          <w:tcPr>
            <w:tcW w:w="2694" w:type="dxa"/>
            <w:tcBorders>
              <w:top w:val="nil"/>
              <w:left w:val="nil"/>
              <w:bottom w:val="nil"/>
              <w:right w:val="nil"/>
            </w:tcBorders>
          </w:tcPr>
          <w:p w14:paraId="0751E48A" w14:textId="77777777" w:rsidR="004E65DF" w:rsidRPr="00F816A8" w:rsidRDefault="004E65DF" w:rsidP="00C8335E">
            <w:pPr>
              <w:spacing w:line="240" w:lineRule="auto"/>
              <w:rPr>
                <w:rFonts w:cs="Times New Roman"/>
                <w:szCs w:val="20"/>
              </w:rPr>
            </w:pPr>
            <w:r w:rsidRPr="00F816A8">
              <w:rPr>
                <w:rFonts w:cs="Times New Roman"/>
                <w:szCs w:val="20"/>
              </w:rPr>
              <w:lastRenderedPageBreak/>
              <w:fldChar w:fldCharType="begin"/>
            </w:r>
            <w:r w:rsidRPr="00F816A8">
              <w:rPr>
                <w:rFonts w:cs="Times New Roman"/>
                <w:szCs w:val="20"/>
              </w:rPr>
              <w:instrText xml:space="preserve"> ADDIN ZOTERO_ITEM CSL_CITATION {"citationID":"GCoUfeuu","properties":{"formattedCitation":"(Karlsen et al., 2022)","plainCitation":"(Karlsen et al., 2022)","noteIndex":0},"citationItems":[{"id":128,"uris":["http://zotero.org/users/local/U8bdnYIb/items/JJ6PLL6T"],"itemData":{"id":128,"type":"article-journal","abstract":"The Cambridge Neuropsychological Test Automated Battery (CANTAB) is a battery of computerized neuropsychological tests commonly used in Europe in neurology and psychiatry studies, including clinical trials. The purpose of this study was to investigate test-retest reliability and to develop reliable change indices and regression-based change formulas for using the CANTAB in research and practice involving repeated measurement. A sample of 75 healthy adults completed nine CANTAB tests, assessing three domains (i.e., visual learning and memory, executive function, and visual attention) twice over a 3-month period. Wilcoxon signed-rank tests showed significant practice effects for 6 of 14 outcome measures with effect sizes ranging from negligible to medium (Hedge’s g: .15–.40; Cliff’s delta: .09–.39). The Spatial Working Memory test, Attention Switching Task, and Rapid Visual Processing test were the only tests with scores of adequate test-retest reliability. For all outcome measures, Pearson’s and Spearman’s correlation coefficients ranged from .39 to .79. The measurement error surrounding difference scores was large, thus requiring large changes in performance (i.e., 1–2 SDs) in order to interpret a change score as reliable. In the regression equations, test scores from initial testing significantly predicted retest scores for all outcome measures. Age was a significant predictor in several of the equations, while education was a significant predictor in only two of the equations. The adjusted R 2 values ranged between .19 and .67. The present study provides results enabling clinicians to make probabilistic statements about change in cognitive functions based on CANTAB test performances. (PsycInfo Database Record (c) 2022 APA, all rights reserved)","archive_location":"rayyan-567636493","container-title":"Applied Neuropsychology: Adult","DOI":"10.1080/23279095.2020.1722126","ISSN":"2327-9109(Electronic),2327-9095(Print)","issue":"2","note":"publisher-place: Skandsen, Toril: Department of Neuromedicine and Movement Science, Norwegian University of Science and Technology, Trondheim, Norway, 7491, toril.skandsen@ntnu.no United Kingdom\npublisher: Taylor &amp; Francis","page":"146-154","title":"Examining 3-month test-retest reliability and reliable change using the Cambridge Neuropsychological Test Automated Battery.","volume":"29","author":[{"family":"Karlsen","given":"Rune H."},{"family":"Karr","given":"Justin E."},{"family":"Saksvik","given":"Simen B."},{"family":"Lundervold","given":"Astri J."},{"family":"Hjemdal","given":"Odin"},{"family":"Olsen","given":"Alexander"},{"family":"Iverson","given":"Grant L."},{"family":"Skandsen","given":"Toril"}],"issued":{"date-parts":[["2022"]]}}}],"schema":"https://github.com/citation-style-language/schema/raw/master/csl-citation.json"} </w:instrText>
            </w:r>
            <w:r w:rsidRPr="00F816A8">
              <w:rPr>
                <w:rFonts w:cs="Times New Roman"/>
                <w:szCs w:val="20"/>
              </w:rPr>
              <w:fldChar w:fldCharType="separate"/>
            </w:r>
            <w:r w:rsidRPr="00F816A8">
              <w:rPr>
                <w:rFonts w:cs="Times New Roman"/>
              </w:rPr>
              <w:t>(Karlsen et al., 2022)</w:t>
            </w:r>
            <w:r w:rsidRPr="00F816A8">
              <w:rPr>
                <w:rFonts w:cs="Times New Roman"/>
                <w:szCs w:val="20"/>
              </w:rPr>
              <w:fldChar w:fldCharType="end"/>
            </w:r>
          </w:p>
        </w:tc>
        <w:tc>
          <w:tcPr>
            <w:tcW w:w="1701" w:type="dxa"/>
            <w:tcBorders>
              <w:top w:val="nil"/>
              <w:left w:val="nil"/>
              <w:bottom w:val="nil"/>
              <w:right w:val="nil"/>
            </w:tcBorders>
          </w:tcPr>
          <w:p w14:paraId="6BB94005" w14:textId="77777777" w:rsidR="004E65DF" w:rsidRPr="00F816A8" w:rsidRDefault="004E65DF" w:rsidP="00C8335E">
            <w:pPr>
              <w:spacing w:line="240" w:lineRule="auto"/>
              <w:rPr>
                <w:rFonts w:cs="Times New Roman"/>
                <w:szCs w:val="20"/>
              </w:rPr>
            </w:pPr>
            <w:r w:rsidRPr="00F816A8">
              <w:rPr>
                <w:rFonts w:cs="Times New Roman"/>
                <w:szCs w:val="20"/>
              </w:rPr>
              <w:t>Norway</w:t>
            </w:r>
          </w:p>
        </w:tc>
        <w:tc>
          <w:tcPr>
            <w:tcW w:w="5811" w:type="dxa"/>
            <w:tcBorders>
              <w:top w:val="nil"/>
              <w:left w:val="nil"/>
              <w:bottom w:val="nil"/>
              <w:right w:val="nil"/>
            </w:tcBorders>
          </w:tcPr>
          <w:p w14:paraId="3CDA015E" w14:textId="77777777" w:rsidR="004E65DF" w:rsidRPr="00F816A8" w:rsidRDefault="004E65DF" w:rsidP="00C8335E">
            <w:pPr>
              <w:spacing w:line="240" w:lineRule="auto"/>
              <w:rPr>
                <w:rFonts w:cs="Times New Roman"/>
                <w:szCs w:val="20"/>
              </w:rPr>
            </w:pPr>
            <w:r w:rsidRPr="00F816A8">
              <w:rPr>
                <w:rFonts w:cs="Times New Roman"/>
                <w:szCs w:val="20"/>
              </w:rPr>
              <w:t>Cambridge Neuropsychological Test Automated Battery (CANTAB)</w:t>
            </w:r>
          </w:p>
        </w:tc>
        <w:tc>
          <w:tcPr>
            <w:tcW w:w="1262" w:type="dxa"/>
            <w:tcBorders>
              <w:top w:val="nil"/>
              <w:left w:val="nil"/>
              <w:bottom w:val="nil"/>
              <w:right w:val="nil"/>
            </w:tcBorders>
          </w:tcPr>
          <w:p w14:paraId="12734F3D" w14:textId="77777777" w:rsidR="004E65DF" w:rsidRPr="00F816A8" w:rsidRDefault="004E65DF" w:rsidP="00C8335E">
            <w:pPr>
              <w:spacing w:line="240" w:lineRule="auto"/>
              <w:jc w:val="center"/>
              <w:rPr>
                <w:rFonts w:cs="Times New Roman"/>
                <w:szCs w:val="20"/>
              </w:rPr>
            </w:pPr>
            <w:r w:rsidRPr="00F816A8">
              <w:rPr>
                <w:rFonts w:cs="Times New Roman"/>
                <w:szCs w:val="20"/>
              </w:rPr>
              <w:t>75 (30)</w:t>
            </w:r>
          </w:p>
        </w:tc>
        <w:tc>
          <w:tcPr>
            <w:tcW w:w="1262" w:type="dxa"/>
            <w:tcBorders>
              <w:top w:val="nil"/>
              <w:left w:val="nil"/>
              <w:bottom w:val="nil"/>
              <w:right w:val="nil"/>
            </w:tcBorders>
          </w:tcPr>
          <w:p w14:paraId="6CB393B3" w14:textId="77777777" w:rsidR="004E65DF" w:rsidRPr="00F816A8" w:rsidRDefault="004E65DF" w:rsidP="00C8335E">
            <w:pPr>
              <w:spacing w:line="240" w:lineRule="auto"/>
              <w:jc w:val="center"/>
              <w:rPr>
                <w:rFonts w:cs="Times New Roman"/>
                <w:szCs w:val="20"/>
              </w:rPr>
            </w:pPr>
            <w:r w:rsidRPr="00F816A8">
              <w:rPr>
                <w:rFonts w:cs="Times New Roman"/>
                <w:szCs w:val="20"/>
              </w:rPr>
              <w:t>32.2 (13.1)</w:t>
            </w:r>
          </w:p>
        </w:tc>
        <w:tc>
          <w:tcPr>
            <w:tcW w:w="1262" w:type="dxa"/>
            <w:tcBorders>
              <w:top w:val="nil"/>
              <w:left w:val="nil"/>
              <w:bottom w:val="nil"/>
              <w:right w:val="nil"/>
            </w:tcBorders>
          </w:tcPr>
          <w:p w14:paraId="4036313D" w14:textId="77777777" w:rsidR="004E65DF" w:rsidRPr="00F816A8" w:rsidRDefault="004E65DF" w:rsidP="00C8335E">
            <w:pPr>
              <w:spacing w:line="240" w:lineRule="auto"/>
              <w:jc w:val="center"/>
              <w:rPr>
                <w:rFonts w:cs="Times New Roman"/>
                <w:szCs w:val="20"/>
              </w:rPr>
            </w:pPr>
            <w:r w:rsidRPr="00F816A8">
              <w:rPr>
                <w:rFonts w:cs="Times New Roman"/>
                <w:szCs w:val="20"/>
              </w:rPr>
              <w:t>14.0 (2.4)</w:t>
            </w:r>
          </w:p>
        </w:tc>
      </w:tr>
      <w:tr w:rsidR="004E65DF" w:rsidRPr="00F816A8" w14:paraId="651AA686" w14:textId="77777777" w:rsidTr="00C8335E">
        <w:tc>
          <w:tcPr>
            <w:tcW w:w="2694" w:type="dxa"/>
            <w:tcBorders>
              <w:top w:val="nil"/>
              <w:left w:val="nil"/>
              <w:bottom w:val="nil"/>
              <w:right w:val="nil"/>
            </w:tcBorders>
          </w:tcPr>
          <w:p w14:paraId="316C1131" w14:textId="77777777" w:rsidR="004E65DF" w:rsidRPr="00F816A8" w:rsidRDefault="004E65DF" w:rsidP="00C8335E">
            <w:pPr>
              <w:spacing w:line="240" w:lineRule="auto"/>
              <w:rPr>
                <w:rFonts w:cs="Times New Roman"/>
                <w:szCs w:val="20"/>
              </w:rPr>
            </w:pPr>
            <w:r w:rsidRPr="00F816A8">
              <w:rPr>
                <w:rFonts w:eastAsia="Calibri" w:cs="Times New Roman"/>
                <w:kern w:val="0"/>
                <w:szCs w:val="20"/>
                <w:lang w:eastAsia="en-GB"/>
                <w14:ligatures w14:val="none"/>
              </w:rPr>
              <w:fldChar w:fldCharType="begin"/>
            </w:r>
            <w:r w:rsidRPr="00F816A8">
              <w:rPr>
                <w:rFonts w:eastAsia="Calibri" w:cs="Times New Roman"/>
                <w:kern w:val="0"/>
                <w:szCs w:val="20"/>
                <w:lang w:eastAsia="en-GB"/>
                <w14:ligatures w14:val="none"/>
              </w:rPr>
              <w:instrText xml:space="preserve"> ADDIN ZOTERO_ITEM CSL_CITATION {"citationID":"URoJzIOk","properties":{"formattedCitation":"(Ott et al., 2022)","plainCitation":"(Ott et al., 2022)","noteIndex":0},"citationItems":[{"id":94,"uris":["http://zotero.org/users/local/U8bdnYIb/items/QJ4DGI52"],"itemData":{"id":94,"type":"article-journal","abstract":"Objective: Previous studies have assessed the construct validity of individual subtests in the National Institutes of Health (NIH) Toolbox Cognition Battery (NIHTB-CB), though none have examined the construct validity of the cognitive domains. Importantly, the original NIHTB-CB validation studies were administered on a desktop computer, though the NIHTB-CB is now solely administered via an iPad. We examined the construct validity of each cognitive domain assessed in the NIHTB-CB, including a motor dexterity domain using the iPad application compared to a neuropsychological battery in a sample of healthy adults. Method: Eighty-three adults aged 20–66 years (M= 44.35 ± 13.41 years) completed the NIHTB-CB and a comprehensive neuropsychological assessment. Domain scores for each of six cognitive domains (attention and executive function, episodic memory, working memory, processing speed, language, and motor dexterity) and the fluid composite were computed for both batteries. We then assessed the construct validity using Pearson correlations and intraclass correlation coefficients (ICCs) for both demographically corrected and uncorrected domains. Results: We found the attention and executive function, episodic memory, and processing speed domains had poor-to-adequate construct validity (ICCConsistency = −0.029 to 0.517), the working memory and motor dexterity domains and the fluid composite had poor-to-good construct validity (ICCConsistency = 0.215–0.801), and the language domain had adequate-to-good construct validity (ICCConsistency = 0.408–0.829). Conclusion: The NIHTB-CB cognitive domains have poor-to-good construct validity, thus researchers should be aware that some tests representing cognitive constructs may not fully reflect the cognitive domain of interest. Future investigation of the construct validity and reliability of the NIHTB-CB administered using the iPad is recommended","archive_location":"rayyan-567635560","container-title":"Neuropsychology","DOI":"10.1037/neu0000813","ISSN":"[\"1931-1559\", \"0894-4105\"]","issue":"5","language":"English","note":"publisher-place: P.E. May, College of Medicine, University of Nebraska Medical Center (UNMC), United States","page":"468-481","title":"Construct Validity of the NIH Toolbox Cognitive Domains: A Comparison With Conventional Neuropsychological Assessments","volume":"36","author":[{"family":"Ott","given":"L.R."},{"family":"Schantell","given":"M."},{"family":"Willett","given":"M.P."},{"family":"Johnson","given":"H.J."},{"family":"Eastman","given":"J.A."},{"family":"Okelberry","given":"H.J."},{"family":"Wilson","given":"T.W."},{"family":"Taylor","given":"B.K."},{"family":"May","given":"P.E."}],"issued":{"date-parts":[["2022"]]}}}],"schema":"https://github.com/citation-style-language/schema/raw/master/csl-citation.json"} </w:instrText>
            </w:r>
            <w:r w:rsidRPr="00F816A8">
              <w:rPr>
                <w:rFonts w:eastAsia="Calibri" w:cs="Times New Roman"/>
                <w:kern w:val="0"/>
                <w:szCs w:val="20"/>
                <w:lang w:eastAsia="en-GB"/>
                <w14:ligatures w14:val="none"/>
              </w:rPr>
              <w:fldChar w:fldCharType="separate"/>
            </w:r>
            <w:r w:rsidRPr="00F816A8">
              <w:rPr>
                <w:rFonts w:cs="Times New Roman"/>
              </w:rPr>
              <w:t>(Ott et al., 2022)</w:t>
            </w:r>
            <w:r w:rsidRPr="00F816A8">
              <w:rPr>
                <w:rFonts w:eastAsia="Calibri" w:cs="Times New Roman"/>
                <w:kern w:val="0"/>
                <w:szCs w:val="20"/>
                <w:lang w:eastAsia="en-GB"/>
                <w14:ligatures w14:val="none"/>
              </w:rPr>
              <w:fldChar w:fldCharType="end"/>
            </w:r>
          </w:p>
        </w:tc>
        <w:tc>
          <w:tcPr>
            <w:tcW w:w="1701" w:type="dxa"/>
            <w:tcBorders>
              <w:top w:val="nil"/>
              <w:left w:val="nil"/>
              <w:bottom w:val="nil"/>
              <w:right w:val="nil"/>
            </w:tcBorders>
          </w:tcPr>
          <w:p w14:paraId="19DC4877" w14:textId="77777777" w:rsidR="004E65DF" w:rsidRPr="00F816A8" w:rsidRDefault="004E65DF" w:rsidP="00C8335E">
            <w:pPr>
              <w:spacing w:line="240" w:lineRule="auto"/>
              <w:rPr>
                <w:rFonts w:cs="Times New Roman"/>
                <w:szCs w:val="20"/>
              </w:rPr>
            </w:pPr>
            <w:r w:rsidRPr="00F816A8">
              <w:rPr>
                <w:rFonts w:cs="Times New Roman"/>
                <w:szCs w:val="20"/>
              </w:rPr>
              <w:t>United States</w:t>
            </w:r>
          </w:p>
        </w:tc>
        <w:tc>
          <w:tcPr>
            <w:tcW w:w="5811" w:type="dxa"/>
            <w:tcBorders>
              <w:top w:val="nil"/>
              <w:left w:val="nil"/>
              <w:bottom w:val="nil"/>
              <w:right w:val="nil"/>
            </w:tcBorders>
          </w:tcPr>
          <w:p w14:paraId="32D4B188" w14:textId="77777777" w:rsidR="004E65DF" w:rsidRPr="00F816A8" w:rsidRDefault="004E65DF" w:rsidP="00C8335E">
            <w:pPr>
              <w:spacing w:line="240" w:lineRule="auto"/>
              <w:rPr>
                <w:rFonts w:cs="Times New Roman"/>
                <w:szCs w:val="20"/>
              </w:rPr>
            </w:pPr>
            <w:r w:rsidRPr="00F816A8">
              <w:rPr>
                <w:rFonts w:cs="Times New Roman"/>
                <w:szCs w:val="20"/>
              </w:rPr>
              <w:t>National Institute of Health Toolbox Cognition Battery (NIHTB-CB)</w:t>
            </w:r>
          </w:p>
        </w:tc>
        <w:tc>
          <w:tcPr>
            <w:tcW w:w="1262" w:type="dxa"/>
            <w:tcBorders>
              <w:top w:val="nil"/>
              <w:left w:val="nil"/>
              <w:bottom w:val="nil"/>
              <w:right w:val="nil"/>
            </w:tcBorders>
          </w:tcPr>
          <w:p w14:paraId="24AB8001" w14:textId="77777777" w:rsidR="004E65DF" w:rsidRPr="00F816A8" w:rsidRDefault="004E65DF" w:rsidP="00C8335E">
            <w:pPr>
              <w:spacing w:line="240" w:lineRule="auto"/>
              <w:jc w:val="center"/>
              <w:rPr>
                <w:rFonts w:cs="Times New Roman"/>
                <w:szCs w:val="20"/>
              </w:rPr>
            </w:pPr>
            <w:r w:rsidRPr="00F816A8">
              <w:rPr>
                <w:rFonts w:cs="Times New Roman"/>
                <w:szCs w:val="20"/>
              </w:rPr>
              <w:t>83 (19)</w:t>
            </w:r>
          </w:p>
        </w:tc>
        <w:tc>
          <w:tcPr>
            <w:tcW w:w="1262" w:type="dxa"/>
            <w:tcBorders>
              <w:top w:val="nil"/>
              <w:left w:val="nil"/>
              <w:bottom w:val="nil"/>
              <w:right w:val="nil"/>
            </w:tcBorders>
          </w:tcPr>
          <w:p w14:paraId="625A78C8" w14:textId="77777777" w:rsidR="004E65DF" w:rsidRPr="00F816A8" w:rsidRDefault="004E65DF" w:rsidP="00C8335E">
            <w:pPr>
              <w:spacing w:line="240" w:lineRule="auto"/>
              <w:jc w:val="center"/>
              <w:rPr>
                <w:rFonts w:cs="Times New Roman"/>
                <w:szCs w:val="20"/>
              </w:rPr>
            </w:pPr>
            <w:r w:rsidRPr="00F816A8">
              <w:rPr>
                <w:rFonts w:cs="Times New Roman"/>
                <w:szCs w:val="20"/>
              </w:rPr>
              <w:t>44.3 (13.4)</w:t>
            </w:r>
          </w:p>
        </w:tc>
        <w:tc>
          <w:tcPr>
            <w:tcW w:w="1262" w:type="dxa"/>
            <w:tcBorders>
              <w:top w:val="nil"/>
              <w:left w:val="nil"/>
              <w:bottom w:val="nil"/>
              <w:right w:val="nil"/>
            </w:tcBorders>
          </w:tcPr>
          <w:p w14:paraId="43D8895E" w14:textId="77777777" w:rsidR="004E65DF" w:rsidRPr="00F816A8" w:rsidRDefault="004E65DF" w:rsidP="00C8335E">
            <w:pPr>
              <w:spacing w:line="240" w:lineRule="auto"/>
              <w:jc w:val="center"/>
              <w:rPr>
                <w:rFonts w:cs="Times New Roman"/>
                <w:szCs w:val="20"/>
              </w:rPr>
            </w:pPr>
            <w:r w:rsidRPr="00F816A8">
              <w:rPr>
                <w:rFonts w:cs="Times New Roman"/>
                <w:szCs w:val="20"/>
              </w:rPr>
              <w:t>16.4 (2.1)</w:t>
            </w:r>
          </w:p>
        </w:tc>
      </w:tr>
      <w:tr w:rsidR="004E65DF" w:rsidRPr="00F816A8" w14:paraId="4FA9BB00" w14:textId="77777777" w:rsidTr="00C8335E">
        <w:tc>
          <w:tcPr>
            <w:tcW w:w="2694" w:type="dxa"/>
            <w:tcBorders>
              <w:top w:val="nil"/>
              <w:left w:val="nil"/>
              <w:bottom w:val="nil"/>
              <w:right w:val="nil"/>
            </w:tcBorders>
          </w:tcPr>
          <w:p w14:paraId="4A73588B" w14:textId="77777777" w:rsidR="004E65DF" w:rsidRPr="00F816A8" w:rsidRDefault="004E65DF" w:rsidP="00C8335E">
            <w:pPr>
              <w:spacing w:line="240" w:lineRule="auto"/>
              <w:rPr>
                <w:rFonts w:cs="Times New Roman"/>
                <w:szCs w:val="20"/>
              </w:rPr>
            </w:pPr>
            <w:r w:rsidRPr="00F816A8">
              <w:rPr>
                <w:rFonts w:eastAsia="Calibri" w:cs="Times New Roman"/>
                <w:kern w:val="0"/>
                <w:szCs w:val="20"/>
                <w:lang w:eastAsia="en-GB"/>
                <w14:ligatures w14:val="none"/>
              </w:rPr>
              <w:fldChar w:fldCharType="begin"/>
            </w:r>
            <w:r w:rsidRPr="00F816A8">
              <w:rPr>
                <w:rFonts w:eastAsia="Calibri" w:cs="Times New Roman"/>
                <w:kern w:val="0"/>
                <w:szCs w:val="20"/>
                <w:lang w:eastAsia="en-GB"/>
                <w14:ligatures w14:val="none"/>
              </w:rPr>
              <w:instrText xml:space="preserve"> ADDIN ZOTERO_ITEM CSL_CITATION {"citationID":"gb6UFC0e","properties":{"formattedCitation":"(Park &amp; Schott, 2022)","plainCitation":"(Park &amp; Schott, 2022)","noteIndex":0},"citationItems":[{"id":154,"uris":["http://zotero.org/users/local/U8bdnYIb/items/WDXVNG5G"],"itemData":{"id":154,"type":"article-journal","abstract":"One of the key challenges in assessing cognitive performance is to detect not only apparent impairment but to also pick up on subtle differences. Computerized tests benefit especially from the acquisition of fine-grained outcome measures. However, the equivalency of paper-based and computerized tests cannot be assumed. The Trail-Making-Test is a paper-pencil cognitive assessment tool (ppTMT) that has been used in many research studies to evaluate visuomotor abilities and mental flexibility. A digital version of the extended TMT (including a condition measuring fine motor speed) called the dTMT has been developed. This study aims to test (1) reliability, (2) equivalence, and (3) agreement of the ppTMT and dTMT. A total of 53 healthy individuals aged 19 to 82 years of age (22 men, 31 women; mean age 42.2, SD = 22.8) completed three trials per ppTMT and dTMT condition. Part M involves following a predefined path, Part A links numbers randomly distributed in space, in ascending order, and Part B alternates between linking numbers and letters. dTMT scores were highly reproducible, correlated strongly with paper-pencil administered durations, and discriminated young from older adults. Measures of reliability, sensitivity, and clinical meaning for dTMT scores were favorable compared with ppTMT-based testing. Our findings support the comparability of TMT-indices in computerized assessments. While many digital biomarker efforts are in progress (e.g., neurodegenerative disorders), the dTMT sets itself apart through its high sensitivity, the alternate forms, and the additional component measures. In this light, it could serve as a starting point for an early diagnostic tool.","archive_location":"rayyan-567636960","container-title":"Applied neuropsychology. Adult","DOI":"10.1080/23279095.2020.1864374","ISSN":"2327-9109 (Electronic)","issue":"5","journalAbbreviation":"Appl Neuropsychol Adult","language":"eng","note":"publisher-place: United States","page":"1208-1220","title":"The trail-making-test: Comparison between paper-and-pencil and computerized versions in young and healthy older adults.","volume":"29","author":[{"family":"Park","given":"S.Y."},{"family":"Schott","given":"N."}],"issued":{"date-parts":[["2022"]]}}}],"schema":"https://github.com/citation-style-language/schema/raw/master/csl-citation.json"} </w:instrText>
            </w:r>
            <w:r w:rsidRPr="00F816A8">
              <w:rPr>
                <w:rFonts w:eastAsia="Calibri" w:cs="Times New Roman"/>
                <w:kern w:val="0"/>
                <w:szCs w:val="20"/>
                <w:lang w:eastAsia="en-GB"/>
                <w14:ligatures w14:val="none"/>
              </w:rPr>
              <w:fldChar w:fldCharType="separate"/>
            </w:r>
            <w:r w:rsidRPr="00F816A8">
              <w:rPr>
                <w:rFonts w:cs="Times New Roman"/>
              </w:rPr>
              <w:t>(Park &amp; Schott, 2022)</w:t>
            </w:r>
            <w:r w:rsidRPr="00F816A8">
              <w:rPr>
                <w:rFonts w:eastAsia="Calibri" w:cs="Times New Roman"/>
                <w:kern w:val="0"/>
                <w:szCs w:val="20"/>
                <w:lang w:eastAsia="en-GB"/>
                <w14:ligatures w14:val="none"/>
              </w:rPr>
              <w:fldChar w:fldCharType="end"/>
            </w:r>
          </w:p>
        </w:tc>
        <w:tc>
          <w:tcPr>
            <w:tcW w:w="1701" w:type="dxa"/>
            <w:tcBorders>
              <w:top w:val="nil"/>
              <w:left w:val="nil"/>
              <w:bottom w:val="nil"/>
              <w:right w:val="nil"/>
            </w:tcBorders>
          </w:tcPr>
          <w:p w14:paraId="46189B9F" w14:textId="77777777" w:rsidR="004E65DF" w:rsidRPr="00F816A8" w:rsidRDefault="004E65DF" w:rsidP="00C8335E">
            <w:pPr>
              <w:spacing w:line="240" w:lineRule="auto"/>
              <w:rPr>
                <w:rFonts w:cs="Times New Roman"/>
                <w:szCs w:val="20"/>
              </w:rPr>
            </w:pPr>
            <w:r w:rsidRPr="00F816A8">
              <w:rPr>
                <w:rFonts w:cs="Times New Roman"/>
                <w:szCs w:val="20"/>
              </w:rPr>
              <w:t>Germany</w:t>
            </w:r>
          </w:p>
        </w:tc>
        <w:tc>
          <w:tcPr>
            <w:tcW w:w="5811" w:type="dxa"/>
            <w:tcBorders>
              <w:top w:val="nil"/>
              <w:left w:val="nil"/>
              <w:bottom w:val="nil"/>
              <w:right w:val="nil"/>
            </w:tcBorders>
          </w:tcPr>
          <w:p w14:paraId="3916F569" w14:textId="77777777" w:rsidR="004E65DF" w:rsidRPr="00F816A8" w:rsidRDefault="004E65DF" w:rsidP="00C8335E">
            <w:pPr>
              <w:spacing w:line="240" w:lineRule="auto"/>
              <w:rPr>
                <w:rFonts w:cs="Times New Roman"/>
                <w:szCs w:val="20"/>
              </w:rPr>
            </w:pPr>
            <w:r w:rsidRPr="00F816A8">
              <w:rPr>
                <w:rFonts w:cs="Times New Roman"/>
                <w:szCs w:val="20"/>
              </w:rPr>
              <w:t>Digital version of the Trail Making Test (dTMT)</w:t>
            </w:r>
          </w:p>
        </w:tc>
        <w:tc>
          <w:tcPr>
            <w:tcW w:w="1262" w:type="dxa"/>
            <w:tcBorders>
              <w:top w:val="nil"/>
              <w:left w:val="nil"/>
              <w:bottom w:val="nil"/>
              <w:right w:val="nil"/>
            </w:tcBorders>
          </w:tcPr>
          <w:p w14:paraId="40D17E08" w14:textId="77777777" w:rsidR="004E65DF" w:rsidRPr="00F816A8" w:rsidRDefault="004E65DF" w:rsidP="00C8335E">
            <w:pPr>
              <w:spacing w:line="240" w:lineRule="auto"/>
              <w:jc w:val="center"/>
              <w:rPr>
                <w:rFonts w:cs="Times New Roman"/>
                <w:szCs w:val="20"/>
              </w:rPr>
            </w:pPr>
            <w:r w:rsidRPr="00F816A8">
              <w:rPr>
                <w:rFonts w:cs="Times New Roman"/>
                <w:szCs w:val="20"/>
              </w:rPr>
              <w:t>53 (31)</w:t>
            </w:r>
          </w:p>
        </w:tc>
        <w:tc>
          <w:tcPr>
            <w:tcW w:w="1262" w:type="dxa"/>
            <w:tcBorders>
              <w:top w:val="nil"/>
              <w:left w:val="nil"/>
              <w:bottom w:val="nil"/>
              <w:right w:val="nil"/>
            </w:tcBorders>
          </w:tcPr>
          <w:p w14:paraId="3FDCDE49" w14:textId="77777777" w:rsidR="004E65DF" w:rsidRPr="00F816A8" w:rsidRDefault="004E65DF" w:rsidP="00C8335E">
            <w:pPr>
              <w:spacing w:line="240" w:lineRule="auto"/>
              <w:jc w:val="center"/>
              <w:rPr>
                <w:rFonts w:cs="Times New Roman"/>
                <w:szCs w:val="20"/>
              </w:rPr>
            </w:pPr>
            <w:r w:rsidRPr="00F816A8">
              <w:rPr>
                <w:rFonts w:cs="Times New Roman"/>
                <w:szCs w:val="20"/>
              </w:rPr>
              <w:t>42.2 (22.8)</w:t>
            </w:r>
          </w:p>
        </w:tc>
        <w:tc>
          <w:tcPr>
            <w:tcW w:w="1262" w:type="dxa"/>
            <w:tcBorders>
              <w:top w:val="nil"/>
              <w:left w:val="nil"/>
              <w:bottom w:val="nil"/>
              <w:right w:val="nil"/>
            </w:tcBorders>
          </w:tcPr>
          <w:p w14:paraId="17486725" w14:textId="77777777" w:rsidR="004E65DF" w:rsidRPr="00F816A8" w:rsidRDefault="004E65DF" w:rsidP="00C8335E">
            <w:pPr>
              <w:spacing w:line="240" w:lineRule="auto"/>
              <w:jc w:val="center"/>
              <w:rPr>
                <w:rFonts w:cs="Times New Roman"/>
                <w:szCs w:val="20"/>
              </w:rPr>
            </w:pPr>
            <w:r w:rsidRPr="00F816A8">
              <w:rPr>
                <w:rFonts w:cs="Times New Roman"/>
                <w:szCs w:val="20"/>
              </w:rPr>
              <w:t>17.7 (4.7)</w:t>
            </w:r>
          </w:p>
        </w:tc>
      </w:tr>
      <w:tr w:rsidR="004E65DF" w:rsidRPr="00F816A8" w14:paraId="1F070F0B" w14:textId="77777777" w:rsidTr="00C8335E">
        <w:tc>
          <w:tcPr>
            <w:tcW w:w="2694" w:type="dxa"/>
            <w:tcBorders>
              <w:top w:val="nil"/>
              <w:left w:val="nil"/>
              <w:bottom w:val="nil"/>
              <w:right w:val="nil"/>
            </w:tcBorders>
          </w:tcPr>
          <w:p w14:paraId="3D77D08F"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{"citationID":"Gbce9nGx","properties":{"formattedCitation":"(Wahyuningrum et al., 2022)","plainCitation":"(Wahyuningrum et al., 2022)","noteIndex":0},"citationItems":[{"id":114,"uris":["http://zotero.org/users/local/U8bdnYIb/items/BZRF4HG5"],"itemData":{"id":114,"type":"article-journal","abstract":"Background: Indonesia lacks standardized and adapted neuropsychological tests, which hampers their use in clinical practice. Recently, an Indonesian Neuropsychological Consortium has initiated the adaptation of ten internationally commonly used tests for use in Indonesia. Here, we report the analyses of the psychometric properties, including preliminary normative data, the reliability, the underlying cognitive constructs, and the effects of age and education on these constructs as validity indicators. Material/Methods: Four hundred ninety healthy adults living on Java Island participated in this study. All subjects completed the Indonesian Neuropsychological Test Battery (INTB) for diagnosis of various cognitive functions. The test-retest reliability was determined in a parallel study with fifty participants. Results: Underlying cognitive constructs were assessed with Principal Component Analysis (PCA) revealed seven constructs that accounted for 62.84% of the total variance, and the goodness of fit of the model was good. ANOVA’s showed significant effects of age on six constructs (i.e., speed of visuospatial information processing, auditory short-term and working memory, speed and inhibitory control, and verbal learning ability). Conclusions: Age effects were not found for executive internal language. All constructs showed effects of education, except for recall and verbal learning ability. Interestingly, as expected, not all constructs showed the same age-dependent decline, and if present, all seem to be unique. It is concluded that the psychometric properties of the INTB justify their usage for the Indonesian population. (PsycInfo Database Record (c) 2023 APA, all rights reserved)","archive_location":"rayyan-567636171","container-title":"Acta Neuropsychologica","DOI":"10.5604/01.3001.0016.1339","ISSN":"2084-4298(Electronic),1730-7503(Print)","issue":"4","note":"publisher-place: Sulastri, Augustina: Psychology Faculty, Soegijapranata Catholic University, Semarang, Indonesia, ag.sulastri@unika.ac.id Poland\npublisher: Agencja Wydawnicza Medsportpress","page":"445-470","title":"The Indonesian Neuropsychological Test Battery (INTB): Psychometric properties, preliminary normative scores, the underlying cognitive constructs, and the effects of age and education.","volume":"20","author":[{"family":"Wahyuningrum","given":"Shinta Estri"},{"family":"Sulastri","given":"Augustina"},{"family":"Hendriks","given":"M. P. H."},{"family":"Luijtelaar","given":"Gilles","non-dropping-particle":"van"}],"issued":{"date-parts":[["2022"]]}}}],"schema":"https://github.com/citation-style-language/schema/raw/master/csl-citation.json"} </w:instrText>
            </w:r>
            <w:r w:rsidRPr="00F816A8">
              <w:rPr>
                <w:rFonts w:cs="Times New Roman"/>
                <w:szCs w:val="20"/>
              </w:rPr>
              <w:fldChar w:fldCharType="separate"/>
            </w:r>
            <w:r w:rsidRPr="00F816A8">
              <w:rPr>
                <w:rFonts w:cs="Times New Roman"/>
              </w:rPr>
              <w:t>(Wahyuningrum et al., 2022)</w:t>
            </w:r>
            <w:r w:rsidRPr="00F816A8">
              <w:rPr>
                <w:rFonts w:cs="Times New Roman"/>
                <w:szCs w:val="20"/>
              </w:rPr>
              <w:fldChar w:fldCharType="end"/>
            </w:r>
          </w:p>
        </w:tc>
        <w:tc>
          <w:tcPr>
            <w:tcW w:w="1701" w:type="dxa"/>
            <w:tcBorders>
              <w:top w:val="nil"/>
              <w:left w:val="nil"/>
              <w:bottom w:val="nil"/>
              <w:right w:val="nil"/>
            </w:tcBorders>
          </w:tcPr>
          <w:p w14:paraId="3888C475" w14:textId="77777777" w:rsidR="004E65DF" w:rsidRPr="00F816A8" w:rsidRDefault="004E65DF" w:rsidP="00C8335E">
            <w:pPr>
              <w:spacing w:line="240" w:lineRule="auto"/>
              <w:rPr>
                <w:rFonts w:cs="Times New Roman"/>
                <w:szCs w:val="20"/>
              </w:rPr>
            </w:pPr>
            <w:r w:rsidRPr="00F816A8">
              <w:rPr>
                <w:rFonts w:cs="Times New Roman"/>
                <w:szCs w:val="20"/>
              </w:rPr>
              <w:t>Indonesian</w:t>
            </w:r>
          </w:p>
        </w:tc>
        <w:tc>
          <w:tcPr>
            <w:tcW w:w="5811" w:type="dxa"/>
            <w:tcBorders>
              <w:top w:val="nil"/>
              <w:left w:val="nil"/>
              <w:bottom w:val="nil"/>
              <w:right w:val="nil"/>
            </w:tcBorders>
          </w:tcPr>
          <w:p w14:paraId="71E5936B" w14:textId="77777777" w:rsidR="004E65DF" w:rsidRPr="00F816A8" w:rsidRDefault="004E65DF" w:rsidP="00C8335E">
            <w:pPr>
              <w:spacing w:line="240" w:lineRule="auto"/>
              <w:rPr>
                <w:rFonts w:cs="Times New Roman"/>
                <w:szCs w:val="20"/>
              </w:rPr>
            </w:pPr>
            <w:r w:rsidRPr="00F816A8">
              <w:rPr>
                <w:rFonts w:cs="Times New Roman"/>
                <w:szCs w:val="20"/>
              </w:rPr>
              <w:t>Indonesian Neuropsychological Test Battery (INTB)</w:t>
            </w:r>
          </w:p>
        </w:tc>
        <w:tc>
          <w:tcPr>
            <w:tcW w:w="1262" w:type="dxa"/>
            <w:tcBorders>
              <w:top w:val="nil"/>
              <w:left w:val="nil"/>
              <w:bottom w:val="nil"/>
              <w:right w:val="nil"/>
            </w:tcBorders>
          </w:tcPr>
          <w:p w14:paraId="0F5564B0" w14:textId="77777777" w:rsidR="004E65DF" w:rsidRPr="00F816A8" w:rsidRDefault="004E65DF" w:rsidP="00C8335E">
            <w:pPr>
              <w:spacing w:line="240" w:lineRule="auto"/>
              <w:jc w:val="center"/>
              <w:rPr>
                <w:rFonts w:cs="Times New Roman"/>
                <w:szCs w:val="20"/>
              </w:rPr>
            </w:pPr>
            <w:r w:rsidRPr="00F816A8">
              <w:rPr>
                <w:rFonts w:cs="Times New Roman"/>
                <w:szCs w:val="20"/>
              </w:rPr>
              <w:t>490 (294)</w:t>
            </w:r>
          </w:p>
        </w:tc>
        <w:tc>
          <w:tcPr>
            <w:tcW w:w="1262" w:type="dxa"/>
            <w:tcBorders>
              <w:top w:val="nil"/>
              <w:left w:val="nil"/>
              <w:bottom w:val="nil"/>
              <w:right w:val="nil"/>
            </w:tcBorders>
          </w:tcPr>
          <w:p w14:paraId="5A046E4E" w14:textId="77777777" w:rsidR="004E65DF" w:rsidRPr="00F816A8" w:rsidRDefault="004E65DF" w:rsidP="00C8335E">
            <w:pPr>
              <w:spacing w:line="240" w:lineRule="auto"/>
              <w:jc w:val="center"/>
              <w:rPr>
                <w:rFonts w:cs="Times New Roman"/>
                <w:szCs w:val="20"/>
              </w:rPr>
            </w:pPr>
            <w:r w:rsidRPr="00F816A8">
              <w:rPr>
                <w:rFonts w:cs="Times New Roman"/>
                <w:szCs w:val="20"/>
              </w:rPr>
              <w:t>16 to 69 y.o.</w:t>
            </w:r>
          </w:p>
        </w:tc>
        <w:tc>
          <w:tcPr>
            <w:tcW w:w="1262" w:type="dxa"/>
            <w:tcBorders>
              <w:top w:val="nil"/>
              <w:left w:val="nil"/>
              <w:bottom w:val="nil"/>
              <w:right w:val="nil"/>
            </w:tcBorders>
          </w:tcPr>
          <w:p w14:paraId="77089347" w14:textId="77777777" w:rsidR="004E65DF" w:rsidRPr="00F816A8" w:rsidRDefault="004E65DF" w:rsidP="00C8335E">
            <w:pPr>
              <w:spacing w:line="240" w:lineRule="auto"/>
              <w:jc w:val="center"/>
              <w:rPr>
                <w:rFonts w:cs="Times New Roman"/>
                <w:szCs w:val="20"/>
              </w:rPr>
            </w:pPr>
            <w:r w:rsidRPr="00F816A8">
              <w:rPr>
                <w:rFonts w:cs="Times New Roman"/>
                <w:szCs w:val="20"/>
              </w:rPr>
              <w:t>14.0 (2.8)</w:t>
            </w:r>
          </w:p>
        </w:tc>
      </w:tr>
      <w:tr w:rsidR="004E65DF" w:rsidRPr="00F816A8" w14:paraId="38CEDF33" w14:textId="77777777" w:rsidTr="00C8335E">
        <w:tc>
          <w:tcPr>
            <w:tcW w:w="2694" w:type="dxa"/>
            <w:tcBorders>
              <w:top w:val="nil"/>
              <w:left w:val="nil"/>
              <w:bottom w:val="nil"/>
              <w:right w:val="nil"/>
            </w:tcBorders>
          </w:tcPr>
          <w:p w14:paraId="6CD8E366"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{"citationID":"AfT8QufQ","properties":{"formattedCitation":"(Feenstra et al., 2018)","plainCitation":"(Feenstra et al., 2018)","noteIndex":0},"citationItems":[{"id":104,"uris":["http://zotero.org/users/local/U8bdnYIb/items/FEQBCRQZ"],"itemData":{"id":104,"type":"article-journal","abstract":"Background: Online tests enable efficient self-administered assessments and consequently facilitate large-scale data collection for many fields of research. The Amsterdam Cognition Scan is a new online neuropsychological test battery that measures a broad variety of cognitive functions. Objective: The aims of this study were to evaluate the psychometric properties of the Amsterdam Cognition Scan and to establish regression-based normative data. Methods: The Amsterdam Cognition Scan was self-administrated twice from home—with an interval of 6 weeks—by 248 healthy Dutch-speaking adults aged 18 to 81 years. Results: Test-retest reliability was moderate to high and comparable with that of equivalent traditional tests (intraclass correlation coefficients: .45 to .80; .83 for the Amsterdam Cognition Scan total score). Multiple regression analyses indicated that (1) participants’ age negatively influenced all (12) cognitive measures, (2) gender was associated with performance on six measures, and (3) education level was positively associated with performance on four measures. In addition, we observed influences of tested computer skills and of self-reported amount of computer use on cognitive performance. Demographic characteristics that proved to influence Amsterdam Cognition Scan test performance were included in regression-based predictive formulas to establish demographically adjusted normative data. Conclusions: Initial results from a healthy adult sample indicate that the Amsterdam Cognition Scan has high usability and can give reliable measures of various generic cognitive ability areas. For future use, the influence of computer skills and experience should be further studied, and for repeated measurements, computer configuration should be consistent. The reported normative data allow for initial interpretation of Amsterdam Cognition Scan performances. (PsycInfo Database Record (c) 2020 APA, all rights reserved)","archive_location":"rayyan-567636109","container-title":"Journal of Medical Internet Research","DOI":"10.2196/jmir.9298","ISSN":"1438-8871(Electronic),1439-4456(Print)","issue":"5","note":"publisher-place: Feenstra, Heleen E. M.: Department of Psychosocial Research and Epidemiology, Netherlands Cancer Institute, Plesmanlaan 121, Amsterdam, Netherlands, 1066 CX, h.feenstra@nki.nl Canada\npublisher: JMIR Publications","title":"Online self-administered cognitive testing using the Amsterdam Cognition Scan: Establishing psychometric properties and normative data.","volume":"20","author":[{"family":"Feenstra","given":"Heleen E. M."},{"family":"Vermeulen","given":"Ivar E."},{"family":"Murre","given":"Jaap M. J."},{"family":"Schagen","given":"Sanne B."}],"issued":{"date-parts":[["2018"]]}}}],"schema":"https://github.com/citation-style-language/schema/raw/master/csl-citation.json"} </w:instrText>
            </w:r>
            <w:r w:rsidRPr="00F816A8">
              <w:rPr>
                <w:rFonts w:cs="Times New Roman"/>
                <w:szCs w:val="20"/>
              </w:rPr>
              <w:fldChar w:fldCharType="separate"/>
            </w:r>
            <w:r w:rsidRPr="00F816A8">
              <w:rPr>
                <w:rFonts w:cs="Times New Roman"/>
              </w:rPr>
              <w:t>(Feenstra et al., 2018)</w:t>
            </w:r>
            <w:r w:rsidRPr="00F816A8">
              <w:rPr>
                <w:rFonts w:cs="Times New Roman"/>
                <w:szCs w:val="20"/>
              </w:rPr>
              <w:fldChar w:fldCharType="end"/>
            </w:r>
          </w:p>
        </w:tc>
        <w:tc>
          <w:tcPr>
            <w:tcW w:w="1701" w:type="dxa"/>
            <w:tcBorders>
              <w:top w:val="nil"/>
              <w:left w:val="nil"/>
              <w:bottom w:val="nil"/>
              <w:right w:val="nil"/>
            </w:tcBorders>
          </w:tcPr>
          <w:p w14:paraId="5798A80E" w14:textId="77777777" w:rsidR="004E65DF" w:rsidRPr="00F816A8" w:rsidRDefault="004E65DF" w:rsidP="00C8335E">
            <w:pPr>
              <w:spacing w:line="240" w:lineRule="auto"/>
              <w:rPr>
                <w:rFonts w:cs="Times New Roman"/>
                <w:szCs w:val="20"/>
              </w:rPr>
            </w:pPr>
            <w:r w:rsidRPr="00F816A8">
              <w:rPr>
                <w:rFonts w:cs="Times New Roman"/>
                <w:szCs w:val="20"/>
              </w:rPr>
              <w:t>Netherlands</w:t>
            </w:r>
          </w:p>
        </w:tc>
        <w:tc>
          <w:tcPr>
            <w:tcW w:w="5811" w:type="dxa"/>
            <w:tcBorders>
              <w:top w:val="nil"/>
              <w:left w:val="nil"/>
              <w:bottom w:val="nil"/>
              <w:right w:val="nil"/>
            </w:tcBorders>
          </w:tcPr>
          <w:p w14:paraId="1673FF6C" w14:textId="77777777" w:rsidR="004E65DF" w:rsidRPr="00F816A8" w:rsidRDefault="004E65DF" w:rsidP="00C8335E">
            <w:pPr>
              <w:spacing w:line="240" w:lineRule="auto"/>
              <w:rPr>
                <w:rFonts w:cs="Times New Roman"/>
                <w:szCs w:val="20"/>
              </w:rPr>
            </w:pPr>
            <w:r w:rsidRPr="00F816A8">
              <w:rPr>
                <w:rFonts w:cs="Times New Roman"/>
                <w:szCs w:val="20"/>
              </w:rPr>
              <w:t>Amsterdam Cognition Scale</w:t>
            </w:r>
            <w:r>
              <w:rPr>
                <w:rFonts w:cs="Times New Roman"/>
                <w:szCs w:val="20"/>
              </w:rPr>
              <w:t xml:space="preserve"> (ACS)</w:t>
            </w:r>
          </w:p>
        </w:tc>
        <w:tc>
          <w:tcPr>
            <w:tcW w:w="1262" w:type="dxa"/>
            <w:tcBorders>
              <w:top w:val="nil"/>
              <w:left w:val="nil"/>
              <w:bottom w:val="nil"/>
              <w:right w:val="nil"/>
            </w:tcBorders>
          </w:tcPr>
          <w:p w14:paraId="7B1AA002" w14:textId="77777777" w:rsidR="004E65DF" w:rsidRPr="00F816A8" w:rsidRDefault="004E65DF" w:rsidP="00C8335E">
            <w:pPr>
              <w:spacing w:line="240" w:lineRule="auto"/>
              <w:jc w:val="center"/>
              <w:rPr>
                <w:rFonts w:cs="Times New Roman"/>
                <w:szCs w:val="20"/>
              </w:rPr>
            </w:pPr>
            <w:r w:rsidRPr="00F816A8">
              <w:rPr>
                <w:rFonts w:cs="Times New Roman"/>
                <w:szCs w:val="20"/>
              </w:rPr>
              <w:t>248 (157)</w:t>
            </w:r>
          </w:p>
        </w:tc>
        <w:tc>
          <w:tcPr>
            <w:tcW w:w="1262" w:type="dxa"/>
            <w:tcBorders>
              <w:top w:val="nil"/>
              <w:left w:val="nil"/>
              <w:bottom w:val="nil"/>
              <w:right w:val="nil"/>
            </w:tcBorders>
          </w:tcPr>
          <w:p w14:paraId="47795B65" w14:textId="77777777" w:rsidR="004E65DF" w:rsidRPr="00F816A8" w:rsidRDefault="004E65DF" w:rsidP="00C8335E">
            <w:pPr>
              <w:spacing w:line="240" w:lineRule="auto"/>
              <w:jc w:val="center"/>
              <w:rPr>
                <w:rFonts w:cs="Times New Roman"/>
                <w:szCs w:val="20"/>
              </w:rPr>
            </w:pPr>
            <w:r w:rsidRPr="00F816A8">
              <w:rPr>
                <w:rFonts w:cs="Times New Roman"/>
                <w:szCs w:val="20"/>
              </w:rPr>
              <w:t>49.1 (12.9)</w:t>
            </w:r>
          </w:p>
        </w:tc>
        <w:tc>
          <w:tcPr>
            <w:tcW w:w="1262" w:type="dxa"/>
            <w:tcBorders>
              <w:top w:val="nil"/>
              <w:left w:val="nil"/>
              <w:bottom w:val="nil"/>
              <w:right w:val="nil"/>
            </w:tcBorders>
          </w:tcPr>
          <w:p w14:paraId="15B41679"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6A85822D" w14:textId="77777777" w:rsidTr="00C8335E">
        <w:tc>
          <w:tcPr>
            <w:tcW w:w="2694" w:type="dxa"/>
            <w:tcBorders>
              <w:top w:val="nil"/>
              <w:left w:val="nil"/>
              <w:bottom w:val="nil"/>
              <w:right w:val="nil"/>
            </w:tcBorders>
          </w:tcPr>
          <w:p w14:paraId="735566B0"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{"citationID":"sV0hh3ql","properties":{"formattedCitation":"(White et al., 2018)","plainCitation":"(White et al., 2018)","noteIndex":0},"citationItems":[{"id":102,"uris":["http://zotero.org/users/local/U8bdnYIb/items/QB5N6397"],"itemData":{"id":102,"type":"article-journal","abstract":"Introduction: Repeated cognitive assessment is frequently required to monitor changes in cognitive functioning in older adults, but studies of repeated computerized testing in this population are scarce. To provide new insight into retest effects this study examined within- and between-day performance shifts and test–retest reliability among healthy older adults for test scores from a computerized cognitive battery. Method: Thirty older men (65–71 years) completed the battery six times. Testing occurred twice on each of three testing days, separated by 1 week. Results: Reaction times (RTs) on tasks intended to measure inhibition (Anti), response switching (Pro/Anti), selective attention (Simon and Flanker), and working memory (2-back) typically showed practice effects, which were most prominent between the first two time points. In most cases, these RTs showed moderate to good test–retest reliability (intraclass correlation coefficient, ICC, range = .34 to .93) with lower reliability between the first two time points. Two-back accuracy rates showed similar results. In contrast, RTs on a basic visuomotor task (Pro) and on compatible trials of the Simon task showed increases at later time points, presumably because of boredom, but demonstrated mostly moderate to good reliability (ICC range = .49 to .83). Scoring metrics from a computerized version of the Corsi Block-Tapping task (intended to measure short-term and working memory) and cost scores (performance differences between two related conditions/tasks) intended to isolate specific cognitive functions tended to show poor reliability (ICC range = –.23 to .62). Conclusions: Most of the RT tasks investigated showed suitability for use in repeated testing among older adults, although longer familiarization periods appear to be warranted in many cases to reduce practice effects and improve initial reliability. However, poor reliability indicated that scoring metrics from the computerized Corsi Block-Tapping task and cost scores are unsuitable for repeated testing. (PsycInfo Database Record (c) 2022 APA, all rights reserved)","archive_location":"rayyan-567636079","container-title":"Journal of Clinical and Experimental Neuropsychology","DOI":"10.1080/13803395.2018.1526888","ISSN":"1744-411X(Electronic),1380-3395(Print)","issue":"2","note":"publisher-place: Machado, Liana: Department of Psychology, University of Otago, William James Building, 275 Leith Walk, Dunedin, New Zealand, 9054, liana@psy.otago.ac.nz United Kingdom\npublisher: Taylor &amp; Francis","page":"179-191","title":"Repeated computerized cognitive testing: Performance shifts and test–retest reliability in healthy older adults.","volume":"41","author":[{"family":"White","given":"Naomi"},{"family":"Flannery","given":"Larnee"},{"family":"McClintock","given":"Alice"},{"family":"Machado","given":"Liana"}],"issued":{"date-parts":[["2018"]]}}}],"schema":"https://github.com/citation-style-language/schema/raw/master/csl-citation.json"} </w:instrText>
            </w:r>
            <w:r w:rsidRPr="00F816A8">
              <w:rPr>
                <w:rFonts w:cs="Times New Roman"/>
                <w:szCs w:val="20"/>
              </w:rPr>
              <w:fldChar w:fldCharType="separate"/>
            </w:r>
            <w:r w:rsidRPr="00F816A8">
              <w:rPr>
                <w:rFonts w:cs="Times New Roman"/>
              </w:rPr>
              <w:t>(White et al., 2018)</w:t>
            </w:r>
            <w:r w:rsidRPr="00F816A8">
              <w:rPr>
                <w:rFonts w:cs="Times New Roman"/>
                <w:szCs w:val="20"/>
              </w:rPr>
              <w:fldChar w:fldCharType="end"/>
            </w:r>
          </w:p>
        </w:tc>
        <w:tc>
          <w:tcPr>
            <w:tcW w:w="1701" w:type="dxa"/>
            <w:tcBorders>
              <w:top w:val="nil"/>
              <w:left w:val="nil"/>
              <w:bottom w:val="nil"/>
              <w:right w:val="nil"/>
            </w:tcBorders>
          </w:tcPr>
          <w:p w14:paraId="2E5172DD" w14:textId="77777777" w:rsidR="004E65DF" w:rsidRPr="00F816A8" w:rsidRDefault="004E65DF" w:rsidP="00C8335E">
            <w:pPr>
              <w:spacing w:line="240" w:lineRule="auto"/>
              <w:rPr>
                <w:rFonts w:cs="Times New Roman"/>
                <w:szCs w:val="20"/>
              </w:rPr>
            </w:pPr>
            <w:r w:rsidRPr="00F816A8">
              <w:rPr>
                <w:rFonts w:cs="Times New Roman"/>
                <w:szCs w:val="20"/>
              </w:rPr>
              <w:t>New Zealand</w:t>
            </w:r>
          </w:p>
        </w:tc>
        <w:tc>
          <w:tcPr>
            <w:tcW w:w="5811" w:type="dxa"/>
            <w:tcBorders>
              <w:top w:val="nil"/>
              <w:left w:val="nil"/>
              <w:bottom w:val="nil"/>
              <w:right w:val="nil"/>
            </w:tcBorders>
          </w:tcPr>
          <w:p w14:paraId="05B044C2" w14:textId="77777777" w:rsidR="004E65DF" w:rsidRPr="00F816A8" w:rsidRDefault="004E65DF" w:rsidP="00C8335E">
            <w:pPr>
              <w:spacing w:line="240" w:lineRule="auto"/>
              <w:rPr>
                <w:rFonts w:cs="Times New Roman"/>
                <w:szCs w:val="20"/>
              </w:rPr>
            </w:pPr>
            <w:r w:rsidRPr="00F816A8">
              <w:rPr>
                <w:rFonts w:cs="Times New Roman"/>
                <w:szCs w:val="20"/>
              </w:rPr>
              <w:t>Cognitive Test Battery (Set 1)</w:t>
            </w:r>
          </w:p>
        </w:tc>
        <w:tc>
          <w:tcPr>
            <w:tcW w:w="1262" w:type="dxa"/>
            <w:tcBorders>
              <w:top w:val="nil"/>
              <w:left w:val="nil"/>
              <w:bottom w:val="nil"/>
              <w:right w:val="nil"/>
            </w:tcBorders>
          </w:tcPr>
          <w:p w14:paraId="564A69FE" w14:textId="77777777" w:rsidR="004E65DF" w:rsidRPr="00F816A8" w:rsidRDefault="004E65DF" w:rsidP="00C8335E">
            <w:pPr>
              <w:spacing w:line="240" w:lineRule="auto"/>
              <w:jc w:val="center"/>
              <w:rPr>
                <w:rFonts w:cs="Times New Roman"/>
                <w:szCs w:val="20"/>
              </w:rPr>
            </w:pPr>
            <w:r w:rsidRPr="00F816A8">
              <w:rPr>
                <w:rFonts w:cs="Times New Roman"/>
                <w:szCs w:val="20"/>
              </w:rPr>
              <w:t>30 (0)</w:t>
            </w:r>
          </w:p>
        </w:tc>
        <w:tc>
          <w:tcPr>
            <w:tcW w:w="1262" w:type="dxa"/>
            <w:tcBorders>
              <w:top w:val="nil"/>
              <w:left w:val="nil"/>
              <w:bottom w:val="nil"/>
              <w:right w:val="nil"/>
            </w:tcBorders>
          </w:tcPr>
          <w:p w14:paraId="7FD112DB" w14:textId="77777777" w:rsidR="004E65DF" w:rsidRPr="00F816A8" w:rsidRDefault="004E65DF" w:rsidP="00C8335E">
            <w:pPr>
              <w:spacing w:line="240" w:lineRule="auto"/>
              <w:jc w:val="center"/>
              <w:rPr>
                <w:rFonts w:cs="Times New Roman"/>
                <w:szCs w:val="20"/>
              </w:rPr>
            </w:pPr>
            <w:r w:rsidRPr="00F816A8">
              <w:rPr>
                <w:rFonts w:cs="Times New Roman"/>
                <w:szCs w:val="20"/>
              </w:rPr>
              <w:t>68.1 (1.7)</w:t>
            </w:r>
          </w:p>
        </w:tc>
        <w:tc>
          <w:tcPr>
            <w:tcW w:w="1262" w:type="dxa"/>
            <w:tcBorders>
              <w:top w:val="nil"/>
              <w:left w:val="nil"/>
              <w:bottom w:val="nil"/>
              <w:right w:val="nil"/>
            </w:tcBorders>
          </w:tcPr>
          <w:p w14:paraId="12CD56BE"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185F4780" w14:textId="77777777" w:rsidTr="00C8335E">
        <w:tc>
          <w:tcPr>
            <w:tcW w:w="2694" w:type="dxa"/>
            <w:tcBorders>
              <w:top w:val="nil"/>
              <w:left w:val="nil"/>
              <w:bottom w:val="nil"/>
              <w:right w:val="nil"/>
            </w:tcBorders>
          </w:tcPr>
          <w:p w14:paraId="1EDFD94F"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{"citationID":"7WMlsQ44","properties":{"formattedCitation":"(Parsons &amp; Barnett, 2018)","plainCitation":"(Parsons &amp; Barnett, 2018)","dontUpdate":true,"noteIndex":0},"citationItems":[{"id":98,"uris":["http://zotero.org/users/local/U8bdnYIb/items/PTAJX74L"],"itemData":{"id":98,"type":"article-journal","archive_location":"rayyan-567635679","container-title":"JOURNAL OF NEUROSCIENCE METHODS","DOI":"10.1016/j.jneumeth.2018.08.022","ISSN":"[\"0165-0270\", \"1872-678X\"]","page":"35-40","title":"Virtual apartment stroop task: Comparison with computerized and traditional stroop tasks","volume":"309","author":[{"family":"Parsons","given":"TD"},{"family":"Barnett","given":"MD"}],"issued":{"date-parts":[["2017"]]}}}],"schema":"https://github.com/citation-style-language/schema/raw/master/csl-citation.json"} </w:instrText>
            </w:r>
            <w:r w:rsidRPr="00F816A8">
              <w:rPr>
                <w:rFonts w:cs="Times New Roman"/>
                <w:szCs w:val="20"/>
              </w:rPr>
              <w:fldChar w:fldCharType="separate"/>
            </w:r>
            <w:r w:rsidRPr="00F816A8">
              <w:rPr>
                <w:rFonts w:cs="Times New Roman"/>
              </w:rPr>
              <w:t>(Parsons &amp; Barnett, 2017)</w:t>
            </w:r>
            <w:r w:rsidRPr="00F816A8">
              <w:rPr>
                <w:rFonts w:cs="Times New Roman"/>
                <w:szCs w:val="20"/>
              </w:rPr>
              <w:fldChar w:fldCharType="end"/>
            </w:r>
          </w:p>
        </w:tc>
        <w:tc>
          <w:tcPr>
            <w:tcW w:w="1701" w:type="dxa"/>
            <w:tcBorders>
              <w:top w:val="nil"/>
              <w:left w:val="nil"/>
              <w:bottom w:val="nil"/>
              <w:right w:val="nil"/>
            </w:tcBorders>
          </w:tcPr>
          <w:p w14:paraId="0CA060D4" w14:textId="77777777" w:rsidR="004E65DF" w:rsidRPr="00F816A8" w:rsidRDefault="004E65DF" w:rsidP="00C8335E">
            <w:pPr>
              <w:spacing w:line="240" w:lineRule="auto"/>
              <w:rPr>
                <w:rFonts w:cs="Times New Roman"/>
                <w:szCs w:val="20"/>
              </w:rPr>
            </w:pPr>
            <w:r w:rsidRPr="00F816A8">
              <w:rPr>
                <w:rFonts w:cs="Times New Roman"/>
                <w:szCs w:val="20"/>
              </w:rPr>
              <w:t>United States</w:t>
            </w:r>
          </w:p>
        </w:tc>
        <w:tc>
          <w:tcPr>
            <w:tcW w:w="5811" w:type="dxa"/>
            <w:tcBorders>
              <w:top w:val="nil"/>
              <w:left w:val="nil"/>
              <w:bottom w:val="nil"/>
              <w:right w:val="nil"/>
            </w:tcBorders>
          </w:tcPr>
          <w:p w14:paraId="7FAF502C" w14:textId="77777777" w:rsidR="004E65DF" w:rsidRPr="00F816A8" w:rsidRDefault="004E65DF" w:rsidP="00C8335E">
            <w:pPr>
              <w:spacing w:line="240" w:lineRule="auto"/>
              <w:rPr>
                <w:rFonts w:cs="Times New Roman"/>
                <w:szCs w:val="20"/>
              </w:rPr>
            </w:pPr>
            <w:r w:rsidRPr="00F816A8">
              <w:rPr>
                <w:rFonts w:cs="Times New Roman"/>
                <w:szCs w:val="20"/>
              </w:rPr>
              <w:t>Virtual apartment-based Stroop test</w:t>
            </w:r>
            <w:r>
              <w:rPr>
                <w:rFonts w:cs="Times New Roman"/>
                <w:szCs w:val="20"/>
              </w:rPr>
              <w:t xml:space="preserve"> (VAST)</w:t>
            </w:r>
          </w:p>
        </w:tc>
        <w:tc>
          <w:tcPr>
            <w:tcW w:w="1262" w:type="dxa"/>
            <w:tcBorders>
              <w:top w:val="nil"/>
              <w:left w:val="nil"/>
              <w:bottom w:val="nil"/>
              <w:right w:val="nil"/>
            </w:tcBorders>
          </w:tcPr>
          <w:p w14:paraId="03A399CE" w14:textId="77777777" w:rsidR="004E65DF" w:rsidRPr="00F816A8" w:rsidRDefault="004E65DF" w:rsidP="00C8335E">
            <w:pPr>
              <w:spacing w:line="240" w:lineRule="auto"/>
              <w:jc w:val="center"/>
              <w:rPr>
                <w:rFonts w:cs="Times New Roman"/>
                <w:szCs w:val="20"/>
              </w:rPr>
            </w:pPr>
            <w:r w:rsidRPr="00F816A8">
              <w:rPr>
                <w:rFonts w:cs="Times New Roman"/>
                <w:szCs w:val="20"/>
              </w:rPr>
              <w:t>89 (72)</w:t>
            </w:r>
          </w:p>
        </w:tc>
        <w:tc>
          <w:tcPr>
            <w:tcW w:w="1262" w:type="dxa"/>
            <w:tcBorders>
              <w:top w:val="nil"/>
              <w:left w:val="nil"/>
              <w:bottom w:val="nil"/>
              <w:right w:val="nil"/>
            </w:tcBorders>
          </w:tcPr>
          <w:p w14:paraId="36502404" w14:textId="77777777" w:rsidR="004E65DF" w:rsidRPr="00F816A8" w:rsidRDefault="004E65DF" w:rsidP="00C8335E">
            <w:pPr>
              <w:spacing w:line="240" w:lineRule="auto"/>
              <w:jc w:val="center"/>
              <w:rPr>
                <w:rFonts w:cs="Times New Roman"/>
                <w:szCs w:val="20"/>
              </w:rPr>
            </w:pPr>
            <w:r w:rsidRPr="00F816A8">
              <w:rPr>
                <w:rFonts w:cs="Times New Roman"/>
                <w:szCs w:val="20"/>
              </w:rPr>
              <w:t>44.2 (28.1)</w:t>
            </w:r>
          </w:p>
        </w:tc>
        <w:tc>
          <w:tcPr>
            <w:tcW w:w="1262" w:type="dxa"/>
            <w:tcBorders>
              <w:top w:val="nil"/>
              <w:left w:val="nil"/>
              <w:bottom w:val="nil"/>
              <w:right w:val="nil"/>
            </w:tcBorders>
          </w:tcPr>
          <w:p w14:paraId="3B827F6D"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1D41E1D3" w14:textId="77777777" w:rsidTr="00C8335E">
        <w:tc>
          <w:tcPr>
            <w:tcW w:w="2694" w:type="dxa"/>
            <w:tcBorders>
              <w:top w:val="nil"/>
              <w:left w:val="nil"/>
              <w:bottom w:val="nil"/>
              <w:right w:val="nil"/>
            </w:tcBorders>
          </w:tcPr>
          <w:p w14:paraId="1A46B73E" w14:textId="77777777" w:rsidR="004E65DF" w:rsidRPr="00F816A8" w:rsidRDefault="004E65DF" w:rsidP="00C8335E">
            <w:pPr>
              <w:spacing w:line="240" w:lineRule="auto"/>
              <w:rPr>
                <w:rFonts w:cs="Times New Roman"/>
                <w:szCs w:val="20"/>
              </w:rPr>
            </w:pPr>
            <w:r w:rsidRPr="00F816A8">
              <w:rPr>
                <w:rFonts w:eastAsia="Calibri" w:cs="Times New Roman"/>
                <w:kern w:val="0"/>
                <w:szCs w:val="20"/>
                <w:lang w:eastAsia="en-GB"/>
                <w14:ligatures w14:val="none"/>
              </w:rPr>
              <w:fldChar w:fldCharType="begin"/>
            </w:r>
            <w:r w:rsidRPr="00F816A8">
              <w:rPr>
                <w:rFonts w:eastAsia="Calibri" w:cs="Times New Roman"/>
                <w:kern w:val="0"/>
                <w:szCs w:val="20"/>
                <w:lang w:eastAsia="en-GB"/>
                <w14:ligatures w14:val="none"/>
              </w:rPr>
              <w:instrText xml:space="preserve"> ADDIN ZOTERO_ITEM CSL_CITATION {"citationID":"Bh0kSEhl","properties":{"formattedCitation":"(Rijnen et al., 2018)","plainCitation":"(Rijnen et al., 2018)","noteIndex":0},"citationItems":[{"id":124,"uris":["http://zotero.org/users/local/U8bdnYIb/items/U9YDS8GF"],"itemData":{"id":124,"type":"article-journal","abstract":"This study examined test-retest reliabilities and (predictors of) practice effects of the widely used computerized neuropsychological battery CNS Vital Signs. The sample consisted of 158 Dutch healthy adults. At 3 and 12 months follow-up, 131 and 77 participants were retested. Results revealed low to high test–retest reliability coefficients for CNS VS’ test and domain scores. Participants scored significantly higher on the domains of Cognitive Flexibility, Processing Speed, and Reaction Time at the 3-month retest. No significant differences in performance were found over the second interval. Age, education, and retest-interval were not significantly associated with practice effects. These results highlight the need for methods that evaluate performance over time while accounting for imperfect test-retest reliabilities and practice effects. We provided RCI-formulae for determining reliable change, which may be possible solution for future work facing the methodological issues of retesting. (PsycINFO Database Record (c) 2019 APA, all rights reserved)","archive_location":"rayyan-567636452","container-title":"Psychological Assessment","DOI":"10.1037/pas0000618","ISSN":"1939-134X(Electronic),1040-3590(Print)","issue":"12","note":"publisher-place: Rijnen, Sophie J. M.: Department of Cognitive Neuropsychology, Tilburg University, Simon Building, Room S201b, P.O. Box 90153 Warandelaan 2, Tilburg, Netherlands, 5000 LE, s.j.m.rijnen@uvt.nl US\npublisher: American Psychological Association","page":"1652-1662","title":"Test-retest reliability and practice effects of a computerized neuropsychological battery: A solution-oriented approach.","volume":"30","author":[{"family":"Rijnen","given":"S. J. M."},{"family":"Linden","given":"S. D.","non-dropping-particle":"van der"},{"family":"Emons","given":"W. H. M."},{"family":"Sitskoorn","given":"M. M."},{"family":"Gehring","given":"K."}],"issued":{"date-parts":[["2018"]]}}}],"schema":"https://github.com/citation-style-language/schema/raw/master/csl-citation.json"} </w:instrText>
            </w:r>
            <w:r w:rsidRPr="00F816A8">
              <w:rPr>
                <w:rFonts w:eastAsia="Calibri" w:cs="Times New Roman"/>
                <w:kern w:val="0"/>
                <w:szCs w:val="20"/>
                <w:lang w:eastAsia="en-GB"/>
                <w14:ligatures w14:val="none"/>
              </w:rPr>
              <w:fldChar w:fldCharType="separate"/>
            </w:r>
            <w:r w:rsidRPr="00F816A8">
              <w:rPr>
                <w:rFonts w:cs="Times New Roman"/>
              </w:rPr>
              <w:t>(Rijnen et al., 2018)</w:t>
            </w:r>
            <w:r w:rsidRPr="00F816A8">
              <w:rPr>
                <w:rFonts w:eastAsia="Calibri" w:cs="Times New Roman"/>
                <w:kern w:val="0"/>
                <w:szCs w:val="20"/>
                <w:lang w:eastAsia="en-GB"/>
                <w14:ligatures w14:val="none"/>
              </w:rPr>
              <w:fldChar w:fldCharType="end"/>
            </w:r>
          </w:p>
        </w:tc>
        <w:tc>
          <w:tcPr>
            <w:tcW w:w="1701" w:type="dxa"/>
            <w:tcBorders>
              <w:top w:val="nil"/>
              <w:left w:val="nil"/>
              <w:bottom w:val="nil"/>
              <w:right w:val="nil"/>
            </w:tcBorders>
          </w:tcPr>
          <w:p w14:paraId="25F092C7" w14:textId="77777777" w:rsidR="004E65DF" w:rsidRPr="00F816A8" w:rsidRDefault="004E65DF" w:rsidP="00C8335E">
            <w:pPr>
              <w:spacing w:line="240" w:lineRule="auto"/>
              <w:rPr>
                <w:rFonts w:cs="Times New Roman"/>
                <w:szCs w:val="20"/>
              </w:rPr>
            </w:pPr>
            <w:r w:rsidRPr="00F816A8">
              <w:rPr>
                <w:rFonts w:cs="Times New Roman"/>
                <w:szCs w:val="20"/>
              </w:rPr>
              <w:t>Netherlands</w:t>
            </w:r>
          </w:p>
        </w:tc>
        <w:tc>
          <w:tcPr>
            <w:tcW w:w="5811" w:type="dxa"/>
            <w:tcBorders>
              <w:top w:val="nil"/>
              <w:left w:val="nil"/>
              <w:bottom w:val="nil"/>
              <w:right w:val="nil"/>
            </w:tcBorders>
          </w:tcPr>
          <w:p w14:paraId="193B9A30" w14:textId="77777777" w:rsidR="004E65DF" w:rsidRPr="00F816A8" w:rsidRDefault="004E65DF" w:rsidP="00C8335E">
            <w:pPr>
              <w:spacing w:line="240" w:lineRule="auto"/>
              <w:rPr>
                <w:rFonts w:cs="Times New Roman"/>
                <w:szCs w:val="20"/>
              </w:rPr>
            </w:pPr>
            <w:r w:rsidRPr="00F816A8">
              <w:rPr>
                <w:rFonts w:cs="Times New Roman"/>
                <w:szCs w:val="20"/>
              </w:rPr>
              <w:t>Central Nervous System Vital Signs</w:t>
            </w:r>
            <w:r>
              <w:rPr>
                <w:rFonts w:cs="Times New Roman"/>
                <w:szCs w:val="20"/>
              </w:rPr>
              <w:t xml:space="preserve"> (CNVS)</w:t>
            </w:r>
          </w:p>
        </w:tc>
        <w:tc>
          <w:tcPr>
            <w:tcW w:w="1262" w:type="dxa"/>
            <w:tcBorders>
              <w:top w:val="nil"/>
              <w:left w:val="nil"/>
              <w:bottom w:val="nil"/>
              <w:right w:val="nil"/>
            </w:tcBorders>
          </w:tcPr>
          <w:p w14:paraId="1E96D844" w14:textId="77777777" w:rsidR="004E65DF" w:rsidRPr="00F816A8" w:rsidRDefault="004E65DF" w:rsidP="00C8335E">
            <w:pPr>
              <w:spacing w:line="240" w:lineRule="auto"/>
              <w:jc w:val="center"/>
              <w:rPr>
                <w:rFonts w:cs="Times New Roman"/>
                <w:szCs w:val="20"/>
              </w:rPr>
            </w:pPr>
            <w:r w:rsidRPr="00F816A8">
              <w:rPr>
                <w:rFonts w:cs="Times New Roman"/>
                <w:szCs w:val="20"/>
              </w:rPr>
              <w:t>158 (90)</w:t>
            </w:r>
          </w:p>
        </w:tc>
        <w:tc>
          <w:tcPr>
            <w:tcW w:w="1262" w:type="dxa"/>
            <w:tcBorders>
              <w:top w:val="nil"/>
              <w:left w:val="nil"/>
              <w:bottom w:val="nil"/>
              <w:right w:val="nil"/>
            </w:tcBorders>
          </w:tcPr>
          <w:p w14:paraId="1BF35E5B" w14:textId="77777777" w:rsidR="004E65DF" w:rsidRPr="00F816A8" w:rsidRDefault="004E65DF" w:rsidP="00C8335E">
            <w:pPr>
              <w:spacing w:line="240" w:lineRule="auto"/>
              <w:jc w:val="center"/>
              <w:rPr>
                <w:rFonts w:cs="Times New Roman"/>
                <w:szCs w:val="20"/>
              </w:rPr>
            </w:pPr>
            <w:r w:rsidRPr="00F816A8">
              <w:rPr>
                <w:rFonts w:cs="Times New Roman"/>
                <w:szCs w:val="20"/>
              </w:rPr>
              <w:t>45.9 (14.4)</w:t>
            </w:r>
          </w:p>
        </w:tc>
        <w:tc>
          <w:tcPr>
            <w:tcW w:w="1262" w:type="dxa"/>
            <w:tcBorders>
              <w:top w:val="nil"/>
              <w:left w:val="nil"/>
              <w:bottom w:val="nil"/>
              <w:right w:val="nil"/>
            </w:tcBorders>
          </w:tcPr>
          <w:p w14:paraId="62777EA1" w14:textId="77777777" w:rsidR="004E65DF" w:rsidRPr="00F816A8" w:rsidRDefault="004E65DF" w:rsidP="00C8335E">
            <w:pPr>
              <w:spacing w:line="240" w:lineRule="auto"/>
              <w:jc w:val="center"/>
              <w:rPr>
                <w:rFonts w:cs="Times New Roman"/>
                <w:szCs w:val="20"/>
              </w:rPr>
            </w:pPr>
            <w:r w:rsidRPr="00F816A8">
              <w:rPr>
                <w:rFonts w:cs="Times New Roman"/>
                <w:szCs w:val="20"/>
              </w:rPr>
              <w:t>16.9 (3.3)</w:t>
            </w:r>
          </w:p>
        </w:tc>
      </w:tr>
      <w:tr w:rsidR="004E65DF" w:rsidRPr="00F816A8" w14:paraId="159AA4B5" w14:textId="77777777" w:rsidTr="00C8335E">
        <w:tc>
          <w:tcPr>
            <w:tcW w:w="2694" w:type="dxa"/>
            <w:tcBorders>
              <w:top w:val="nil"/>
              <w:left w:val="nil"/>
              <w:bottom w:val="nil"/>
              <w:right w:val="nil"/>
            </w:tcBorders>
          </w:tcPr>
          <w:p w14:paraId="03810E62"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{"citationID":"AgTjhkRV","properties":{"formattedCitation":"(Soveri A et al., 2018)","plainCitation":"(Soveri A et al., 2018)","noteIndex":0},"citationItems":[{"id":146,"uris":["http://zotero.org/users/local/U8bdnYIb/items/72LCSII3"],"itemData":{"id":146,"type":"article-journal","abstract":"Executive tasks are important instruments for neuropsychological and cognitive research, but only a limited number of studies have investigated the test-retest reliability of these tasks. Such information is needed for optimizing task usage, for example, in longitudinal and intervention studies. In this study with healthy adults, we investigated the temporal stability of five executive tasks: the Simon task, a visuoverbal N-back task, a visuospatial N-back task, a running memory task, and the Number-letter task. These five tasks are frequently used in research, but previously published reliability data is very limited or totally lacking. The results from the present study showed considerable variability with the highest test-retest reliabilities amongst the three working memory tasks. Furthermore, reaction time measures indicated practice effects between the two sessions across the tasks. The present results set constraints to the interpretation of the results of longitudinal and intervention studies using these tasks.","archive_location":"rayyan-567636870","container-title":"Applied neuropsychology. Adult","DOI":"10.1080/23279095.2016.1263795","ISSN":"2327-9109 (Electronic)","issue":"2","journalAbbreviation":"Appl Neuropsychol Adult","language":"eng","note":"publisher-place: United States","page":"155-165","title":"Test-retest reliability of five frequently used executive tasks in healthy adults.","volume":"25","author":[{"literal":"Soveri A"},{"literal":"Lehtonen M"},{"literal":"Karlsson LC"},{"literal":"Lukasik K"},{"literal":"Antfolk J"},{"literal":"Laine M"}],"issued":{"date-parts":[["2018"]]}}}],"schema":"https://github.com/citation-style-language/schema/raw/master/csl-citation.json"} </w:instrText>
            </w:r>
            <w:r w:rsidRPr="00F816A8">
              <w:rPr>
                <w:rFonts w:cs="Times New Roman"/>
                <w:szCs w:val="20"/>
              </w:rPr>
              <w:fldChar w:fldCharType="separate"/>
            </w:r>
            <w:r w:rsidRPr="00F816A8">
              <w:rPr>
                <w:rFonts w:cs="Times New Roman"/>
              </w:rPr>
              <w:t>(Soveri A et al., 2018)</w:t>
            </w:r>
            <w:r w:rsidRPr="00F816A8">
              <w:rPr>
                <w:rFonts w:cs="Times New Roman"/>
                <w:szCs w:val="20"/>
              </w:rPr>
              <w:fldChar w:fldCharType="end"/>
            </w:r>
          </w:p>
        </w:tc>
        <w:tc>
          <w:tcPr>
            <w:tcW w:w="1701" w:type="dxa"/>
            <w:tcBorders>
              <w:top w:val="nil"/>
              <w:left w:val="nil"/>
              <w:bottom w:val="nil"/>
              <w:right w:val="nil"/>
            </w:tcBorders>
          </w:tcPr>
          <w:p w14:paraId="091177F5" w14:textId="77777777" w:rsidR="004E65DF" w:rsidRPr="00F816A8" w:rsidRDefault="004E65DF" w:rsidP="00C8335E">
            <w:pPr>
              <w:spacing w:line="240" w:lineRule="auto"/>
              <w:rPr>
                <w:rFonts w:cs="Times New Roman"/>
                <w:szCs w:val="20"/>
              </w:rPr>
            </w:pPr>
            <w:r w:rsidRPr="00F816A8">
              <w:rPr>
                <w:rFonts w:cs="Times New Roman"/>
                <w:szCs w:val="20"/>
              </w:rPr>
              <w:t>Finland</w:t>
            </w:r>
          </w:p>
        </w:tc>
        <w:tc>
          <w:tcPr>
            <w:tcW w:w="5811" w:type="dxa"/>
            <w:tcBorders>
              <w:top w:val="nil"/>
              <w:left w:val="nil"/>
              <w:bottom w:val="nil"/>
              <w:right w:val="nil"/>
            </w:tcBorders>
          </w:tcPr>
          <w:p w14:paraId="7E33A7E0" w14:textId="77777777" w:rsidR="004E65DF" w:rsidRPr="00F816A8" w:rsidRDefault="004E65DF" w:rsidP="00C8335E">
            <w:pPr>
              <w:spacing w:line="240" w:lineRule="auto"/>
              <w:rPr>
                <w:rFonts w:cs="Times New Roman"/>
                <w:szCs w:val="20"/>
              </w:rPr>
            </w:pPr>
            <w:r w:rsidRPr="00F816A8">
              <w:rPr>
                <w:rFonts w:cs="Times New Roman"/>
                <w:szCs w:val="20"/>
              </w:rPr>
              <w:t>Various EF tests (Set 2)</w:t>
            </w:r>
          </w:p>
        </w:tc>
        <w:tc>
          <w:tcPr>
            <w:tcW w:w="1262" w:type="dxa"/>
            <w:tcBorders>
              <w:top w:val="nil"/>
              <w:left w:val="nil"/>
              <w:bottom w:val="nil"/>
              <w:right w:val="nil"/>
            </w:tcBorders>
          </w:tcPr>
          <w:p w14:paraId="1EBC2D38" w14:textId="77777777" w:rsidR="004E65DF" w:rsidRPr="00F816A8" w:rsidRDefault="004E65DF" w:rsidP="00C8335E">
            <w:pPr>
              <w:spacing w:line="240" w:lineRule="auto"/>
              <w:jc w:val="center"/>
              <w:rPr>
                <w:rFonts w:cs="Times New Roman"/>
                <w:szCs w:val="20"/>
              </w:rPr>
            </w:pPr>
            <w:r w:rsidRPr="00F816A8">
              <w:rPr>
                <w:rFonts w:cs="Times New Roman"/>
                <w:szCs w:val="20"/>
              </w:rPr>
              <w:t>37 (7)</w:t>
            </w:r>
          </w:p>
        </w:tc>
        <w:tc>
          <w:tcPr>
            <w:tcW w:w="1262" w:type="dxa"/>
            <w:tcBorders>
              <w:top w:val="nil"/>
              <w:left w:val="nil"/>
              <w:bottom w:val="nil"/>
              <w:right w:val="nil"/>
            </w:tcBorders>
          </w:tcPr>
          <w:p w14:paraId="341F861A" w14:textId="77777777" w:rsidR="004E65DF" w:rsidRPr="00F816A8" w:rsidRDefault="004E65DF" w:rsidP="00C8335E">
            <w:pPr>
              <w:spacing w:line="240" w:lineRule="auto"/>
              <w:jc w:val="center"/>
              <w:rPr>
                <w:rFonts w:cs="Times New Roman"/>
                <w:szCs w:val="20"/>
              </w:rPr>
            </w:pPr>
            <w:r w:rsidRPr="00F816A8">
              <w:rPr>
                <w:rFonts w:cs="Times New Roman"/>
                <w:szCs w:val="20"/>
              </w:rPr>
              <w:t>23.0 (2.4)</w:t>
            </w:r>
          </w:p>
        </w:tc>
        <w:tc>
          <w:tcPr>
            <w:tcW w:w="1262" w:type="dxa"/>
            <w:tcBorders>
              <w:top w:val="nil"/>
              <w:left w:val="nil"/>
              <w:bottom w:val="nil"/>
              <w:right w:val="nil"/>
            </w:tcBorders>
          </w:tcPr>
          <w:p w14:paraId="3868553C" w14:textId="77777777" w:rsidR="004E65DF" w:rsidRPr="00F816A8" w:rsidRDefault="004E65DF" w:rsidP="00C8335E">
            <w:pPr>
              <w:spacing w:line="240" w:lineRule="auto"/>
              <w:jc w:val="center"/>
              <w:rPr>
                <w:rFonts w:cs="Times New Roman"/>
                <w:szCs w:val="20"/>
              </w:rPr>
            </w:pPr>
            <w:r w:rsidRPr="00F816A8">
              <w:rPr>
                <w:rFonts w:cs="Times New Roman"/>
                <w:szCs w:val="20"/>
              </w:rPr>
              <w:t>&gt;12 years</w:t>
            </w:r>
          </w:p>
        </w:tc>
      </w:tr>
      <w:tr w:rsidR="004E65DF" w:rsidRPr="00F816A8" w14:paraId="4CD1F23B" w14:textId="77777777" w:rsidTr="00C8335E">
        <w:tc>
          <w:tcPr>
            <w:tcW w:w="2694" w:type="dxa"/>
            <w:tcBorders>
              <w:top w:val="nil"/>
              <w:left w:val="nil"/>
              <w:bottom w:val="nil"/>
              <w:right w:val="nil"/>
            </w:tcBorders>
          </w:tcPr>
          <w:p w14:paraId="68AD7949"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{"citationID":"d8YGDfCG","properties":{"formattedCitation":"(Ishigami et al., 2016)","plainCitation":"(Ishigami et al., 2016)","noteIndex":0},"citationItems":[{"id":156,"uris":["http://zotero.org/users/local/U8bdnYIb/items/XXXXJBXA"],"itemData":{"id":156,"type":"article-journal","abstract":"The Attention Network Test (ANT) is a frequently used computer-based tool for measuring the three attention networks (alerting, orienting, and executive control). We examined the psychometric properties of performance on a variant of the ANT, the Attention Network Test-Interaction (ANT-I) in healthy older adults (N = 173; mean age = 65.4, SD = 6.5; obtained from the Brain in Motion Study, Tyndall et al. BMC Geriatr 13:21, 2013. doi: 10.1186/1471-2318-13-21) to evaluate its usefulness as a measurement tool in both aging and clinical research. In terms of test reliability, split-half correlation analyses showed that all network scores were significantly reliable, although the strength of the correlations varied across networks as seen before (r = 0.29, 0.70, and 0.68, for alerting, orienting, and executive networks, respectively, p's &lt; 0.05). In terms of construct validity, ANOVAs confirmed that each network score was significant (18.3, 59.4, and 109.2 ms for the alerting, orienting, and executive networks, respectively, p's &lt; 0.01) and that these scores were generally independent from each other. Importantly, for criterion validity, a series of hierarchical linear regressions showed that the executive network score, in addition to demographic information, was a significant predictor of performance on tests of conflict resolution as well as verbal memory and retrieval (β = -0.165 and -0.184, p's &lt; 0.05, respectively). These results provide new information regarding the reliability and validity of ANT-I test performance in a healthy older adult population. The results provide insights into the psychometrics of the ANT-I and its potential utility in clinical research settings.","archive_location":"rayyan-567636961","container-title":"Experimental brain research","DOI":"10.1007/s00221-015-4493-4","ISSN":"1432-1106 (Electronic)","issue":"3","journalAbbreviation":"Exp Brain Res","language":"eng","note":"publisher-place: Germany","page":"815-27","title":"The Attention Network Test-Interaction (ANT-I): reliability and validity in healthy older adults.","volume":"234","author":[{"family":"Ishigami","given":"Y."},{"family":"Eskes","given":"G. A."},{"family":"Tyndall","given":"A. V."},{"family":"Longman","given":"R. S."},{"family":"Drogos","given":"L. L."},{"family":"Poulin","given":"M. J."}],"issued":{"date-parts":[["2016"]]}}}],"schema":"https://github.com/citation-style-language/schema/raw/master/csl-citation.json"} </w:instrText>
            </w:r>
            <w:r w:rsidRPr="00F816A8">
              <w:rPr>
                <w:rFonts w:cs="Times New Roman"/>
                <w:szCs w:val="20"/>
              </w:rPr>
              <w:fldChar w:fldCharType="separate"/>
            </w:r>
            <w:r w:rsidRPr="00F816A8">
              <w:rPr>
                <w:rFonts w:cs="Times New Roman"/>
              </w:rPr>
              <w:t>(Ishigami et al., 2016)</w:t>
            </w:r>
            <w:r w:rsidRPr="00F816A8">
              <w:rPr>
                <w:rFonts w:cs="Times New Roman"/>
                <w:szCs w:val="20"/>
              </w:rPr>
              <w:fldChar w:fldCharType="end"/>
            </w:r>
          </w:p>
        </w:tc>
        <w:tc>
          <w:tcPr>
            <w:tcW w:w="1701" w:type="dxa"/>
            <w:tcBorders>
              <w:top w:val="nil"/>
              <w:left w:val="nil"/>
              <w:bottom w:val="nil"/>
              <w:right w:val="nil"/>
            </w:tcBorders>
          </w:tcPr>
          <w:p w14:paraId="6212D4F0" w14:textId="77777777" w:rsidR="004E65DF" w:rsidRPr="00F816A8" w:rsidRDefault="004E65DF" w:rsidP="00C8335E">
            <w:pPr>
              <w:spacing w:line="240" w:lineRule="auto"/>
              <w:rPr>
                <w:rFonts w:cs="Times New Roman"/>
                <w:szCs w:val="20"/>
              </w:rPr>
            </w:pPr>
            <w:r w:rsidRPr="00F816A8">
              <w:rPr>
                <w:rFonts w:cs="Times New Roman"/>
                <w:szCs w:val="20"/>
              </w:rPr>
              <w:t>Canada</w:t>
            </w:r>
          </w:p>
        </w:tc>
        <w:tc>
          <w:tcPr>
            <w:tcW w:w="5811" w:type="dxa"/>
            <w:tcBorders>
              <w:top w:val="nil"/>
              <w:left w:val="nil"/>
              <w:bottom w:val="nil"/>
              <w:right w:val="nil"/>
            </w:tcBorders>
          </w:tcPr>
          <w:p w14:paraId="077FD8DA" w14:textId="77777777" w:rsidR="004E65DF" w:rsidRPr="00F816A8" w:rsidRDefault="004E65DF" w:rsidP="00C8335E">
            <w:pPr>
              <w:spacing w:line="240" w:lineRule="auto"/>
              <w:rPr>
                <w:rFonts w:cs="Times New Roman"/>
                <w:szCs w:val="20"/>
              </w:rPr>
            </w:pPr>
            <w:r w:rsidRPr="00F816A8">
              <w:rPr>
                <w:rFonts w:cs="Times New Roman"/>
                <w:szCs w:val="20"/>
              </w:rPr>
              <w:t>Attention Network Test-Interaction (ANT-I)</w:t>
            </w:r>
          </w:p>
        </w:tc>
        <w:tc>
          <w:tcPr>
            <w:tcW w:w="1262" w:type="dxa"/>
            <w:tcBorders>
              <w:top w:val="nil"/>
              <w:left w:val="nil"/>
              <w:bottom w:val="nil"/>
              <w:right w:val="nil"/>
            </w:tcBorders>
          </w:tcPr>
          <w:p w14:paraId="4EAED89E" w14:textId="77777777" w:rsidR="004E65DF" w:rsidRPr="00F816A8" w:rsidRDefault="004E65DF" w:rsidP="00C8335E">
            <w:pPr>
              <w:spacing w:line="240" w:lineRule="auto"/>
              <w:jc w:val="center"/>
              <w:rPr>
                <w:rFonts w:cs="Times New Roman"/>
                <w:szCs w:val="20"/>
              </w:rPr>
            </w:pPr>
            <w:r w:rsidRPr="00F816A8">
              <w:rPr>
                <w:rFonts w:cs="Times New Roman"/>
                <w:szCs w:val="20"/>
              </w:rPr>
              <w:t>173 (91)</w:t>
            </w:r>
          </w:p>
        </w:tc>
        <w:tc>
          <w:tcPr>
            <w:tcW w:w="1262" w:type="dxa"/>
            <w:tcBorders>
              <w:top w:val="nil"/>
              <w:left w:val="nil"/>
              <w:bottom w:val="nil"/>
              <w:right w:val="nil"/>
            </w:tcBorders>
          </w:tcPr>
          <w:p w14:paraId="24B912CC" w14:textId="77777777" w:rsidR="004E65DF" w:rsidRPr="00F816A8" w:rsidRDefault="004E65DF" w:rsidP="00C8335E">
            <w:pPr>
              <w:spacing w:line="240" w:lineRule="auto"/>
              <w:jc w:val="center"/>
              <w:rPr>
                <w:rFonts w:cs="Times New Roman"/>
                <w:szCs w:val="20"/>
              </w:rPr>
            </w:pPr>
            <w:r w:rsidRPr="00F816A8">
              <w:rPr>
                <w:rFonts w:cs="Times New Roman"/>
                <w:szCs w:val="20"/>
              </w:rPr>
              <w:t>65.4 (6.5)</w:t>
            </w:r>
          </w:p>
        </w:tc>
        <w:tc>
          <w:tcPr>
            <w:tcW w:w="1262" w:type="dxa"/>
            <w:tcBorders>
              <w:top w:val="nil"/>
              <w:left w:val="nil"/>
              <w:bottom w:val="nil"/>
              <w:right w:val="nil"/>
            </w:tcBorders>
          </w:tcPr>
          <w:p w14:paraId="6B12D713" w14:textId="77777777" w:rsidR="004E65DF" w:rsidRPr="00F816A8" w:rsidRDefault="004E65DF" w:rsidP="00C8335E">
            <w:pPr>
              <w:spacing w:line="240" w:lineRule="auto"/>
              <w:jc w:val="center"/>
              <w:rPr>
                <w:rFonts w:cs="Times New Roman"/>
                <w:szCs w:val="20"/>
              </w:rPr>
            </w:pPr>
            <w:r w:rsidRPr="00F816A8">
              <w:rPr>
                <w:rFonts w:cs="Times New Roman"/>
                <w:szCs w:val="20"/>
              </w:rPr>
              <w:t>15.5 (2.7)</w:t>
            </w:r>
          </w:p>
        </w:tc>
      </w:tr>
      <w:tr w:rsidR="004E65DF" w:rsidRPr="00F816A8" w14:paraId="33077001" w14:textId="77777777" w:rsidTr="00C8335E">
        <w:tc>
          <w:tcPr>
            <w:tcW w:w="2694" w:type="dxa"/>
            <w:tcBorders>
              <w:top w:val="nil"/>
              <w:left w:val="nil"/>
              <w:bottom w:val="nil"/>
              <w:right w:val="nil"/>
            </w:tcBorders>
          </w:tcPr>
          <w:p w14:paraId="2D46A4DD"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{"citationID":"jO2y9XKg","properties":{"formattedCitation":"(Kaller et al., 2016)","plainCitation":"(Kaller et al., 2016)","noteIndex":0},"citationItems":[{"id":140,"uris":["http://zotero.org/users/local/U8bdnYIb/items/TDMRNB6F"],"itemData":{"id":140,"type":"article-journal","abstract":"Planning ahead the consequences of future actions is a prototypical executive function. In clinical and experimental neuropsychology, disc-transfer tasks like the Tower of London (TOL) are commonly used for the assessment of planning ability. Previous psychometric evaluations have, however, yielded a poor reliability of measuring planning performance with the TOL. Based on theory-grounded task analyses and a systematic problem selection, the computerized TOL-Freiburg version (TOL-F) was developed to improve the task’s psychometric properties for diagnostic applications. Here,we report reliability estimates for the TOL-F from two large samples collected in Mainz,Germany(n = 3,770; 40–80 years) and in Vienna, Austria (n = 830; 16–84 years). Results show that planning accuracy on the TOL-F possesses an adequate internal consistency and split-half reliability (&gt; 0.7) that are stable across the adult life span while the TOL-F covers a broad range of graded difficulty even in healthy adults, making it suitable for both research and clinical application. (PsycINFO Database Record (c) 2016 APA, all rights reserved)","archive_location":"rayyan-567636756","container-title":"Archives of Clinical Neuropsychology","ISSN":"1873-5843(Electronic),0887-6177(Print)","issue":"2","note":"publisher-place: Kaller, Christoph P.: Department of Neurology, University Medical Center Freiburg, Breisacher Str. 64, Freiburg, Germany, 79106, christoph.kaller@uniklinik-freiburg.de United Kingdom\npublisher: Oxford University Press","page":"148-164","title":"Assessing planning ability across the adult life Span: Population-representative and age-adjusted reliability estimates for the Tower of London (TOL-F).","volume":"31","author":[{"family":"Kaller","given":"Christoph P."},{"family":"Debelak","given":"Rudolf"},{"family":"Köstering","given":"Lena"},{"family":"Egle","given":"Johanna"},{"family":"Rahm","given":"Benjamin"},{"family":"Wild","given":"Philipp S."},{"family":"Blettner","given":"Maria"},{"family":"Beutel","given":"Manfred E."},{"family":"Unterrainer","given":"Josef M."}],"issued":{"date-parts":[["2016"]]}}}],"schema":"https://github.com/citation-style-language/schema/raw/master/csl-citation.json"} </w:instrText>
            </w:r>
            <w:r w:rsidRPr="00F816A8">
              <w:rPr>
                <w:rFonts w:cs="Times New Roman"/>
                <w:szCs w:val="20"/>
              </w:rPr>
              <w:fldChar w:fldCharType="separate"/>
            </w:r>
            <w:r w:rsidRPr="00F816A8">
              <w:rPr>
                <w:rFonts w:cs="Times New Roman"/>
              </w:rPr>
              <w:t>(Kaller et al., 2016)</w:t>
            </w:r>
            <w:r w:rsidRPr="00F816A8">
              <w:rPr>
                <w:rFonts w:cs="Times New Roman"/>
                <w:szCs w:val="20"/>
              </w:rPr>
              <w:fldChar w:fldCharType="end"/>
            </w:r>
          </w:p>
        </w:tc>
        <w:tc>
          <w:tcPr>
            <w:tcW w:w="1701" w:type="dxa"/>
            <w:tcBorders>
              <w:top w:val="nil"/>
              <w:left w:val="nil"/>
              <w:bottom w:val="nil"/>
              <w:right w:val="nil"/>
            </w:tcBorders>
          </w:tcPr>
          <w:p w14:paraId="0A2F8D8D" w14:textId="77777777" w:rsidR="004E65DF" w:rsidRPr="00F816A8" w:rsidRDefault="004E65DF" w:rsidP="00C8335E">
            <w:pPr>
              <w:spacing w:line="240" w:lineRule="auto"/>
              <w:rPr>
                <w:rFonts w:cs="Times New Roman"/>
                <w:szCs w:val="20"/>
              </w:rPr>
            </w:pPr>
            <w:r w:rsidRPr="00F816A8">
              <w:rPr>
                <w:rFonts w:cs="Times New Roman"/>
                <w:szCs w:val="20"/>
              </w:rPr>
              <w:t>Germany</w:t>
            </w:r>
          </w:p>
          <w:p w14:paraId="5D5616D7" w14:textId="77777777" w:rsidR="004E65DF" w:rsidRPr="00F816A8" w:rsidRDefault="004E65DF" w:rsidP="00C8335E">
            <w:pPr>
              <w:spacing w:line="240" w:lineRule="auto"/>
              <w:rPr>
                <w:rFonts w:cs="Times New Roman"/>
                <w:szCs w:val="20"/>
              </w:rPr>
            </w:pPr>
            <w:r w:rsidRPr="00F816A8">
              <w:rPr>
                <w:rFonts w:cs="Times New Roman"/>
                <w:szCs w:val="20"/>
              </w:rPr>
              <w:t>Austria</w:t>
            </w:r>
          </w:p>
        </w:tc>
        <w:tc>
          <w:tcPr>
            <w:tcW w:w="5811" w:type="dxa"/>
            <w:tcBorders>
              <w:top w:val="nil"/>
              <w:left w:val="nil"/>
              <w:bottom w:val="nil"/>
              <w:right w:val="nil"/>
            </w:tcBorders>
          </w:tcPr>
          <w:p w14:paraId="4AB70DEC" w14:textId="77777777" w:rsidR="004E65DF" w:rsidRPr="00F816A8" w:rsidRDefault="004E65DF" w:rsidP="00C8335E">
            <w:pPr>
              <w:spacing w:line="240" w:lineRule="auto"/>
              <w:rPr>
                <w:rFonts w:cs="Times New Roman"/>
                <w:szCs w:val="20"/>
              </w:rPr>
            </w:pPr>
            <w:r w:rsidRPr="00F816A8">
              <w:rPr>
                <w:rFonts w:cs="Times New Roman"/>
                <w:szCs w:val="20"/>
              </w:rPr>
              <w:t>Tower of London Freiburg version (TOL-F)</w:t>
            </w:r>
          </w:p>
        </w:tc>
        <w:tc>
          <w:tcPr>
            <w:tcW w:w="1262" w:type="dxa"/>
            <w:tcBorders>
              <w:top w:val="nil"/>
              <w:left w:val="nil"/>
              <w:bottom w:val="nil"/>
              <w:right w:val="nil"/>
            </w:tcBorders>
          </w:tcPr>
          <w:p w14:paraId="6B9DEC13" w14:textId="77777777" w:rsidR="004E65DF" w:rsidRPr="00F816A8" w:rsidRDefault="004E65DF" w:rsidP="00C8335E">
            <w:pPr>
              <w:spacing w:line="240" w:lineRule="auto"/>
              <w:jc w:val="center"/>
              <w:rPr>
                <w:rFonts w:cs="Times New Roman"/>
                <w:szCs w:val="20"/>
              </w:rPr>
            </w:pPr>
            <w:r w:rsidRPr="00F816A8">
              <w:rPr>
                <w:rFonts w:cs="Times New Roman"/>
                <w:szCs w:val="20"/>
              </w:rPr>
              <w:t>3770 (1837)</w:t>
            </w:r>
          </w:p>
          <w:p w14:paraId="247690D6" w14:textId="77777777" w:rsidR="004E65DF" w:rsidRPr="00F816A8" w:rsidRDefault="004E65DF" w:rsidP="00C8335E">
            <w:pPr>
              <w:spacing w:line="240" w:lineRule="auto"/>
              <w:jc w:val="center"/>
              <w:rPr>
                <w:rFonts w:cs="Times New Roman"/>
                <w:szCs w:val="20"/>
              </w:rPr>
            </w:pPr>
            <w:r w:rsidRPr="00F816A8">
              <w:rPr>
                <w:rFonts w:cs="Times New Roman"/>
                <w:szCs w:val="20"/>
              </w:rPr>
              <w:t>830 (455)</w:t>
            </w:r>
          </w:p>
        </w:tc>
        <w:tc>
          <w:tcPr>
            <w:tcW w:w="1262" w:type="dxa"/>
            <w:tcBorders>
              <w:top w:val="nil"/>
              <w:left w:val="nil"/>
              <w:bottom w:val="nil"/>
              <w:right w:val="nil"/>
            </w:tcBorders>
          </w:tcPr>
          <w:p w14:paraId="739F2600" w14:textId="77777777" w:rsidR="004E65DF" w:rsidRPr="00F816A8" w:rsidRDefault="004E65DF" w:rsidP="00C8335E">
            <w:pPr>
              <w:spacing w:line="240" w:lineRule="auto"/>
              <w:jc w:val="center"/>
              <w:rPr>
                <w:rFonts w:cs="Times New Roman"/>
                <w:szCs w:val="20"/>
              </w:rPr>
            </w:pPr>
            <w:r w:rsidRPr="00F816A8">
              <w:rPr>
                <w:rFonts w:cs="Times New Roman"/>
                <w:szCs w:val="20"/>
              </w:rPr>
              <w:t>60.0 (10.7)</w:t>
            </w:r>
          </w:p>
          <w:p w14:paraId="3B81BA0C" w14:textId="77777777" w:rsidR="004E65DF" w:rsidRPr="00F816A8" w:rsidRDefault="004E65DF" w:rsidP="00C8335E">
            <w:pPr>
              <w:spacing w:line="240" w:lineRule="auto"/>
              <w:jc w:val="center"/>
              <w:rPr>
                <w:rFonts w:cs="Times New Roman"/>
                <w:szCs w:val="20"/>
              </w:rPr>
            </w:pPr>
            <w:r w:rsidRPr="00F816A8">
              <w:rPr>
                <w:rFonts w:cs="Times New Roman"/>
                <w:szCs w:val="20"/>
              </w:rPr>
              <w:t>44.0 (16.9)</w:t>
            </w:r>
          </w:p>
        </w:tc>
        <w:tc>
          <w:tcPr>
            <w:tcW w:w="1262" w:type="dxa"/>
            <w:tcBorders>
              <w:top w:val="nil"/>
              <w:left w:val="nil"/>
              <w:bottom w:val="nil"/>
              <w:right w:val="nil"/>
            </w:tcBorders>
          </w:tcPr>
          <w:p w14:paraId="7ACB357F" w14:textId="77777777" w:rsidR="004E65DF" w:rsidRPr="00F816A8" w:rsidRDefault="004E65DF" w:rsidP="00C8335E">
            <w:pPr>
              <w:spacing w:line="240" w:lineRule="auto"/>
              <w:jc w:val="center"/>
              <w:rPr>
                <w:rFonts w:cs="Times New Roman"/>
                <w:szCs w:val="20"/>
              </w:rPr>
            </w:pPr>
            <w:r w:rsidRPr="00F816A8">
              <w:rPr>
                <w:rFonts w:cs="Times New Roman"/>
                <w:szCs w:val="20"/>
              </w:rPr>
              <w:t>-</w:t>
            </w:r>
          </w:p>
          <w:p w14:paraId="60D052DA"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435EA64F" w14:textId="77777777" w:rsidTr="00C8335E">
        <w:tc>
          <w:tcPr>
            <w:tcW w:w="2694" w:type="dxa"/>
            <w:tcBorders>
              <w:top w:val="nil"/>
              <w:left w:val="nil"/>
              <w:bottom w:val="nil"/>
              <w:right w:val="nil"/>
            </w:tcBorders>
          </w:tcPr>
          <w:p w14:paraId="3F60A50A" w14:textId="77777777" w:rsidR="004E65DF" w:rsidRPr="00F816A8" w:rsidRDefault="004E65DF" w:rsidP="00C8335E">
            <w:pPr>
              <w:spacing w:line="240" w:lineRule="auto"/>
              <w:rPr>
                <w:rFonts w:cs="Times New Roman"/>
                <w:szCs w:val="20"/>
              </w:rPr>
            </w:pPr>
            <w:r w:rsidRPr="00F816A8">
              <w:rPr>
                <w:rFonts w:eastAsia="Calibri" w:cs="Times New Roman"/>
                <w:kern w:val="0"/>
                <w:szCs w:val="20"/>
                <w:lang w:eastAsia="en-GB"/>
                <w14:ligatures w14:val="none"/>
              </w:rPr>
              <w:fldChar w:fldCharType="begin"/>
            </w:r>
            <w:r w:rsidRPr="00F816A8">
              <w:rPr>
                <w:rFonts w:eastAsia="Calibri" w:cs="Times New Roman"/>
                <w:kern w:val="0"/>
                <w:szCs w:val="20"/>
                <w:lang w:eastAsia="en-GB"/>
                <w14:ligatures w14:val="none"/>
              </w:rPr>
              <w:instrText xml:space="preserve"> ADDIN ZOTERO_ITEM CSL_CITATION {"citationID":"ZlkhVAom","properties":{"formattedCitation":"(K\\uc0\\u246{}stering et al., 2015)","plainCitation":"(Köstering et al., 2015)","noteIndex":0},"citationItems":[{"id":152,"uris":["http://zotero.org/users/local/U8bdnYIb/items/AV7WZJKL"],"itemData":{"id":152,"type":"article-journal","abstract":"Test-retest reliability is difficult to establish for measures of executive functioning that rely on task novelty. Correspondingly, evidence on the test-retest reliability of the commonly used Tower of London (TOL) planning task is, as yet, equivocal and only based on indices of relative consistency, rather than absolute agreement of individual scores. Further, the stability of planning latencies over repeated testing has not been investigated. The present study assessed test-retest reliability of planning performance measures using a structurally balanced problem set implemented in the TOL-Freiburg version (TOL-F). The TOL-F was administered in 2 structurally identical versions to a sample of young, healthy adults over a 1-week interval. For planning accuracy, the Pearson correlation and intraclass correlation coefficient for relative consistency were adequate (r = .739 and .734), with the intraclass correlation coefficient for absolute agreement only slightly decreased (r = .690). For initial thinking and movement execution times, relative consistency and absolute agreement reliability indices were uniformly low (all r between .274 and .519). Given adequate planning accuracy test-retest reliability, the TOL-F can be reliably used to measure planning ability in group-based studies and with individual participants, as is important for clinical testing. Planning latencies, however, should only be used as complementary, but not sole measures of planning ability, particularly for normative evaluations in clinical assessment. In sum, TOL-F planning accuracy possesses adequate absolute and relative test-retest reliability for experimental utility. Future studies should assess whether this indeed translates into clinical utility of the TOL-F for measuring planning ability in patients.","archive_location":"rayyan-567636920","container-title":"Psychological assessment","DOI":"10.1037/pas0000097","ISSN":"1939-134X (Electronic)","issue":"3","journalAbbreviation":"Psychol Assess","language":"eng","note":"publisher-place: United States","page":"925-31","title":"Test-retest reliability of the Tower of London Planning Task (TOL-F).","volume":"27","author":[{"family":"Köstering","given":"L."},{"family":"Nitschke","given":"K."},{"family":"Schumacher","given":"F. K."},{"family":"Weiller","given":"C."},{"family":"Kaller","given":"C. P."}],"issued":{"date-parts":[["2015"]]}}}],"schema":"https://github.com/citation-style-language/schema/raw/master/csl-citation.json"} </w:instrText>
            </w:r>
            <w:r w:rsidRPr="00F816A8">
              <w:rPr>
                <w:rFonts w:eastAsia="Calibri" w:cs="Times New Roman"/>
                <w:kern w:val="0"/>
                <w:szCs w:val="20"/>
                <w:lang w:eastAsia="en-GB"/>
                <w14:ligatures w14:val="none"/>
              </w:rPr>
              <w:fldChar w:fldCharType="separate"/>
            </w:r>
            <w:r w:rsidRPr="00F816A8">
              <w:rPr>
                <w:rFonts w:cs="Times New Roman"/>
                <w:kern w:val="0"/>
              </w:rPr>
              <w:t>(Köstering et al., 2015)</w:t>
            </w:r>
            <w:r w:rsidRPr="00F816A8">
              <w:rPr>
                <w:rFonts w:eastAsia="Calibri" w:cs="Times New Roman"/>
                <w:kern w:val="0"/>
                <w:szCs w:val="20"/>
                <w:lang w:eastAsia="en-GB"/>
                <w14:ligatures w14:val="none"/>
              </w:rPr>
              <w:fldChar w:fldCharType="end"/>
            </w:r>
          </w:p>
        </w:tc>
        <w:tc>
          <w:tcPr>
            <w:tcW w:w="1701" w:type="dxa"/>
            <w:tcBorders>
              <w:top w:val="nil"/>
              <w:left w:val="nil"/>
              <w:bottom w:val="nil"/>
              <w:right w:val="nil"/>
            </w:tcBorders>
          </w:tcPr>
          <w:p w14:paraId="79A83FD4" w14:textId="77777777" w:rsidR="004E65DF" w:rsidRPr="00F816A8" w:rsidRDefault="004E65DF" w:rsidP="00C8335E">
            <w:pPr>
              <w:spacing w:line="240" w:lineRule="auto"/>
              <w:rPr>
                <w:rFonts w:cs="Times New Roman"/>
                <w:szCs w:val="20"/>
              </w:rPr>
            </w:pPr>
            <w:r w:rsidRPr="00F816A8">
              <w:rPr>
                <w:rFonts w:cs="Times New Roman"/>
                <w:szCs w:val="20"/>
              </w:rPr>
              <w:t>Germany</w:t>
            </w:r>
          </w:p>
        </w:tc>
        <w:tc>
          <w:tcPr>
            <w:tcW w:w="5811" w:type="dxa"/>
            <w:tcBorders>
              <w:top w:val="nil"/>
              <w:left w:val="nil"/>
              <w:bottom w:val="nil"/>
              <w:right w:val="nil"/>
            </w:tcBorders>
          </w:tcPr>
          <w:p w14:paraId="46A5A7FE" w14:textId="77777777" w:rsidR="004E65DF" w:rsidRPr="00F816A8" w:rsidRDefault="004E65DF" w:rsidP="00C8335E">
            <w:pPr>
              <w:spacing w:line="240" w:lineRule="auto"/>
              <w:rPr>
                <w:rFonts w:cs="Times New Roman"/>
                <w:szCs w:val="20"/>
              </w:rPr>
            </w:pPr>
            <w:r w:rsidRPr="00F816A8">
              <w:rPr>
                <w:rFonts w:cs="Times New Roman"/>
                <w:szCs w:val="20"/>
              </w:rPr>
              <w:t>Tower of London Freiburg version (TOL-F)</w:t>
            </w:r>
          </w:p>
        </w:tc>
        <w:tc>
          <w:tcPr>
            <w:tcW w:w="1262" w:type="dxa"/>
            <w:tcBorders>
              <w:top w:val="nil"/>
              <w:left w:val="nil"/>
              <w:bottom w:val="nil"/>
              <w:right w:val="nil"/>
            </w:tcBorders>
          </w:tcPr>
          <w:p w14:paraId="5C2A9E67" w14:textId="77777777" w:rsidR="004E65DF" w:rsidRPr="00F816A8" w:rsidRDefault="004E65DF" w:rsidP="00C8335E">
            <w:pPr>
              <w:spacing w:line="240" w:lineRule="auto"/>
              <w:jc w:val="center"/>
              <w:rPr>
                <w:rFonts w:cs="Times New Roman"/>
                <w:szCs w:val="20"/>
              </w:rPr>
            </w:pPr>
            <w:r w:rsidRPr="00F816A8">
              <w:rPr>
                <w:rFonts w:cs="Times New Roman"/>
                <w:szCs w:val="20"/>
              </w:rPr>
              <w:t>27 (15)</w:t>
            </w:r>
          </w:p>
        </w:tc>
        <w:tc>
          <w:tcPr>
            <w:tcW w:w="1262" w:type="dxa"/>
            <w:tcBorders>
              <w:top w:val="nil"/>
              <w:left w:val="nil"/>
              <w:bottom w:val="nil"/>
              <w:right w:val="nil"/>
            </w:tcBorders>
          </w:tcPr>
          <w:p w14:paraId="6A0BBB2B" w14:textId="77777777" w:rsidR="004E65DF" w:rsidRPr="00F816A8" w:rsidRDefault="004E65DF" w:rsidP="00C8335E">
            <w:pPr>
              <w:spacing w:line="240" w:lineRule="auto"/>
              <w:jc w:val="center"/>
              <w:rPr>
                <w:rFonts w:cs="Times New Roman"/>
                <w:szCs w:val="20"/>
              </w:rPr>
            </w:pPr>
            <w:r w:rsidRPr="00F816A8">
              <w:rPr>
                <w:rFonts w:cs="Times New Roman"/>
                <w:szCs w:val="20"/>
              </w:rPr>
              <w:t>22.6 (1.8)</w:t>
            </w:r>
          </w:p>
        </w:tc>
        <w:tc>
          <w:tcPr>
            <w:tcW w:w="1262" w:type="dxa"/>
            <w:tcBorders>
              <w:top w:val="nil"/>
              <w:left w:val="nil"/>
              <w:bottom w:val="nil"/>
              <w:right w:val="nil"/>
            </w:tcBorders>
          </w:tcPr>
          <w:p w14:paraId="5F185416"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56BC17A4" w14:textId="77777777" w:rsidTr="00C8335E">
        <w:tc>
          <w:tcPr>
            <w:tcW w:w="2694" w:type="dxa"/>
            <w:tcBorders>
              <w:top w:val="nil"/>
              <w:left w:val="nil"/>
              <w:bottom w:val="nil"/>
              <w:right w:val="nil"/>
            </w:tcBorders>
          </w:tcPr>
          <w:p w14:paraId="211F0822" w14:textId="77777777" w:rsidR="004E65DF" w:rsidRPr="00F816A8" w:rsidRDefault="004E65DF" w:rsidP="00C8335E">
            <w:pPr>
              <w:spacing w:line="240" w:lineRule="auto"/>
              <w:rPr>
                <w:rFonts w:cs="Times New Roman"/>
                <w:szCs w:val="20"/>
              </w:rPr>
            </w:pPr>
            <w:r w:rsidRPr="00F816A8">
              <w:rPr>
                <w:rFonts w:eastAsia="Calibri" w:cs="Times New Roman"/>
                <w:kern w:val="0"/>
                <w:szCs w:val="20"/>
                <w:lang w:eastAsia="en-GB"/>
                <w14:ligatures w14:val="none"/>
              </w:rPr>
              <w:fldChar w:fldCharType="begin"/>
            </w:r>
            <w:r w:rsidRPr="00F816A8">
              <w:rPr>
                <w:rFonts w:eastAsia="Calibri" w:cs="Times New Roman"/>
                <w:kern w:val="0"/>
                <w:szCs w:val="20"/>
                <w:lang w:eastAsia="en-GB"/>
                <w14:ligatures w14:val="none"/>
              </w:rPr>
              <w:instrText xml:space="preserve"> ADDIN ZOTERO_ITEM CSL_CITATION {"citationID":"WGOA1F1g","properties":{"formattedCitation":"(Heaton et al., 2014)","plainCitation":"(Heaton et al., 2014)","noteIndex":0},"citationItems":[{"id":130,"uris":["http://zotero.org/users/local/U8bdnYIb/items/UUK5DQUM"],"itemData":{"id":130,"type":"article-journal","abstract":"This study describes psychometric properties of the NIH Toolbox Cognition Battery (NIHTB-CB) Composite Scores in an adult sample. The NIHTB-CB was designed for use in epidemiologic studies and clinical trials for ages 3 to 85. A total of 268 self-described healthy adults were recruited at four university-based sites, using stratified sampling guidelines to target demographic variability for age (20–85 years), gender, education, and ethnicity. The NIHTB-CB contains seven computer-based instruments assessing five cognitive sub-domains: Language, Executive Function, Episodic Memory, Processing Speed, and Working Memory. Participants completed the NIHTB-CB, corresponding gold standard validation measures selected to tap the same cognitive abilities, and sociodemographic questionnaires. Three Composite Scores were derived for both the NIHTB-CB and gold standard batteries: “Crystallized Cognition Composite,” “Fluid Cognition Composite,” and “Total Cognition Composite” scores. NIHTB Composite Scores showed acceptable internal consistency (Cronbach’s alphas = 0.84 Crystallized, 0.83 Fluid, 0.77 Total), excellent test–retest reliability (r: 0.86–0.92), strong convergent (r: 0.78–0.90) and discriminant (r: 0.19–0.39) validities versus gold standard composites, and expected age effects (r = 0.18 crystallized, r = − 0.68 fluid, r = − 0.26 total). Significant relationships with self-reported prior school difficulties and current health status, employment, and presence of a disability provided evidence of external validity. The NIH Toolbox Cognition Battery Composite Scores have excellent reliability and validity, suggesting they can be used effectively in epidemiologic and clinical studies. (PsycINFO Database Record (c) 2018 APA, all rights reserved)","archive_location":"rayyan-567636557","container-title":"Journal of the International Neuropsychological Society","DOI":"10.1017/S1355617714000241","ISSN":"1469-7661(Electronic),1355-6177(Print)","issue":"6","note":"publisher-place: Heaton, Robert K.: Department of Psychiatry, UCSD School of Medicine, 9500 Gilman Drive, La Jolla, CA, US, 92093-0603, rheaton@ucsd.edu United Kingdom\npublisher: Cambridge University Press","page":"588-598","title":"Reliability and validity of composite scores from the NIH Toolbox Cognition Battery in adults.","volume":"20","author":[{"family":"Heaton","given":"Robert K."},{"family":"Akshoomoff","given":"Natacha"},{"family":"Tulsky","given":"David"},{"family":"Mungas","given":"Dan"},{"family":"Weintraub","given":"Sandra"},{"family":"Dikmen","given":"Sureyya"},{"family":"Beaumont","given":"Jennifer"},{"family":"Casaletto","given":"Kaitlin B."},{"family":"Conway","given":"Kevin"},{"family":"Slotkin","given":"Jerry"},{"family":"Gershon","given":"Richard"}],"issued":{"date-parts":[["2014"]]}}}],"schema":"https://github.com/citation-style-language/schema/raw/master/csl-citation.json"} </w:instrText>
            </w:r>
            <w:r w:rsidRPr="00F816A8">
              <w:rPr>
                <w:rFonts w:eastAsia="Calibri" w:cs="Times New Roman"/>
                <w:kern w:val="0"/>
                <w:szCs w:val="20"/>
                <w:lang w:eastAsia="en-GB"/>
                <w14:ligatures w14:val="none"/>
              </w:rPr>
              <w:fldChar w:fldCharType="separate"/>
            </w:r>
            <w:r w:rsidRPr="00F816A8">
              <w:rPr>
                <w:rFonts w:cs="Times New Roman"/>
              </w:rPr>
              <w:t>(Heaton et al., 2014)</w:t>
            </w:r>
            <w:r w:rsidRPr="00F816A8">
              <w:rPr>
                <w:rFonts w:eastAsia="Calibri" w:cs="Times New Roman"/>
                <w:kern w:val="0"/>
                <w:szCs w:val="20"/>
                <w:lang w:eastAsia="en-GB"/>
                <w14:ligatures w14:val="none"/>
              </w:rPr>
              <w:fldChar w:fldCharType="end"/>
            </w:r>
          </w:p>
        </w:tc>
        <w:tc>
          <w:tcPr>
            <w:tcW w:w="1701" w:type="dxa"/>
            <w:tcBorders>
              <w:top w:val="nil"/>
              <w:left w:val="nil"/>
              <w:bottom w:val="nil"/>
              <w:right w:val="nil"/>
            </w:tcBorders>
          </w:tcPr>
          <w:p w14:paraId="3E87B540" w14:textId="77777777" w:rsidR="004E65DF" w:rsidRPr="00F816A8" w:rsidRDefault="004E65DF" w:rsidP="00C8335E">
            <w:pPr>
              <w:spacing w:line="240" w:lineRule="auto"/>
              <w:rPr>
                <w:rFonts w:cs="Times New Roman"/>
                <w:szCs w:val="20"/>
              </w:rPr>
            </w:pPr>
            <w:r w:rsidRPr="00F816A8">
              <w:rPr>
                <w:rFonts w:cs="Times New Roman"/>
                <w:szCs w:val="20"/>
              </w:rPr>
              <w:t>United States</w:t>
            </w:r>
          </w:p>
        </w:tc>
        <w:tc>
          <w:tcPr>
            <w:tcW w:w="5811" w:type="dxa"/>
            <w:tcBorders>
              <w:top w:val="nil"/>
              <w:left w:val="nil"/>
              <w:bottom w:val="nil"/>
              <w:right w:val="nil"/>
            </w:tcBorders>
          </w:tcPr>
          <w:p w14:paraId="77413B3A" w14:textId="77777777" w:rsidR="004E65DF" w:rsidRPr="00F816A8" w:rsidRDefault="004E65DF" w:rsidP="00C8335E">
            <w:pPr>
              <w:spacing w:line="240" w:lineRule="auto"/>
              <w:rPr>
                <w:rFonts w:cs="Times New Roman"/>
                <w:szCs w:val="20"/>
              </w:rPr>
            </w:pPr>
            <w:r w:rsidRPr="00F816A8">
              <w:rPr>
                <w:rFonts w:cs="Times New Roman"/>
                <w:szCs w:val="20"/>
              </w:rPr>
              <w:t>National Institute of Health Toolbox Cognition Battery (NIHTB-CB)</w:t>
            </w:r>
          </w:p>
        </w:tc>
        <w:tc>
          <w:tcPr>
            <w:tcW w:w="1262" w:type="dxa"/>
            <w:tcBorders>
              <w:top w:val="nil"/>
              <w:left w:val="nil"/>
              <w:bottom w:val="nil"/>
              <w:right w:val="nil"/>
            </w:tcBorders>
          </w:tcPr>
          <w:p w14:paraId="1C8A1E41" w14:textId="77777777" w:rsidR="004E65DF" w:rsidRPr="00F816A8" w:rsidRDefault="004E65DF" w:rsidP="00C8335E">
            <w:pPr>
              <w:spacing w:line="240" w:lineRule="auto"/>
              <w:jc w:val="center"/>
              <w:rPr>
                <w:rFonts w:cs="Times New Roman"/>
                <w:szCs w:val="20"/>
              </w:rPr>
            </w:pPr>
            <w:r w:rsidRPr="00F816A8">
              <w:rPr>
                <w:rFonts w:cs="Times New Roman"/>
                <w:szCs w:val="20"/>
              </w:rPr>
              <w:t>268 (149)</w:t>
            </w:r>
          </w:p>
        </w:tc>
        <w:tc>
          <w:tcPr>
            <w:tcW w:w="1262" w:type="dxa"/>
            <w:tcBorders>
              <w:top w:val="nil"/>
              <w:left w:val="nil"/>
              <w:bottom w:val="nil"/>
              <w:right w:val="nil"/>
            </w:tcBorders>
          </w:tcPr>
          <w:p w14:paraId="79B75297" w14:textId="77777777" w:rsidR="004E65DF" w:rsidRPr="00F816A8" w:rsidRDefault="004E65DF" w:rsidP="00C8335E">
            <w:pPr>
              <w:spacing w:line="240" w:lineRule="auto"/>
              <w:jc w:val="center"/>
              <w:rPr>
                <w:rFonts w:cs="Times New Roman"/>
                <w:szCs w:val="20"/>
              </w:rPr>
            </w:pPr>
            <w:r w:rsidRPr="00F816A8">
              <w:rPr>
                <w:rFonts w:cs="Times New Roman"/>
                <w:szCs w:val="20"/>
              </w:rPr>
              <w:t>52.3 (21.0)</w:t>
            </w:r>
          </w:p>
        </w:tc>
        <w:tc>
          <w:tcPr>
            <w:tcW w:w="1262" w:type="dxa"/>
            <w:tcBorders>
              <w:top w:val="nil"/>
              <w:left w:val="nil"/>
              <w:bottom w:val="nil"/>
              <w:right w:val="nil"/>
            </w:tcBorders>
          </w:tcPr>
          <w:p w14:paraId="08E866CA" w14:textId="77777777" w:rsidR="004E65DF" w:rsidRPr="00F816A8" w:rsidRDefault="004E65DF" w:rsidP="00C8335E">
            <w:pPr>
              <w:spacing w:line="240" w:lineRule="auto"/>
              <w:jc w:val="center"/>
              <w:rPr>
                <w:rFonts w:cs="Times New Roman"/>
                <w:szCs w:val="20"/>
              </w:rPr>
            </w:pPr>
            <w:r w:rsidRPr="00F816A8">
              <w:rPr>
                <w:rFonts w:cs="Times New Roman"/>
                <w:szCs w:val="20"/>
              </w:rPr>
              <w:t>13.4 (2.9)</w:t>
            </w:r>
          </w:p>
        </w:tc>
      </w:tr>
      <w:tr w:rsidR="004E65DF" w:rsidRPr="00F816A8" w14:paraId="5531F03A" w14:textId="77777777" w:rsidTr="00C8335E">
        <w:tc>
          <w:tcPr>
            <w:tcW w:w="2694" w:type="dxa"/>
            <w:tcBorders>
              <w:top w:val="nil"/>
              <w:left w:val="nil"/>
              <w:bottom w:val="nil"/>
              <w:right w:val="nil"/>
            </w:tcBorders>
          </w:tcPr>
          <w:p w14:paraId="08E3DAA1"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{"citationID":"roDcLfsi","properties":{"formattedCitation":"(Troyer et al., 2014)","plainCitation":"(Troyer et al., 2014)","noteIndex":0},"citationItems":[{"id":168,"uris":["http://zotero.org/users/local/U8bdnYIb/items/I7JN2FCX"],"itemData":{"id":168,"type":"article-journal","abstract":"There is a need for rapid and reliable Internet-based screening tools for cognitive assessment in middle-aged and older adults. We report the psychometric properties of an on-line tool designed to screen for cognitive deficits that require further investigation. The tool is composed of measures of memory and executive attention processes known to be sensitive to brain changes associated with aging and with cognitive disorders that become more prevalent with age. Measures included a Spatial Working Memory task, Stroop Interference task, Face-Name Association task, and Number-Letter Alternation task. Normative data were collected from 361 healthy adults age 50-79 who scored in the normal range on a standardized measure of general cognitive ability. Participants took the 20-minute on-line test on their home computers, and a subset of 288 participants repeated the test 1 week later. Analyses of the individual tasks indicated adequate internal consistency, construct validity, test-retest reliability, and alternate version reliability. As expected, scores were correlated with age. The four tasks loaded on the same principle component. Demographically-corrected z-scores from the individual tasks were combined to create an overall score, which showed good reliability and classification consistency. These results indicate the tool may be useful for identifying middle-aged and older adults with lower than expected scores who may benefit from clinical evaluation of their cognition by a health care professional.","archive_location":"rayyan-567637770","container-title":"Frontiers in aging neuroscience","DOI":"10.3389/fnagi.2014.00335","ISSN":"1663-4365 (Print)","journalAbbreviation":"Front Aging Neurosci","language":"eng","note":"publisher-place: Switzerland","page":"335","title":"Development and evaluation of a self-administered on-line test of memory and attention for middle-aged and older adults.","volume":"6","author":[{"family":"Troyer","given":"A. K."},{"family":"Rowe","given":"G."},{"family":"Murphy","given":"K. J."},{"family":"Levine","given":"B."},{"family":"Leach","given":"L."},{"family":"Hasher","given":"L."}],"issued":{"date-parts":[["2014"]]}}}],"schema":"https://github.com/citation-style-language/schema/raw/master/csl-citation.json"} </w:instrText>
            </w:r>
            <w:r w:rsidRPr="00F816A8">
              <w:rPr>
                <w:rFonts w:cs="Times New Roman"/>
                <w:szCs w:val="20"/>
              </w:rPr>
              <w:fldChar w:fldCharType="separate"/>
            </w:r>
            <w:r w:rsidRPr="00F816A8">
              <w:rPr>
                <w:rFonts w:cs="Times New Roman"/>
              </w:rPr>
              <w:t>(Troyer et al., 2014)</w:t>
            </w:r>
            <w:r w:rsidRPr="00F816A8">
              <w:rPr>
                <w:rFonts w:cs="Times New Roman"/>
                <w:szCs w:val="20"/>
              </w:rPr>
              <w:fldChar w:fldCharType="end"/>
            </w:r>
          </w:p>
        </w:tc>
        <w:tc>
          <w:tcPr>
            <w:tcW w:w="1701" w:type="dxa"/>
            <w:tcBorders>
              <w:top w:val="nil"/>
              <w:left w:val="nil"/>
              <w:bottom w:val="nil"/>
              <w:right w:val="nil"/>
            </w:tcBorders>
          </w:tcPr>
          <w:p w14:paraId="2847031E" w14:textId="77777777" w:rsidR="004E65DF" w:rsidRPr="00F816A8" w:rsidRDefault="004E65DF" w:rsidP="00C8335E">
            <w:pPr>
              <w:spacing w:line="240" w:lineRule="auto"/>
              <w:rPr>
                <w:rFonts w:cs="Times New Roman"/>
                <w:szCs w:val="20"/>
              </w:rPr>
            </w:pPr>
            <w:r w:rsidRPr="00F816A8">
              <w:rPr>
                <w:rFonts w:cs="Times New Roman"/>
                <w:szCs w:val="20"/>
              </w:rPr>
              <w:t>Canada</w:t>
            </w:r>
          </w:p>
        </w:tc>
        <w:tc>
          <w:tcPr>
            <w:tcW w:w="5811" w:type="dxa"/>
            <w:tcBorders>
              <w:top w:val="nil"/>
              <w:left w:val="nil"/>
              <w:bottom w:val="nil"/>
              <w:right w:val="nil"/>
            </w:tcBorders>
          </w:tcPr>
          <w:p w14:paraId="474F6B51" w14:textId="77777777" w:rsidR="004E65DF" w:rsidRPr="00F816A8" w:rsidRDefault="004E65DF" w:rsidP="00C8335E">
            <w:pPr>
              <w:spacing w:line="240" w:lineRule="auto"/>
              <w:rPr>
                <w:rFonts w:cs="Times New Roman"/>
                <w:szCs w:val="20"/>
              </w:rPr>
            </w:pPr>
            <w:r w:rsidRPr="00F816A8">
              <w:rPr>
                <w:rFonts w:cs="Times New Roman"/>
                <w:szCs w:val="20"/>
              </w:rPr>
              <w:t>Online EF tests tool (Set 3)</w:t>
            </w:r>
          </w:p>
        </w:tc>
        <w:tc>
          <w:tcPr>
            <w:tcW w:w="1262" w:type="dxa"/>
            <w:tcBorders>
              <w:top w:val="nil"/>
              <w:left w:val="nil"/>
              <w:bottom w:val="nil"/>
              <w:right w:val="nil"/>
            </w:tcBorders>
          </w:tcPr>
          <w:p w14:paraId="4CD4DEF6" w14:textId="77777777" w:rsidR="004E65DF" w:rsidRPr="00F816A8" w:rsidRDefault="004E65DF" w:rsidP="00C8335E">
            <w:pPr>
              <w:spacing w:line="240" w:lineRule="auto"/>
              <w:jc w:val="center"/>
              <w:rPr>
                <w:rFonts w:cs="Times New Roman"/>
                <w:szCs w:val="20"/>
              </w:rPr>
            </w:pPr>
            <w:r w:rsidRPr="00F816A8">
              <w:rPr>
                <w:rFonts w:cs="Times New Roman"/>
                <w:szCs w:val="20"/>
              </w:rPr>
              <w:t>396 (202)</w:t>
            </w:r>
          </w:p>
        </w:tc>
        <w:tc>
          <w:tcPr>
            <w:tcW w:w="1262" w:type="dxa"/>
            <w:tcBorders>
              <w:top w:val="nil"/>
              <w:left w:val="nil"/>
              <w:bottom w:val="nil"/>
              <w:right w:val="nil"/>
            </w:tcBorders>
          </w:tcPr>
          <w:p w14:paraId="1D7A69B9" w14:textId="77777777" w:rsidR="004E65DF" w:rsidRPr="00F816A8" w:rsidRDefault="004E65DF" w:rsidP="00C8335E">
            <w:pPr>
              <w:spacing w:line="240" w:lineRule="auto"/>
              <w:jc w:val="center"/>
              <w:rPr>
                <w:rFonts w:cs="Times New Roman"/>
                <w:szCs w:val="20"/>
              </w:rPr>
            </w:pPr>
            <w:r w:rsidRPr="00F816A8">
              <w:rPr>
                <w:rFonts w:cs="Times New Roman"/>
                <w:szCs w:val="20"/>
              </w:rPr>
              <w:t>65.0 (8.2)</w:t>
            </w:r>
          </w:p>
        </w:tc>
        <w:tc>
          <w:tcPr>
            <w:tcW w:w="1262" w:type="dxa"/>
            <w:tcBorders>
              <w:top w:val="nil"/>
              <w:left w:val="nil"/>
              <w:bottom w:val="nil"/>
              <w:right w:val="nil"/>
            </w:tcBorders>
          </w:tcPr>
          <w:p w14:paraId="7C369653"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r w:rsidR="004E65DF" w:rsidRPr="00F816A8" w14:paraId="653271B4" w14:textId="77777777" w:rsidTr="00C8335E">
        <w:tc>
          <w:tcPr>
            <w:tcW w:w="2694" w:type="dxa"/>
            <w:tcBorders>
              <w:top w:val="nil"/>
              <w:left w:val="nil"/>
              <w:bottom w:val="single" w:sz="4" w:space="0" w:color="auto"/>
              <w:right w:val="nil"/>
            </w:tcBorders>
          </w:tcPr>
          <w:p w14:paraId="77D9C77F" w14:textId="77777777" w:rsidR="004E65DF" w:rsidRPr="00F816A8" w:rsidRDefault="004E65DF" w:rsidP="00C8335E">
            <w:pPr>
              <w:spacing w:line="240" w:lineRule="auto"/>
              <w:rPr>
                <w:rFonts w:cs="Times New Roman"/>
                <w:szCs w:val="20"/>
              </w:rPr>
            </w:pPr>
            <w:r w:rsidRPr="00F816A8">
              <w:rPr>
                <w:rFonts w:cs="Times New Roman"/>
                <w:szCs w:val="20"/>
              </w:rPr>
              <w:fldChar w:fldCharType="begin"/>
            </w:r>
            <w:r w:rsidRPr="00F816A8">
              <w:rPr>
                <w:rFonts w:cs="Times New Roman"/>
                <w:szCs w:val="20"/>
              </w:rPr>
              <w:instrText xml:space="preserve"> ADDIN ZOTERO_ITEM CSL_CITATION {"citationID":"Y9u537zR","properties":{"formattedCitation":"(Aalbers et al., 2013)","plainCitation":"(Aalbers et al., 2013)","noteIndex":0},"citationItems":[{"id":136,"uris":["http://zotero.org/users/local/U8bdnYIb/items/WRMABMGJ"],"itemData":{"id":136,"type":"article-journal","abstract":"Background: Online interventions are aiming increasingly at cognitive outcome measures but so far no easy and fast self-monitors for cognition have been validated or proven reliable and feasible. Objective: This study examines a new instrument called the Brain Aging Monitor–Cognitive Assessment Battery (BAM-COG) for its alternate forms reliability, face and content validity, and convergent and divergent validity. Also, reference values are provided. Methods: The BAM-COG consists of four easily accessible, short, yet challenging puzzle games that have been developed to measure working memory (“Conveyer Belt”), visuospatial short-term memory (“Sunshine”), episodic recognition memory (“Viewpoint”), and planning (“Papyrinth”). A total of 641 participants were recruited for this study. Of these, 397 adults, 40 years and older (mean 54.9, SD 9.6), were eligible for analysis. Study participants played all games three times with 14 days in between sets. Face and content validity were based on expert opinion. Alternate forms reliability (AFR) was measured by comparing scores on different versions of the BAM-COG and expressed with an intraclass correlation (ICC: two-way mixed; consistency at 95%). Convergent validity (CV) was provided by comparing BAM-COG scores to gold-standard paper-and-pencil and computer-assisted cognitive assessment. Divergent validity (DV) was measured by comparing BAM-COG scores to the National Adult Reading Test IQ (NART-IQ) estimate. Both CV and DV are expressed as Spearman rho correlation coefficients. Results: Three out of four games showed adequate results on AFR, CV, and DV measures. The games Conveyer Belt, Sunshine, and Papyrinth have AFR ICCs of .420, .426, and .645 respectively. Also, these games had good to very good CV correlations: rho = .577 (P = .001), rho = .669 (P P = .04), respectively. Last, as expected, DV correlations were low: rho = −.029 (P = .44), rho = −.029 (P = .45), and rho = −.134 (P = .28) respectively. The game Viewpoint provided less desirable results with an AFR ICC of .167, CV rho = .202 (P = .15), and DV rho = −.162 (P = .21). Conclusions: This study provides evidence for the use of the BAM-COG test battery as a feasible, reliable, and valid tool to monitor cognitive performance in healthy adults in an online setting. Three out of four games have good psychometric characteristics to measure working memory, visuospatial short-term memory, and planning capacity. (PsycInfo Database Record (c) 2022 APA, all rights reserved)","archive_location":"rayyan-567636672","container-title":"Journal of Medical Internet Research","DOI":"10.2196/jmir.2860","ISSN":"1438-8871(Electronic),1439-4456(Print)","issue":"12","note":"publisher-place: Aalbers, Teun: Radboud University Medical Center, Department of Geriatric Medicine, Reinier Postlaan 4, Nijmegen, Netherlands, 6500 HB, teun.aalbers@radboudumc.nl Canada\npublisher: Gunther Eysenbach","page":"183-193","title":"Puzzling with online games (BAM-COG): Reliability, validity, and feasibility of an online self-monitor for cognitive performance in aging adults.","volume":"15","author":[{"family":"Aalbers","given":"T."},{"family":"Baars","given":"M. A. E."},{"family":"Rikkert","given":"M. G. M. O."},{"family":"Kessels","given":"R. P. C."}],"issued":{"date-parts":[["2013"]]}}}],"schema":"https://github.com/citation-style-language/schema/raw/master/csl-citation.json"} </w:instrText>
            </w:r>
            <w:r w:rsidRPr="00F816A8">
              <w:rPr>
                <w:rFonts w:cs="Times New Roman"/>
                <w:szCs w:val="20"/>
              </w:rPr>
              <w:fldChar w:fldCharType="separate"/>
            </w:r>
            <w:r w:rsidRPr="00F816A8">
              <w:rPr>
                <w:rFonts w:cs="Times New Roman"/>
              </w:rPr>
              <w:t>(Aalbers et al., 2013)</w:t>
            </w:r>
            <w:r w:rsidRPr="00F816A8">
              <w:rPr>
                <w:rFonts w:cs="Times New Roman"/>
                <w:szCs w:val="20"/>
              </w:rPr>
              <w:fldChar w:fldCharType="end"/>
            </w:r>
          </w:p>
        </w:tc>
        <w:tc>
          <w:tcPr>
            <w:tcW w:w="1701" w:type="dxa"/>
            <w:tcBorders>
              <w:top w:val="nil"/>
              <w:left w:val="nil"/>
              <w:bottom w:val="single" w:sz="4" w:space="0" w:color="auto"/>
              <w:right w:val="nil"/>
            </w:tcBorders>
          </w:tcPr>
          <w:p w14:paraId="78C73896" w14:textId="77777777" w:rsidR="004E65DF" w:rsidRPr="00F816A8" w:rsidRDefault="004E65DF" w:rsidP="00C8335E">
            <w:pPr>
              <w:spacing w:line="240" w:lineRule="auto"/>
              <w:rPr>
                <w:rFonts w:cs="Times New Roman"/>
                <w:szCs w:val="20"/>
              </w:rPr>
            </w:pPr>
            <w:r w:rsidRPr="00F816A8">
              <w:rPr>
                <w:rFonts w:cs="Times New Roman"/>
                <w:szCs w:val="20"/>
              </w:rPr>
              <w:t>Netherlands</w:t>
            </w:r>
          </w:p>
        </w:tc>
        <w:tc>
          <w:tcPr>
            <w:tcW w:w="5811" w:type="dxa"/>
            <w:tcBorders>
              <w:top w:val="nil"/>
              <w:left w:val="nil"/>
              <w:bottom w:val="single" w:sz="4" w:space="0" w:color="auto"/>
              <w:right w:val="nil"/>
            </w:tcBorders>
          </w:tcPr>
          <w:p w14:paraId="0DD2D09A" w14:textId="77777777" w:rsidR="004E65DF" w:rsidRPr="00F816A8" w:rsidRDefault="004E65DF" w:rsidP="00C8335E">
            <w:pPr>
              <w:spacing w:line="240" w:lineRule="auto"/>
              <w:rPr>
                <w:rFonts w:cs="Times New Roman"/>
                <w:szCs w:val="20"/>
              </w:rPr>
            </w:pPr>
            <w:r w:rsidRPr="00F816A8">
              <w:rPr>
                <w:rFonts w:cs="Times New Roman"/>
                <w:szCs w:val="20"/>
              </w:rPr>
              <w:t>Brain Aging Monitor-Cognitive Assessment Battery (BAM</w:t>
            </w:r>
            <w:r>
              <w:rPr>
                <w:rFonts w:cs="Times New Roman"/>
                <w:szCs w:val="20"/>
              </w:rPr>
              <w:t>)</w:t>
            </w:r>
          </w:p>
        </w:tc>
        <w:tc>
          <w:tcPr>
            <w:tcW w:w="1262" w:type="dxa"/>
            <w:tcBorders>
              <w:top w:val="nil"/>
              <w:left w:val="nil"/>
              <w:bottom w:val="single" w:sz="4" w:space="0" w:color="auto"/>
              <w:right w:val="nil"/>
            </w:tcBorders>
          </w:tcPr>
          <w:p w14:paraId="6B994C08" w14:textId="77777777" w:rsidR="004E65DF" w:rsidRPr="00F816A8" w:rsidRDefault="004E65DF" w:rsidP="00C8335E">
            <w:pPr>
              <w:spacing w:line="240" w:lineRule="auto"/>
              <w:jc w:val="center"/>
              <w:rPr>
                <w:rFonts w:cs="Times New Roman"/>
                <w:szCs w:val="20"/>
              </w:rPr>
            </w:pPr>
            <w:r w:rsidRPr="00F816A8">
              <w:rPr>
                <w:rFonts w:cs="Times New Roman"/>
                <w:szCs w:val="20"/>
              </w:rPr>
              <w:t>397 (312)</w:t>
            </w:r>
          </w:p>
        </w:tc>
        <w:tc>
          <w:tcPr>
            <w:tcW w:w="1262" w:type="dxa"/>
            <w:tcBorders>
              <w:top w:val="nil"/>
              <w:left w:val="nil"/>
              <w:bottom w:val="single" w:sz="4" w:space="0" w:color="auto"/>
              <w:right w:val="nil"/>
            </w:tcBorders>
          </w:tcPr>
          <w:p w14:paraId="7306AF90" w14:textId="77777777" w:rsidR="004E65DF" w:rsidRPr="00F816A8" w:rsidRDefault="004E65DF" w:rsidP="00C8335E">
            <w:pPr>
              <w:spacing w:line="240" w:lineRule="auto"/>
              <w:jc w:val="center"/>
              <w:rPr>
                <w:rFonts w:cs="Times New Roman"/>
                <w:szCs w:val="20"/>
              </w:rPr>
            </w:pPr>
            <w:r w:rsidRPr="00F816A8">
              <w:rPr>
                <w:rFonts w:cs="Times New Roman"/>
                <w:szCs w:val="20"/>
              </w:rPr>
              <w:t>54.9 (9.6)</w:t>
            </w:r>
          </w:p>
        </w:tc>
        <w:tc>
          <w:tcPr>
            <w:tcW w:w="1262" w:type="dxa"/>
            <w:tcBorders>
              <w:top w:val="nil"/>
              <w:left w:val="nil"/>
              <w:bottom w:val="single" w:sz="4" w:space="0" w:color="auto"/>
              <w:right w:val="nil"/>
            </w:tcBorders>
          </w:tcPr>
          <w:p w14:paraId="628A0D70" w14:textId="77777777" w:rsidR="004E65DF" w:rsidRPr="00F816A8" w:rsidRDefault="004E65DF" w:rsidP="00C8335E">
            <w:pPr>
              <w:spacing w:line="240" w:lineRule="auto"/>
              <w:jc w:val="center"/>
              <w:rPr>
                <w:rFonts w:cs="Times New Roman"/>
                <w:szCs w:val="20"/>
              </w:rPr>
            </w:pPr>
            <w:r w:rsidRPr="00F816A8">
              <w:rPr>
                <w:rFonts w:cs="Times New Roman"/>
                <w:szCs w:val="20"/>
              </w:rPr>
              <w:t>-</w:t>
            </w:r>
          </w:p>
        </w:tc>
      </w:tr>
    </w:tbl>
    <w:p w14:paraId="5B40F56F" w14:textId="77777777" w:rsidR="004E65DF" w:rsidRPr="00F816A8" w:rsidRDefault="004E65DF" w:rsidP="004E65DF">
      <w:pPr>
        <w:spacing w:line="360" w:lineRule="auto"/>
        <w:rPr>
          <w:rFonts w:cs="Times New Roman"/>
          <w:szCs w:val="20"/>
        </w:rPr>
      </w:pPr>
      <w:r w:rsidRPr="00F816A8">
        <w:rPr>
          <w:rFonts w:cs="Times New Roman"/>
          <w:szCs w:val="20"/>
        </w:rPr>
        <w:t>Note. F = female; M</w:t>
      </w:r>
      <w:r w:rsidRPr="00F816A8">
        <w:rPr>
          <w:rFonts w:cs="Times New Roman"/>
          <w:szCs w:val="20"/>
          <w:vertAlign w:val="subscript"/>
        </w:rPr>
        <w:t>AGE</w:t>
      </w:r>
      <w:r w:rsidRPr="00F816A8">
        <w:rPr>
          <w:rFonts w:cs="Times New Roman"/>
          <w:szCs w:val="20"/>
        </w:rPr>
        <w:t xml:space="preserve"> = mean age (years); M</w:t>
      </w:r>
      <w:r w:rsidRPr="00F816A8">
        <w:rPr>
          <w:rFonts w:cs="Times New Roman"/>
          <w:szCs w:val="20"/>
          <w:vertAlign w:val="subscript"/>
        </w:rPr>
        <w:t>EDU</w:t>
      </w:r>
      <w:r w:rsidRPr="00F816A8">
        <w:rPr>
          <w:rFonts w:cs="Times New Roman"/>
          <w:szCs w:val="20"/>
        </w:rPr>
        <w:t xml:space="preserve"> = mean education (years); SD = standard deviation; y.a.: young adults; o.a.: older adults; y.o.: years old; Set 1: Pro, Anti and Pro/Anti, Simon, Flanker, Forward and Backward Spatial, and 2-back tests; Set 1: Working Memory, Tower, Divided Attention, Stroop, Verbal Fluency, Word List, Confrontation Naming tests, Coding and Telephone tests; Set 2 = Simon, Visuoverbal and Visuospatial N-back, Letter-memory and the Number–letter tasks; Set 3: Spatial Working Memory, Stroop Interference, Face-Name Association, and Number-Letter Alternation tasks.</w:t>
      </w:r>
    </w:p>
    <w:p w14:paraId="66148481" w14:textId="77777777" w:rsidR="004E65DF" w:rsidRPr="00F816A8" w:rsidRDefault="004E65DF" w:rsidP="004E65DF">
      <w:pPr>
        <w:spacing w:after="160" w:line="278" w:lineRule="auto"/>
        <w:rPr>
          <w:rFonts w:cs="Times New Roman"/>
          <w:szCs w:val="20"/>
        </w:rPr>
      </w:pPr>
      <w:r w:rsidRPr="00F816A8">
        <w:rPr>
          <w:rFonts w:cs="Times New Roman"/>
          <w:szCs w:val="20"/>
        </w:rPr>
        <w:br w:type="page"/>
      </w:r>
    </w:p>
    <w:p w14:paraId="3C2C3942" w14:textId="77777777" w:rsidR="004E65DF" w:rsidRPr="00F816A8" w:rsidRDefault="004E65DF" w:rsidP="004E65DF">
      <w:pPr>
        <w:rPr>
          <w:rFonts w:cs="Times New Roman"/>
          <w:b/>
          <w:bCs/>
          <w:szCs w:val="20"/>
        </w:rPr>
        <w:sectPr w:rsidR="004E65DF" w:rsidRPr="00F816A8" w:rsidSect="004E65DF">
          <w:pgSz w:w="16838" w:h="11906" w:orient="landscape"/>
          <w:pgMar w:top="1440" w:right="1440" w:bottom="1440" w:left="1440" w:header="709" w:footer="709" w:gutter="0"/>
          <w:cols w:space="708"/>
          <w:docGrid w:linePitch="360"/>
        </w:sectPr>
      </w:pPr>
    </w:p>
    <w:p w14:paraId="216F0801" w14:textId="77777777" w:rsidR="004E65DF" w:rsidRPr="00F816A8" w:rsidRDefault="004E65DF" w:rsidP="004E65DF">
      <w:pPr>
        <w:pStyle w:val="Heading2"/>
      </w:pPr>
      <w:r>
        <w:lastRenderedPageBreak/>
        <w:t>Table</w:t>
      </w:r>
      <w:r w:rsidRPr="00F816A8">
        <w:t xml:space="preserve"> 2</w:t>
      </w:r>
    </w:p>
    <w:p w14:paraId="3B92C8E2" w14:textId="77777777" w:rsidR="004E65DF" w:rsidRPr="00F816A8" w:rsidRDefault="004E65DF" w:rsidP="004E65DF">
      <w:pPr>
        <w:rPr>
          <w:i/>
          <w:iCs/>
        </w:rPr>
      </w:pPr>
      <w:r w:rsidRPr="00F816A8">
        <w:rPr>
          <w:i/>
          <w:iCs/>
        </w:rPr>
        <w:t>Risk of bias in the reviewed studies</w:t>
      </w:r>
    </w:p>
    <w:tbl>
      <w:tblPr>
        <w:tblW w:w="9026" w:type="dxa"/>
        <w:tblCellMar>
          <w:top w:w="28" w:type="dxa"/>
          <w:left w:w="57" w:type="dxa"/>
          <w:bottom w:w="28" w:type="dxa"/>
          <w:right w:w="57" w:type="dxa"/>
        </w:tblCellMar>
        <w:tblLook w:val="04A0" w:firstRow="1" w:lastRow="0" w:firstColumn="1" w:lastColumn="0" w:noHBand="0" w:noVBand="1"/>
      </w:tblPr>
      <w:tblGrid>
        <w:gridCol w:w="2665"/>
        <w:gridCol w:w="634"/>
        <w:gridCol w:w="274"/>
        <w:gridCol w:w="680"/>
        <w:gridCol w:w="228"/>
        <w:gridCol w:w="891"/>
        <w:gridCol w:w="18"/>
        <w:gridCol w:w="908"/>
        <w:gridCol w:w="909"/>
        <w:gridCol w:w="85"/>
        <w:gridCol w:w="801"/>
        <w:gridCol w:w="22"/>
        <w:gridCol w:w="911"/>
      </w:tblGrid>
      <w:tr w:rsidR="004E65DF" w:rsidRPr="006A086B" w14:paraId="0C9124EA" w14:textId="77777777" w:rsidTr="00C8335E">
        <w:trPr>
          <w:trHeight w:val="520"/>
        </w:trPr>
        <w:tc>
          <w:tcPr>
            <w:tcW w:w="2665" w:type="dxa"/>
            <w:tcBorders>
              <w:top w:val="single" w:sz="4" w:space="0" w:color="auto"/>
              <w:left w:val="nil"/>
              <w:right w:val="nil"/>
            </w:tcBorders>
            <w:vAlign w:val="center"/>
          </w:tcPr>
          <w:p w14:paraId="09315AA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p>
        </w:tc>
        <w:tc>
          <w:tcPr>
            <w:tcW w:w="3633" w:type="dxa"/>
            <w:gridSpan w:val="7"/>
            <w:tcBorders>
              <w:top w:val="single" w:sz="4" w:space="0" w:color="auto"/>
              <w:left w:val="nil"/>
              <w:bottom w:val="single" w:sz="4" w:space="0" w:color="auto"/>
              <w:right w:val="nil"/>
            </w:tcBorders>
            <w:vAlign w:val="center"/>
          </w:tcPr>
          <w:p w14:paraId="456E5B6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Risk of bias</w:t>
            </w:r>
          </w:p>
        </w:tc>
        <w:tc>
          <w:tcPr>
            <w:tcW w:w="2728" w:type="dxa"/>
            <w:gridSpan w:val="5"/>
            <w:tcBorders>
              <w:top w:val="single" w:sz="4" w:space="0" w:color="auto"/>
              <w:left w:val="nil"/>
              <w:bottom w:val="single" w:sz="4" w:space="0" w:color="auto"/>
              <w:right w:val="nil"/>
            </w:tcBorders>
            <w:vAlign w:val="center"/>
          </w:tcPr>
          <w:p w14:paraId="35B56FD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Applicability concerns</w:t>
            </w:r>
          </w:p>
        </w:tc>
      </w:tr>
      <w:tr w:rsidR="004E65DF" w:rsidRPr="006A086B" w14:paraId="6F970605" w14:textId="77777777" w:rsidTr="00C8335E">
        <w:trPr>
          <w:trHeight w:val="520"/>
        </w:trPr>
        <w:tc>
          <w:tcPr>
            <w:tcW w:w="2665" w:type="dxa"/>
            <w:tcBorders>
              <w:left w:val="nil"/>
              <w:bottom w:val="single" w:sz="4" w:space="0" w:color="auto"/>
              <w:right w:val="nil"/>
            </w:tcBorders>
            <w:vAlign w:val="center"/>
            <w:hideMark/>
          </w:tcPr>
          <w:p w14:paraId="3741DE4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Study</w:t>
            </w:r>
          </w:p>
        </w:tc>
        <w:tc>
          <w:tcPr>
            <w:tcW w:w="634" w:type="dxa"/>
            <w:tcBorders>
              <w:top w:val="single" w:sz="4" w:space="0" w:color="auto"/>
              <w:left w:val="nil"/>
              <w:bottom w:val="single" w:sz="4" w:space="0" w:color="auto"/>
              <w:right w:val="nil"/>
            </w:tcBorders>
            <w:vAlign w:val="center"/>
            <w:hideMark/>
          </w:tcPr>
          <w:p w14:paraId="74F834C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PS</w:t>
            </w:r>
          </w:p>
        </w:tc>
        <w:tc>
          <w:tcPr>
            <w:tcW w:w="954" w:type="dxa"/>
            <w:gridSpan w:val="2"/>
            <w:tcBorders>
              <w:top w:val="single" w:sz="4" w:space="0" w:color="auto"/>
              <w:left w:val="nil"/>
              <w:bottom w:val="single" w:sz="4" w:space="0" w:color="auto"/>
              <w:right w:val="nil"/>
            </w:tcBorders>
            <w:vAlign w:val="center"/>
            <w:hideMark/>
          </w:tcPr>
          <w:p w14:paraId="710CEBD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IT</w:t>
            </w:r>
          </w:p>
        </w:tc>
        <w:tc>
          <w:tcPr>
            <w:tcW w:w="1119" w:type="dxa"/>
            <w:gridSpan w:val="2"/>
            <w:tcBorders>
              <w:top w:val="single" w:sz="4" w:space="0" w:color="auto"/>
              <w:left w:val="nil"/>
              <w:bottom w:val="single" w:sz="4" w:space="0" w:color="auto"/>
              <w:right w:val="nil"/>
            </w:tcBorders>
            <w:vAlign w:val="center"/>
            <w:hideMark/>
          </w:tcPr>
          <w:p w14:paraId="17BF75C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RS</w:t>
            </w:r>
          </w:p>
        </w:tc>
        <w:tc>
          <w:tcPr>
            <w:tcW w:w="926" w:type="dxa"/>
            <w:gridSpan w:val="2"/>
            <w:tcBorders>
              <w:top w:val="single" w:sz="4" w:space="0" w:color="auto"/>
              <w:left w:val="nil"/>
              <w:bottom w:val="single" w:sz="4" w:space="0" w:color="auto"/>
              <w:right w:val="nil"/>
            </w:tcBorders>
            <w:vAlign w:val="center"/>
            <w:hideMark/>
          </w:tcPr>
          <w:p w14:paraId="2716772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FT</w:t>
            </w:r>
          </w:p>
        </w:tc>
        <w:tc>
          <w:tcPr>
            <w:tcW w:w="994" w:type="dxa"/>
            <w:gridSpan w:val="2"/>
            <w:tcBorders>
              <w:top w:val="single" w:sz="4" w:space="0" w:color="auto"/>
              <w:left w:val="nil"/>
              <w:bottom w:val="single" w:sz="4" w:space="0" w:color="auto"/>
              <w:right w:val="nil"/>
            </w:tcBorders>
            <w:vAlign w:val="center"/>
          </w:tcPr>
          <w:p w14:paraId="23E6434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PS</w:t>
            </w:r>
          </w:p>
        </w:tc>
        <w:tc>
          <w:tcPr>
            <w:tcW w:w="801" w:type="dxa"/>
            <w:tcBorders>
              <w:top w:val="single" w:sz="4" w:space="0" w:color="auto"/>
              <w:left w:val="nil"/>
              <w:bottom w:val="single" w:sz="4" w:space="0" w:color="auto"/>
              <w:right w:val="nil"/>
            </w:tcBorders>
            <w:vAlign w:val="center"/>
          </w:tcPr>
          <w:p w14:paraId="53AEC28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IT</w:t>
            </w:r>
          </w:p>
        </w:tc>
        <w:tc>
          <w:tcPr>
            <w:tcW w:w="933" w:type="dxa"/>
            <w:gridSpan w:val="2"/>
            <w:tcBorders>
              <w:top w:val="single" w:sz="4" w:space="0" w:color="auto"/>
              <w:left w:val="nil"/>
              <w:bottom w:val="single" w:sz="4" w:space="0" w:color="auto"/>
              <w:right w:val="nil"/>
            </w:tcBorders>
            <w:vAlign w:val="center"/>
          </w:tcPr>
          <w:p w14:paraId="726A359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RS</w:t>
            </w:r>
          </w:p>
        </w:tc>
      </w:tr>
      <w:tr w:rsidR="004E65DF" w:rsidRPr="006A086B" w14:paraId="797494EA" w14:textId="77777777" w:rsidTr="00C8335E">
        <w:trPr>
          <w:trHeight w:val="290"/>
        </w:trPr>
        <w:tc>
          <w:tcPr>
            <w:tcW w:w="2665" w:type="dxa"/>
            <w:tcBorders>
              <w:top w:val="nil"/>
              <w:left w:val="nil"/>
              <w:bottom w:val="nil"/>
              <w:right w:val="nil"/>
            </w:tcBorders>
            <w:vAlign w:val="center"/>
            <w:hideMark/>
          </w:tcPr>
          <w:p w14:paraId="0FCEED1F"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{"citationID":"XOtX0sBd","properties":{"formattedCitation":"(Bergman et al., 2025)","plainCitation":"(Bergman et al., 2025)","noteIndex":0},"citationItems":[{"id":1204,"uris":["http://zotero.org/users/local/U8bdnYIb/items/FCMMUFIF"],"itemData":{"id":1204,"type":"article-journal","abstract":"The present study aimed to establish test–retest reliability and investigate practice effects of the Mindmore cognitive assessment tool, a digital adaptation of traditional pencil and paper tests designed for self-administration. Additionally, normative change scores for the most frequently used tests were derived. A total of 149 healthy Swedish adults (aged 20–79) completed the test battery twice, 1 month apart. The battery assessed attention and processing speed, memory, language, visuospatial functions, and executive functions. Test–retest reliability, measured by ICC and Spearman coefficients, and practice effects were estimated for 22 main-scores and 33 sub-scores. Regression models were used to assess change in performance while controlling for demographics, computer equipment, testing location (online or in-laboratory) and baseline performance for 12 main-scores and nine sub-scores. Test–retest reliability was good for 11 main-scores (≥0.70), satisfactory for five (0.60–0.69), and minimal for six (&lt;0.60) albeit three having satisfactory sub-scores. Practice effects were observed for tests with a major speed component, but not for reaction time, sustained attention, verbal memory and naming (alternate forms), nor visuospatial functions. Trackpad negatively influenced change for one test. Demographics and testing location did not significantly affect the change scores. Our study provides support for test–retest reliability and practice effects of the Mindmore cognitive assessment tool which were comparable to those of traditional tests. These findings, together with the normative change scores, can aid researchers and clinicians in interpreting test results and distinguishing between normal variations in performance and changes indicative of clinical impairment.","container-title":"Scandinavian Journal of Psychology","DOI":"10.1111/sjop.13054","ISSN":"1467-9450","issue":"1","language":"en","license":"© 2024 The Author(s). Scandinavian Journal of Psychology published by Scandinavian Psychological Associations and John Wiley &amp; Sons Ltd.","note":"_eprint: https://onlinelibrary.wiley.com/doi/pdf/10.1111/sjop.13054","page":"1-14","source":"Wiley Online Library","title":"Test–retest reliability, practice effects and estimates of change: A study on the Mindmore digital cognitive assessment tool","title-short":"Test–retest reliability, practice effects and estimates of change","volume":"66","author":[{"family":"Bergman","given":"I."},{"family":"Franke Föyen","given":"L."},{"family":"Gustavsson","given":"A."},{"family":"Van den Hurk","given":"W."}],"issued":{"date-parts":[["2025"]]}}}],"schema":"https://github.com/citation-style-language/schema/raw/master/csl-citation.json"}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(Bergman et al., 2025)</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106B891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087808F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7FFD712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vAlign w:val="bottom"/>
            <w:hideMark/>
          </w:tcPr>
          <w:p w14:paraId="38EADB8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24F5B02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007297C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4735E3E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1DAF4845" w14:textId="77777777" w:rsidTr="00C8335E">
        <w:trPr>
          <w:trHeight w:val="290"/>
        </w:trPr>
        <w:tc>
          <w:tcPr>
            <w:tcW w:w="2665" w:type="dxa"/>
            <w:tcBorders>
              <w:top w:val="nil"/>
              <w:left w:val="nil"/>
              <w:bottom w:val="nil"/>
              <w:right w:val="nil"/>
            </w:tcBorders>
            <w:vAlign w:val="center"/>
            <w:hideMark/>
          </w:tcPr>
          <w:p w14:paraId="0881E0AE"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{"citationID":"FWLpyPFK","properties":{"formattedCitation":"(Bruno et al., 2024)","plainCitation":"(Bruno et al., 2024)","noteIndex":0},"citationItems":[{"id":1209,"uris":["http://zotero.org/users/local/U8bdnYIb/items/MK3FBDPW"],"itemData":{"id":1209,"type":"article-journal","abstract":"The Aggie Figures Learning Test (AFLT) is a visual memory assessment tool, which was constructed as an analog to the Rey Auditory Verbal Learning Test (RAVLT). Since the test holds close resemblance to the RAVLT, it is possible to make meaningful comparisons between these two tests. These comparisons are notably relevant in the assessment of material-specific memory impairments in epilepsy. However, the AFLT convergent validity has not yet been established. Objective: The purpose of the present study was to demonstrate the convergent validity of the AFLT and to provide norms for an adult population ranging from 18 to 58. Method: 140 healthy volunteers participated in the study. They ranged in age from 18 to 58 years, with 12 to 25 years of education. Subjects were assessed with a comprehensive neuropsychological battery which included the ALFT (A version) and the Rey–Osterrieth Complex Figure (ROCF). Results: Positive correlations were found between the scores of both tests for recent memory (r = 0.606, p &lt; 0.01), delayed free recall (r = 0.534, p &lt; 0.01) and recognition memory (r = 0.202, p &lt; 0.05). These results demonstrate the convergent validity of the AFLT. Conclusions: The AFLT is a visual memory assessment tool with adequate psychometric properties, which allows a comprehensive evaluation of visual memory processes.","container-title":"Applied Neuropsychology: Adult","DOI":"10.1080/23279095.2024.2354856","ISSN":"2327-9095","issue":"0","note":"publisher: Routledge\n_eprint: https://doi.org/10.1080/23279095.2024.2354856\nPMID: 38758574","page":"1-7","source":"Taylor and Francis+NEJM","title":"Validity and norms for young adults for the Aggie Figures Learning Test","volume":"0","author":[{"family":"Bruno","given":"D."},{"family":"Sánchez Rueda","given":"D."},{"family":"Lopez","given":"E."},{"family":"Pinasco","given":"C."},{"family":"Torralva","given":"T."},{"family":"Alfredo","given":"T."},{"family":"Sierra Sanjurjo","given":"N."},{"family":"Roca","given":"M."}],"issued":{"date-parts":[["2024"]]}}}],"schema":"https://github.com/citation-style-language/schema/raw/master/csl-citation.json"}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(Bruno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7995168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678D1B8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2B6684D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170290F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5880D07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3"/>
            <w:tcBorders>
              <w:top w:val="nil"/>
              <w:left w:val="nil"/>
              <w:bottom w:val="nil"/>
              <w:right w:val="nil"/>
            </w:tcBorders>
            <w:shd w:val="clear" w:color="auto" w:fill="C2D69B"/>
          </w:tcPr>
          <w:p w14:paraId="60CA328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48025CC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4D6D5AF8" w14:textId="77777777" w:rsidTr="00C8335E">
        <w:trPr>
          <w:trHeight w:val="290"/>
        </w:trPr>
        <w:tc>
          <w:tcPr>
            <w:tcW w:w="2665" w:type="dxa"/>
            <w:tcBorders>
              <w:top w:val="nil"/>
              <w:left w:val="nil"/>
              <w:bottom w:val="nil"/>
              <w:right w:val="nil"/>
            </w:tcBorders>
            <w:vAlign w:val="center"/>
            <w:hideMark/>
          </w:tcPr>
          <w:p w14:paraId="68743516"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{"citationID":"bpO0QmEh","properties":{"formattedCitation":"(Byrne et al., 2024)","plainCitation":"(Byrne et al., 2024)","noteIndex":0},"citationItems":[{"id":1212,"uris":["http://zotero.org/users/local/U8bdnYIb/items/5PX77V8T"],"itemData":{"id":1212,"type":"article-journal","abstract":"Multiple studies have explored the factor structure of working memory (WM) tasks, yet few have done so controlling for both the domain and category of the memory items in a single study. In the cur...","archive_location":"world","container-title":"Memory","ISSN":"0965-8211","language":"EN","license":"© 2024 The Author(s). Published by Informa UK Limited, trading as Taylor &amp; Francis Group","note":"publisher: Routledge","source":"www.tandfonline.com","title":"Evidence for separate backward recall and n-back working memory factors: a large-scale latent variable analysis","title-short":"Evidence for separate backward recall and n-back working memory factors","URL":"https://www.tandfonline.com/doi/abs/10.1080/09658211.2024.2393388","author":[{"family":"Byrne","given":"E. M."},{"family":"Gilbert","given":"R. A."},{"family":"Kievit","given":"R. A."},{"family":"Holmes","given":"J."}],"accessed":{"date-parts":[["2025",4,9]]},"issued":{"date-parts":[["2024",10,20]]}}}],"schema":"https://github.com/citation-style-language/schema/raw/master/csl-citation.json"}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(Byrne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4D258BC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346FEB4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44A2773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27C419B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291BB68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3"/>
            <w:tcBorders>
              <w:top w:val="nil"/>
              <w:left w:val="nil"/>
              <w:bottom w:val="nil"/>
              <w:right w:val="nil"/>
            </w:tcBorders>
            <w:shd w:val="clear" w:color="auto" w:fill="C2D69B"/>
          </w:tcPr>
          <w:p w14:paraId="27356D1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47A62F3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0836FE96" w14:textId="77777777" w:rsidTr="00C8335E">
        <w:trPr>
          <w:trHeight w:val="290"/>
        </w:trPr>
        <w:tc>
          <w:tcPr>
            <w:tcW w:w="2665" w:type="dxa"/>
            <w:tcBorders>
              <w:top w:val="nil"/>
              <w:left w:val="nil"/>
              <w:bottom w:val="nil"/>
              <w:right w:val="nil"/>
            </w:tcBorders>
            <w:vAlign w:val="center"/>
            <w:hideMark/>
          </w:tcPr>
          <w:p w14:paraId="7747B2B5"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{"citationID":"wMZ2hYhz","properties":{"formattedCitation":"(Depauw et al., 2024)","plainCitation":"(Depauw et al., 2024)","noteIndex":0},"citationItems":[{"id":1215,"uris":["http://zotero.org/users/local/U8bdnYIb/items/ZGHC3TIA"],"itemData":{"id":1215,"type":"article-journal","abstract":"Background: Cognitive functional ability affects the accessibility of IT and is thus something that should be controlled for in user experience (UX) research. However, many cognitive function assessment batteries are long and complex, making them impractical for use in conventional experimental time frames. Therefore, there is a need for a short and reliable cognitive assessment that has discriminant validity for cognitive functions needed for general IT tasks. One potential candidate is the Trail Making Test (TMT).\nObjective: This study investigated the usefulness of a digital TMT as a cognitive profiling tool in IT-related UX research by assessing its predictive validity on general IT task performance and exploring its discriminant validity according to discrete cognitive functions required to perform the IT task.\nMethods: A digital TMT (parts A and B) named Axon was administered to 27 healthy participants, followed by administration of 5 IT tasks in the form of CAPTCHAs (Completely Automated Public Turing tests to Tell Computers and Humans Apart). The discrete cognitive functions required to perform each CAPTCHA were rated by trained evaluators. To further explain and cross-validate our results, the original TMT and 2 psychological assessments of visuomotor and short-term memory function were administered.\nResults: Axon A and B were administrable in less than 5 minutes, and overall performance was significantly predictive of general IT task performance (F5,19=6.352; P=.001; Λ=0.374). This result was driven by performance on Axon B (F5,19=3.382; P=.02; Λ=0.529), particularly for IT tasks involving the combination of executive processing with visual object and pattern recognition. Furthermore, Axon was cross-validated with the original TMT (Pcorr=.001 and Pcorr=.017 for A and B, respectively) and visuomotor and short-term memory tasks.\nConclusions: The results demonstrate that variance in IT task performance among an age-homogenous neurotypical population can be related to intersubject variance in cognitive function as assessed by Axon. Although Axon’s predictive validity seemed stronger for tasks involving the combination of executive function with visual object and pattern recognition, these cognitive functions are arguably relevant to the majority of IT interfaces. Considering its short administration time and remote implementability, the Axon digital TMT demonstrates the potential to be a useful cognitive profiling tool for IT-based UX research.","container-title":"JMIR Human Factors","DOI":"10.2196/49992","issue":"1","language":"EN","license":"This is an open-access article distributed under the terms of the Creative Commons Attribution License (https://creativecommons.org/licenses/by/4.0/), which permits unrestricted use, distribution, and reproduction in any medium, provided the original work, first published JMIR Human Factors, is properly cited. The complete bibliographic information, a link to the original publication on https://humanfactors.jmir.org/, as well as this copyright and license information must be included.","note":"Company: JMIR Human Factors\nDistributor: JMIR Human Factors\nInstitution: JMIR Human Factors\nLabel: JMIR Human Factors\npublisher: JMIR Publications Inc., Toronto, Canada","page":"e49992","source":"humanfactors.jmir.org","title":"Assessing the Relationship Between Digital Trail Making Test Performance and IT Task Performance: Empirical Study","title-short":"Assessing the Relationship Between Digital Trail Making Test Performance and IT Task Performance","volume":"11","author":[{"family":"Depauw","given":"T."},{"family":"Boasen","given":"J."},{"family":"Léger","given":"P. M."},{"family":"Sénécal","given":"S."}],"issued":{"date-parts":[["2024",6,14]]}}}],"schema":"https://github.com/citation-style-language/schema/raw/master/csl-citation.json"}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(Depauw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149FC90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50F10F4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4AE4E86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4AB53CD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25EBFA7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3"/>
            <w:tcBorders>
              <w:top w:val="nil"/>
              <w:left w:val="nil"/>
              <w:bottom w:val="nil"/>
              <w:right w:val="nil"/>
            </w:tcBorders>
            <w:shd w:val="clear" w:color="auto" w:fill="C2D69B"/>
          </w:tcPr>
          <w:p w14:paraId="68F58D5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2F3B123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1D5A9C97" w14:textId="77777777" w:rsidTr="00C8335E">
        <w:trPr>
          <w:trHeight w:val="290"/>
        </w:trPr>
        <w:tc>
          <w:tcPr>
            <w:tcW w:w="2665" w:type="dxa"/>
            <w:tcBorders>
              <w:top w:val="nil"/>
              <w:left w:val="nil"/>
              <w:bottom w:val="nil"/>
              <w:right w:val="nil"/>
            </w:tcBorders>
            <w:vAlign w:val="center"/>
            <w:hideMark/>
          </w:tcPr>
          <w:p w14:paraId="40D166DB"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{"citationID":"IPlGt68u","properties":{"formattedCitation":"(Giorgini et al., 2024)","plainCitation":"(Giorgini et al., 2024)","noteIndex":0},"citationItems":[{"id":1217,"uris":["http://zotero.org/users/local/U8bdnYIb/items/4PDBGKTT"],"itemData":{"id":1217,"type":"article-journal","abstract":"Previous literature showed a complex interpretation of recall tasks due to the complex relationship between Executive Functions (EF) and Long Term Memory (M). The Test of Memory Strategies (TMS) could be useful for assessing this issue, because it evaluates EF and M simultaneously. This study aims to explore the validity of the TMS structure, comparing the models proposed by Vaccaro et al. (2022) and evaluating the measurement invariance according to three countries (Italy, Spain, and Portugal) through Confirmatory Factor Analysis (CFA). Four hundred thirty-one healthy subjects (Age mean = 54.84, sd = 20.43; Education mean = 8.85, sd =4.05; M = 177, F = 259) were recruited in three countries (Italy, Spain, and Portugal). Measurement invariance across three country groups was evaluated through Structural Equation modeling. Also, convergent and divergent validity were examined through the correlation between TMS and classical neuropsychological tests. CFA outcomes suggested that the best model was the three-dimensional model, in which list 1 and list2 reflect EF, list 3 reflects a mixed factor of EF and M (EFM) and list4 and list5 reflect M. This result is in line with the theory that TMS decreases EF components progressively. TMS was metric invariant to the country, but scalar invariance was not tenable. Finally, the factor scores of TMS showed convergent validity with the classical neuropsychological tests. The overall results support cross-validation of TMS in the three countries considered.","container-title":"Acta Psychologica","DOI":"10.1016/j.actpsy.2024.104291","ISSN":"0001-6918","journalAbbreviation":"Acta Psychologica","page":"104291","source":"ScienceDirect","title":"Measurement invariance across countries of the Test of Memory Strategies (TMS): A contribution to the cross-national validity study","title-short":"Measurement invariance across countries of the Test of Memory Strategies (TMS)","volume":"246","author":[{"family":"Giorgini","given":"R."},{"family":"Maestu","given":"Fernando"},{"family":"Sara","given":"F. M."},{"family":"Pastore","given":"M."},{"family":"Abellan","given":"M."},{"family":"Quattrone","given":"A."},{"family":"Caparello","given":"S."},{"family":"Quattrone","given":"A."},{"family":"Vaccaro","given":"M. G."}],"issued":{"date-parts":[["2024",6,1]]}}}],"schema":"https://github.com/citation-style-language/schema/raw/master/csl-citation.json"}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(Giorgini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3C63B96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58CC4FB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311B6BF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04098A9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7D16B4F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3"/>
            <w:tcBorders>
              <w:top w:val="nil"/>
              <w:left w:val="nil"/>
              <w:bottom w:val="nil"/>
              <w:right w:val="nil"/>
            </w:tcBorders>
            <w:shd w:val="clear" w:color="auto" w:fill="C2D69B"/>
          </w:tcPr>
          <w:p w14:paraId="6B29806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3231035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0823C322" w14:textId="77777777" w:rsidTr="00C8335E">
        <w:trPr>
          <w:trHeight w:val="290"/>
        </w:trPr>
        <w:tc>
          <w:tcPr>
            <w:tcW w:w="2665" w:type="dxa"/>
            <w:tcBorders>
              <w:top w:val="nil"/>
              <w:left w:val="nil"/>
              <w:bottom w:val="nil"/>
              <w:right w:val="nil"/>
            </w:tcBorders>
            <w:vAlign w:val="center"/>
            <w:hideMark/>
          </w:tcPr>
          <w:p w14:paraId="3836213A"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{"citationID":"9Fnd9uHD","properties":{"formattedCitation":"(Hassm\\uc0\\u233{}n et al., 2024)","plainCitation":"(Hassmén et al., 2024)","noteIndex":0},"citationItems":[{"id":1219,"uris":["http://zotero.org/users/local/U8bdnYIb/items/UJPP93RM"],"itemData":{"id":1219,"type":"article-journal","abstract":"Mental processes responsible for goal-oriented behavior – executive functioning (EF) – include working memory, flexible thinking, and cognitive control. A reliable and valid assessment of EF can in...","archive_location":"world","container-title":"Applied Neuropsychology: Adult","ISSN":"2327-9095","language":"EN","license":"© 2024 The Author(s). Published with license by Taylor &amp; Francis Group, LLC.","note":"publisher: Routledge","source":"www.tandfonline.com","title":"Piloting the Coffs Harbour Executive Functioning Screen (CHEFS): An off-road tool to predict fitness to drive","title-short":"Piloting the Coffs Harbour Executive Functioning Screen (CHEFS)","URL":"https://www.tandfonline.com/doi/abs/10.1080/23279095.2024.2418031","author":[{"family":"Hassmén","given":"P."},{"family":"Hindman","given":"E."},{"family":"Keiller","given":"T."},{"family":"Blair","given":"D."}],"accessed":{"date-parts":[["2025",4,9]]},"issued":{"date-parts":[["2024",10,22]]}}}],"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kern w:val="0"/>
                <w:szCs w:val="20"/>
              </w:rPr>
              <w:t>(Hassmén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0FA575C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59A4269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096A2E4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497E1A1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05BB6BA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3"/>
            <w:tcBorders>
              <w:top w:val="nil"/>
              <w:left w:val="nil"/>
              <w:bottom w:val="nil"/>
              <w:right w:val="nil"/>
            </w:tcBorders>
            <w:shd w:val="clear" w:color="auto" w:fill="C2D69B"/>
          </w:tcPr>
          <w:p w14:paraId="021CA45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1FD9F8A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78197930" w14:textId="77777777" w:rsidTr="00C8335E">
        <w:trPr>
          <w:trHeight w:val="290"/>
        </w:trPr>
        <w:tc>
          <w:tcPr>
            <w:tcW w:w="2665" w:type="dxa"/>
            <w:tcBorders>
              <w:top w:val="nil"/>
              <w:left w:val="nil"/>
              <w:bottom w:val="nil"/>
              <w:right w:val="nil"/>
            </w:tcBorders>
            <w:vAlign w:val="center"/>
            <w:hideMark/>
          </w:tcPr>
          <w:p w14:paraId="5F01B1E3"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{"citationID":"NXNsSVhD","properties":{"formattedCitation":"(Hatahet &amp; Seghier, 2024)","plainCitation":"(Hatahet &amp; Seghier, 2024)","noteIndex":0},"citationItems":[{"id":1221,"uris":["http://zotero.org/users/local/U8bdnYIb/items/YNWWXTNF"],"itemData":{"id":1221,"type":"article-journal","abstract":"A clinically useful characterization of the cognitive aging process requires the development of valid and robust behavioral tests, with an emphasis on explaining and understanding typical inter-individual variability in cognition. Here, using a dataset that includes behavioral scores collected with the National Institute of Health Toolbox Cognition Battery (NIHTB-CB) and other auxiliary tests, we examined (1) the differences between young and old adults across different cognitive domains, (2) the strength of across-subject correlations in behavioral test scores, (3) the consistency of low-dimensional behavioral representations across age using factor analysis, and (4) the accuracy of behavioral scores in predicting participants’ age. Our results revealed that (1) elderly females had better verbal episodic memory scores than elderly males, (2) across-subject correlations between behavioral tests varied with age group, (3) although a three-factor model explained the behavioral data in both age groups, some tasks loaded to different factors between the two groups, and (4) age-performance relationship (i.e. a regression model linking age to cognitive scores) in one group cannot be extrapolated to predict age in the other group, indicating an inconsistency in age-performance relationships across groups. These findings suggest that executive function tests might tap into different cognitive processes in different age groups, which might ultimately suggest that a statistically significant between-group difference in test performance might not always reflect differences in the same underlying cognitive processes. Overall, this study calls for more caution when interpreting age-related differences and similarities between age groups with different cognitive abilities even when the same tests are used.","container-title":"Scientific Reports","DOI":"10.1038/s41598-024-74488-0","ISSN":"2045-2322","issue":"1","journalAbbreviation":"Sci Rep","language":"en","license":"2024 The Author(s)","note":"publisher: Nature Publishing Group","page":"23880","source":"www.nature.com","title":"The validity of studying healthy aging with cognitive tests measuring different constructs","volume":"14","author":[{"family":"Hatahet","given":"O."},{"family":"Seghier","given":"M. L."}],"issued":{"date-parts":[["2024",10,12]]}}}],"schema":"https://github.com/citation-style-language/schema/raw/master/csl-citation.json"}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(Hatahet &amp; Seghier,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C2D69B"/>
            <w:vAlign w:val="bottom"/>
            <w:hideMark/>
          </w:tcPr>
          <w:p w14:paraId="5F1236B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gridSpan w:val="2"/>
            <w:tcBorders>
              <w:top w:val="nil"/>
              <w:left w:val="nil"/>
              <w:bottom w:val="nil"/>
              <w:right w:val="nil"/>
            </w:tcBorders>
            <w:shd w:val="clear" w:color="auto" w:fill="C2D69B"/>
            <w:vAlign w:val="bottom"/>
            <w:hideMark/>
          </w:tcPr>
          <w:p w14:paraId="58C90D5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3412027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31F6A2F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5DD5EB7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72B70DF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73A0BA5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5808DFE8" w14:textId="77777777" w:rsidTr="00C8335E">
        <w:trPr>
          <w:trHeight w:val="290"/>
        </w:trPr>
        <w:tc>
          <w:tcPr>
            <w:tcW w:w="2665" w:type="dxa"/>
            <w:tcBorders>
              <w:top w:val="nil"/>
              <w:left w:val="nil"/>
              <w:bottom w:val="nil"/>
              <w:right w:val="nil"/>
            </w:tcBorders>
            <w:vAlign w:val="center"/>
            <w:hideMark/>
          </w:tcPr>
          <w:p w14:paraId="044B21B3"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{"citationID":"1GgXfnhE","properties":{"formattedCitation":"(Hurtado-Pomares et al., 2024)","plainCitation":"(Hurtado-Pomares et al., 2024)","noteIndex":0},"citationItems":[{"id":1223,"uris":["http://zotero.org/users/local/U8bdnYIb/items/R42B94LL"],"itemData":{"id":1223,"type":"article-journal","abstract":"BACKGROUND: The Frontal Assessment Battery is a short bedside test used to assess executive functions (EF). The aims of the present study were, first, to evaluate the psychometric proprieties of the Spanish version of the FAB (FAB-E) in a representative sample, and second, to establish cut-off points for impairment in executive function according to age and education level.\nMETHODS: A sample of 798 healthy Spanish adult subjects aged 19 to 91 participated in this study. Neuropsychological assessment of participants was conducted using the FAB-E, Mini-Mental State Examination (MMSE) and Trail Making Test (TMT). We examined internal consistency, intraclass correlation, test-retest reliability, and concurrent and divergent validity. In addition, we established a cut-off point for detecting executive function impairment based on the 5th percentile by age group and education level.\nRESULTS: The analysis of the psychometric properties of the FAB-E showed good internal consistency (Cronbach's α = 0.60), intraclass correlation (0.72), test-retest reliability (0.70) and concurrent and divergent validity between the TMT (r = -0.523), MMSE (r = 0.426) and the FAB-E. The cut-off points for each age group were 16 points for the ≤ 29 group, 15 points for the 30-39 group, 14 points for the 40-49 and 50-59 groups, 12 points for the 60-69 group, and 10 points for the ≥ 70 age group.\nCONCLUSIONS: The psychometric analysis showed that the FAB-E has good validity and reliability. Thus, FAB-E may be a helpful tool to evaluate EF in a healthy Spanish population. In addition, this study provides information on reference data that will be very valuable for clinicians and researchers.","container-title":"Neurologia","DOI":"10.1016/j.nrleng.2022.09.004","ISSN":"2173-5808","issue":"8","journalAbbreviation":"Neurologia (Engl Ed)","language":"eng","note":"PMID: 36216225","page":"694-700","source":"PubMed","title":"Psychometric properties of the Spanish version of the Frontal Assessment Battery (FAB-E) and normative values in a representative adult population sample","volume":"39","author":[{"family":"Hurtado-Pomares","given":"M."},{"family":"Juárez-Leal","given":"I."},{"family":"Company-Devesa","given":"V."},{"family":"Sánchez-Pérez","given":"A."},{"family":"Peral-Gómez","given":"P."},{"family":"Espinosa-Sempere","given":"C."},{"family":"Valera-Gran","given":"D."},{"family":"Navarrete-Muñoz","given":"E.-M."}],"issued":{"date-parts":[["2024",10]]}}}],"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(Hurtado-Pomares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C2D69B"/>
            <w:vAlign w:val="bottom"/>
            <w:hideMark/>
          </w:tcPr>
          <w:p w14:paraId="51587BD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gridSpan w:val="2"/>
            <w:tcBorders>
              <w:top w:val="nil"/>
              <w:left w:val="nil"/>
              <w:bottom w:val="nil"/>
              <w:right w:val="nil"/>
            </w:tcBorders>
            <w:shd w:val="clear" w:color="auto" w:fill="C2D69B"/>
            <w:vAlign w:val="bottom"/>
            <w:hideMark/>
          </w:tcPr>
          <w:p w14:paraId="4A948AB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3F9AD95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328FA07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4B0AC26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76CFC6F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1C11201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722F327D" w14:textId="77777777" w:rsidTr="00C8335E">
        <w:trPr>
          <w:trHeight w:val="290"/>
        </w:trPr>
        <w:tc>
          <w:tcPr>
            <w:tcW w:w="2665" w:type="dxa"/>
            <w:tcBorders>
              <w:top w:val="nil"/>
              <w:left w:val="nil"/>
              <w:bottom w:val="nil"/>
              <w:right w:val="nil"/>
            </w:tcBorders>
            <w:vAlign w:val="center"/>
            <w:hideMark/>
          </w:tcPr>
          <w:p w14:paraId="6782A10B"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{"citationID":"mIg8t8LD","properties":{"formattedCitation":"(Morrissey et al., 2024)","plainCitation":"(Morrissey et al., 2024)","noteIndex":0},"citationItems":[{"id":1190,"uris":["http://zotero.org/users/local/U8bdnYIb/items/HLJLDHTJ"],"itemData":{"id":1190,"type":"article-journal","abstract":"Background Early evidence in using online cognitive assessments show that they could offer a feasible and resource-efficient alternative to in-person clinical assessments in evaluating cognitive performance, yet there is currently little understanding about how these assessments relate to traditional, in-person cognitive tests. Objectives In this preliminary study, we assess the feasibility and reliability of NeurOn, a novel online cognitive assessment tool. NeurOn measures various cognitive domains including processing speed, executive functioning, spatial working memory, episodic memory, attentional control, visuospatial functioning, and spatial orientation. Design Thirty-two participants (mean age: 70.19) completed two testing sessions, unsupervised online and in-person, one-week apart. Participants were randomised in the order of testing appointments. For both sessions, participants completed questionnaires prior to a cognitive assessment. Test-retest reliability and concurrent validity of the online cognitive battery was assessed using intraclass correlation coefficients (ICCs) and correlational analysis, respectively. This was conducted by comparing performance in repeated tasks across testing sessions as well as with traditional, in-person cognitive tests. Results Global cognition in the NeurOn battery moderately validated against MoCA performance, and the battery demonstrated moderate test-retest reliability. Concurrent validity was found only between the online and paper versions of the Trail Making Test -A, as well as global cognitive performance between online and in-person testing sessions. Conclusions The NeurOn cognitive battery provides a promising tool for measuring cognitive performance online both longitudinally and across short retesting intervals within healthy older adults. When considering cost-effectiveness, flexible administration, and improved accessibility for wider populations, online cognitive assessments show promise for future screening of neurodegenerative diseases.","container-title":"PLOS ONE","DOI":"10.1371/journal.pone.0309006","ISSN":"1932-6203","issue":"8","journalAbbreviation":"PLOS ONE","language":"en","note":"publisher: Public Library of Science","page":"e0309006","source":"PLoS Journals","title":"Feasibility and reliability of online vs in-person cognitive testing in healthy older people","volume":"19","author":[{"family":"Morrissey","given":"Sol"},{"family":"Gillings","given":"Rachel"},{"family":"Hornberger","given":"Michael"}],"issued":{"date-parts":[["2024",8,20]]}}}],"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(Morrissey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1969141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6F33875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26DB490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458C7AB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394C7FA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46CA9E0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661C993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7CB04E01" w14:textId="77777777" w:rsidTr="00C8335E">
        <w:trPr>
          <w:trHeight w:val="290"/>
        </w:trPr>
        <w:tc>
          <w:tcPr>
            <w:tcW w:w="2665" w:type="dxa"/>
            <w:tcBorders>
              <w:top w:val="nil"/>
              <w:left w:val="nil"/>
              <w:bottom w:val="nil"/>
              <w:right w:val="nil"/>
            </w:tcBorders>
            <w:vAlign w:val="center"/>
            <w:hideMark/>
          </w:tcPr>
          <w:p w14:paraId="17B0DF3F"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{"citationID":"VrK0HPwC","properties":{"formattedCitation":"(Paolillo et al., 2024)","plainCitation":"(Paolillo et al., 2024)","noteIndex":0},"citationItems":[{"id":1229,"uris":["http://zotero.org/users/local/U8bdnYIb/items/S6A5MPG8"],"itemData":{"id":1229,"type":"article-journal","abstract":"Background: Mobile cognitive testing is growing in popularity, with numerous advantages over traditional cognitive testing; however, the field lacks studies that deeply examine mobile cognitive test data from general adult samples. Objective: This study characterized performance for a suite of 8 mobile cognitive tests from the NeuroUX platform in a sample of US adults across the adult lifespan. Methods: Overall, 393 participants completed 8 NeuroUX cognitive tests and a brief ecological momentary assessment survey once per day on their smartphones for 10 consecutive days; each test was administered 5 times over the testing period. The tests tapped the domains of executive function, processing speed, reaction time, recognition memory, and working memory. Participants also completed a poststudy usability feedback survey. We examined alternate form test-retest reliability; practice effects; and associations between scores (averages and intraindividual variability) and demographics as well as test-taking context (ie, smartphone type, being at home vs not at home, and being alone vs not alone). Results: Our final sample consisted of 393 English-speaking US residents (aged 20-79 y; female: n=198, 50.4%). Of the 367 participants who provided responses about their race and ethnicity, 258 (70.3%) were White. Of the 393 participants, 181 (46.1%) were iOS users, and 212 (53.9%) were Android users. Of 12 test scores derived from the 8 tests, 9 (75%) showed good to excellent test-retest reliability (intraclass correlation coefficients &gt;0.76). Practice effects (ie, improvements in performance) were observed for 4 (33%) of the 12 scores. Older age was associated with worse performance on most of the test scores (9/12, 75%) and greater within-person variability for nearly all reaction time scores (3/4, 75%). Relationships with smartphone type showed better performance among iOS users and those with newer Android software versions compared to those with older software. Being at home (vs not at home) was associated with better performance on tests of processing speed. Being alone (vs not alone) was associated with better performance on tests of recognition and working memory. Poststudy feedback indicated that participants found NeuroUX easy to learn and use, an enjoyable experience, and an app that would be helpful in understanding their thinking skills. Only 4.2% (16/379) endorsed privacy concerns, and 77.3% (293/379) reported that they would be willing to share their results with their health care provider. Older age—but not other demographics—was associated with finding the tests more challenging. Conclusions: In a sample of adults across a wide age range, this study characterized features that are particularly important for the interpretation of remote, repeated mobile cognitive testing performance, including test-retest reliability, practice effects, smartphone type, and test-taking context. These data enhance the understanding and application of mobile cognitive testing, paving the way for improved clinical decision-making, personalized interventions, and advancements in cognitive research.","container-title":"Journal of Medical Internet Research","DOI":"10.2196/51978","issue":"1","language":"EN","note":"Company: Journal of Medical Internet Research\nDistributor: Journal of Medical Internet Research\nInstitution: Journal of Medical Internet Research\nLabel: Journal of Medical Internet Research\npublisher: JMIR Publications Inc., Toronto, Canada","page":"e51978","source":"www.jmir.org","title":"Characterizing Performance on a Suite of English-Language NeuroUX Mobile Cognitive Tests in a US Adult Sample: Ecological Momentary Cognitive Testing Study","title-short":"Characterizing Performance on a Suite of English-Language NeuroUX Mobile Cognitive Tests in a US Adult Sample","volume":"26","author":[{"family":"Paolillo","given":"E. W."},{"family":"Bomyea","given":"J."},{"family":"Depp","given":"C. A."},{"family":"Henneghan","given":"A. M."},{"family":"Raj","given":"A."},{"family":"Moore","given":"R. C."}],"issued":{"date-parts":[["2024",11,25]]}}}],"schema":"https://github.com/citation-style-language/schema/raw/master/csl-citation.json"}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(Paolillo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B7DEE8"/>
            <w:hideMark/>
          </w:tcPr>
          <w:p w14:paraId="777134D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Unclear</w:t>
            </w:r>
          </w:p>
        </w:tc>
        <w:tc>
          <w:tcPr>
            <w:tcW w:w="908" w:type="dxa"/>
            <w:gridSpan w:val="2"/>
            <w:tcBorders>
              <w:top w:val="nil"/>
              <w:left w:val="nil"/>
              <w:bottom w:val="nil"/>
              <w:right w:val="nil"/>
            </w:tcBorders>
            <w:shd w:val="clear" w:color="auto" w:fill="C2D69B"/>
            <w:vAlign w:val="bottom"/>
            <w:hideMark/>
          </w:tcPr>
          <w:p w14:paraId="4D05552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60A1925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3178CCA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02501ED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56BB5DA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6D053AD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0F5D2027" w14:textId="77777777" w:rsidTr="00C8335E">
        <w:trPr>
          <w:trHeight w:val="290"/>
        </w:trPr>
        <w:tc>
          <w:tcPr>
            <w:tcW w:w="2665" w:type="dxa"/>
            <w:tcBorders>
              <w:top w:val="nil"/>
              <w:left w:val="nil"/>
              <w:bottom w:val="nil"/>
              <w:right w:val="nil"/>
            </w:tcBorders>
            <w:vAlign w:val="center"/>
            <w:hideMark/>
          </w:tcPr>
          <w:p w14:paraId="12AD8A35"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{"citationID":"x6PP9InE","properties":{"formattedCitation":"(Perzl et al., 2024)","plainCitation":"(Perzl et al., 2024)","noteIndex":0},"citationItems":[{"id":1231,"uris":["http://zotero.org/users/local/U8bdnYIb/items/2FN4XNKW"],"itemData":{"id":1231,"type":"article-journal","abstract":"Mobile devices provide new opportunities to draw conclusions about cognitive performance in everyday situations. To gain insights into cognitive performance patterns in healthy adult populations, we adapted three established cognitive tests for smartphone use: the Digit Symbol Substitution Task (DSST), Sustained Attention to Response Task (SART), and Psychomotor Vigilance Task (PVT). To increase their feasibility for ambulatory assessment, we identified the minimum measurement durations that provide reliable and valid state measures of cognitive performance. Over 2 weeks, 46 participants performed each test once per day at random times, along with self-reports (e.g., on concentration, mood, and mental demands). The validity and reliability of change are promising for the 30-second PVT and 90-second DSST and SART. The DSST and SART provide fruitful outcomes for ambulatory field studies linked to mood, stress, and mental demands. We provide digital versions of the adapted DSST and SART online for free.","container-title":"Assessment","DOI":"10.1177/10731911231213845","ISSN":"1073-1911","issue":"6","journalAbbreviation":"Assessment","language":"EN","note":"publisher: SAGE Publications Inc","page":"1270-1291","source":"SAGE Journals","title":"Measuring Situational Cognitive Performance in the Wild: A Psychometric Evaluation of Three Brief Smartphone-Based Test Procedures","title-short":"Measuring Situational Cognitive Performance in the Wild","volume":"31","author":[{"family":"Perzl","given":"J."},{"family":"Riedl","given":"E. M."},{"family":"Thomas","given":"J."}],"issued":{"date-parts":[["2024",9,1]]}}}],"schema":"https://github.com/citation-style-language/schema/raw/master/csl-citation.json"}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(Perzl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B7DEE8"/>
            <w:hideMark/>
          </w:tcPr>
          <w:p w14:paraId="269BC0E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Unclear</w:t>
            </w:r>
          </w:p>
        </w:tc>
        <w:tc>
          <w:tcPr>
            <w:tcW w:w="908" w:type="dxa"/>
            <w:gridSpan w:val="2"/>
            <w:tcBorders>
              <w:top w:val="nil"/>
              <w:left w:val="nil"/>
              <w:bottom w:val="nil"/>
              <w:right w:val="nil"/>
            </w:tcBorders>
            <w:shd w:val="clear" w:color="auto" w:fill="C2D69B"/>
            <w:vAlign w:val="bottom"/>
            <w:hideMark/>
          </w:tcPr>
          <w:p w14:paraId="40438FB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7AEC613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vAlign w:val="bottom"/>
            <w:hideMark/>
          </w:tcPr>
          <w:p w14:paraId="595AC56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0A552BB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007BA12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21E2A83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58E2E962" w14:textId="77777777" w:rsidTr="00C8335E">
        <w:trPr>
          <w:trHeight w:val="290"/>
        </w:trPr>
        <w:tc>
          <w:tcPr>
            <w:tcW w:w="2665" w:type="dxa"/>
            <w:tcBorders>
              <w:top w:val="nil"/>
              <w:left w:val="nil"/>
              <w:bottom w:val="nil"/>
              <w:right w:val="nil"/>
            </w:tcBorders>
            <w:vAlign w:val="center"/>
            <w:hideMark/>
          </w:tcPr>
          <w:p w14:paraId="02A73E0B"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{"citationID":"3S2wJUjX","properties":{"formattedCitation":"(Toh &amp; Yang, 2024)","plainCitation":"(Toh &amp; Yang, 2024)","noteIndex":0},"citationItems":[{"id":1181,"uris":["http://zotero.org/users/local/U8bdnYIb/items/M2G783UX"],"itemData":{"id":1181,"type":"article-journal","abstract":"Emotion regulation (ER) constitutes strategies that modulate the experience and expression of emotions. While past work has predominantly assumed that ER strategies are consistently adaptive (or maladaptive) across situations, recent research has begun to examine individual-difference factors that are associated with the flexible use of ER strategies in line with contextual demands (i.e., ER flexibility). Theoretical accounts maintain that the choice to use ER strategies in a given context is contingent on individual differences in executive function (EF), which refers to a collection of general-purpose regulatory operations. Based on a comprehensive battery of EF tasks, we investigated how the various EF facets (i.e., common EF, working-memory-specific, and shifting-specific factors) are related to the frequency of maintaining and switching ER strategies in response to stimuli that elicit varying levels of emotional intensity. Results indicated that individuals with higher EF demonstrated a more flexible pattern of ER strategy use across high- and low-intensity conditions. Specifically, better working-memory-specific ability (i.e., manipulating information within a mental workspace) was associated with a greater frequency of reappraisal-to-distraction strategy switching in high-intensity contexts. Furthermore, more proficient common EF (i.e., sustaining relevant goals in the face of competing goals and responses) corresponded to a higher propensity to maintain the use of reappraisal in low-intensity situations. The outcomes of this study offer a first glimpse of the cognitive factors underlying ER flexibility. (PsycInfo Database Record (c) 2024 APA, all rights reserved)","container-title":"Emotion","DOI":"10.1037/emo0001250","ISSN":"1931-1516","issue":"1","note":"publisher-place: US\npublisher: American Psychological Association","page":"52-66","source":"APA PsycNet","title":"To switch or not to switch? Individual differences in executive function and emotion regulation flexibility","title-short":"To switch or not to switch?","volume":"24","author":[{"family":"Toh","given":"Wei Xing"},{"family":"Yang","given":"Hwajin"}],"issued":{"date-parts":[["2024"]]}}}],"schema":"https://github.com/citation-style-language/schema/raw/master/csl-citation.json"}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(Toh &amp; Yang,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6503DAD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5FF02E9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1C37FE9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vAlign w:val="bottom"/>
            <w:hideMark/>
          </w:tcPr>
          <w:p w14:paraId="2B2DE4D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1AB179C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2599A76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12B8DC2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38309BCF" w14:textId="77777777" w:rsidTr="00C8335E">
        <w:trPr>
          <w:trHeight w:val="290"/>
        </w:trPr>
        <w:tc>
          <w:tcPr>
            <w:tcW w:w="2665" w:type="dxa"/>
            <w:tcBorders>
              <w:top w:val="nil"/>
              <w:left w:val="nil"/>
              <w:bottom w:val="nil"/>
              <w:right w:val="nil"/>
            </w:tcBorders>
            <w:vAlign w:val="center"/>
            <w:hideMark/>
          </w:tcPr>
          <w:p w14:paraId="1420424D"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{"citationID":"02SdRaxM","properties":{"formattedCitation":"(Zhang et al., 2024)","plainCitation":"(Zhang et al., 2024)","noteIndex":0},"citationItems":[{"id":1237,"uris":["http://zotero.org/users/local/U8bdnYIb/items/WBDHSCLQ"],"itemData":{"id":1237,"type":"article-journal","abstract":"Executive function is vital for normal social, cognitive, and motor functions. Executive function decline due to aging increases the risk of disability and falls in older adults, which has become an urgent public health issue. Fast and convenient neuropsychological tools are thus needed to identify high-risk groups as early as possible to conduct a timely intervention. Card sorting tasks, such as Wisconsin Card Sorting Task (WCST) and its variants, are popular tools for measuring executive function. This study investigated the reliability of an open-source, self-administered, online, short-version card sorting task with a sample of young (n = 107, 65 females, age: M = 30.1 years, SD = 5.5 years) and elderly Chinese (n = 113, 53 females, age: M = 64.0 years, SD = 6.7 years). We developed an automated scoring and visualization procedure following the recent recommendations on scoring perseverative responses to make the results comparable to the standardized WCST. Reliability estimates of commonly used measures were calculated using the split-half method. All task indices' reliabilities were reasonably good in both old and young groups except for \"failure-to-maintain-set.\" Elderly Chinese adults showed compromised task performance on all measures compared with the young Chinese adults at the group level. The R script of automated scoring and estimation of reliability is publicly available.","container-title":"Behavior Research Methods","DOI":"10.3758/s13428-023-02104-6","ISSN":"1554-3528","issue":"2","journalAbbreviation":"Behav Res","language":"en","page":"1039-1051","source":"Springer Link","title":"Split-half reliability estimates of an online card sorting task in a community sample of young and elderly adults","volume":"56","author":[{"family":"Zhang","given":"Z."},{"family":"Yang","given":"L. Z."},{"family":"Vékony","given":"T."},{"family":"Wang","given":"C."},{"family":"Li","given":"H."}],"issued":{"date-parts":[["2024",2,1]]}}}],"schema":"https://github.com/citation-style-language/schema/raw/master/csl-citation.json"}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(Zhang et al., 2024)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349C347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67950D9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5C38718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vAlign w:val="bottom"/>
            <w:hideMark/>
          </w:tcPr>
          <w:p w14:paraId="7C68A0B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54EB31D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5DE34A4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73A5BC2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r>
      <w:tr w:rsidR="004E65DF" w:rsidRPr="006A086B" w14:paraId="1DC34168" w14:textId="77777777" w:rsidTr="00C8335E">
        <w:trPr>
          <w:trHeight w:val="290"/>
        </w:trPr>
        <w:tc>
          <w:tcPr>
            <w:tcW w:w="2665" w:type="dxa"/>
            <w:tcBorders>
              <w:top w:val="nil"/>
              <w:left w:val="nil"/>
              <w:bottom w:val="nil"/>
              <w:right w:val="nil"/>
            </w:tcBorders>
            <w:vAlign w:val="center"/>
            <w:hideMark/>
          </w:tcPr>
          <w:p w14:paraId="3BD6141D"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{"citationID":"otH50XrT","properties":{"formattedCitation":"(Kruger et al., 2023)","plainCitation":"(Kruger et al., 2023)","noteIndex":0},"citationItems":[{"id":120,"uris":["http://zotero.org/users/local/U8bdnYIb/items/6GX95SJZ"],"itemData":{"id":120,"type":"article-journal","abstract":"Objective: Executive functions (EF) are cognitive processes composed of inhibitory control (IC), working memory (WM), and cognitive flexibility (CF), necessary for adaptive, goal-directed behaviors. This study aimed to describe the process of development and present preliminary evidence of validity according to the internal structure and external variables of a self-report scale for assessing EF in adults based on Diamond’s integrative theoretical model. Method: The method involved the development and assessment of the content of the scale items, its application to 484 adults, and an analysis of its relation to the Dysexecutive Questionnaire (DEX). Results: The final version contained 27 items, representing the three components of EF, with a Cronbach’s α of .90 for WM, .79 for IC, and .62 for CF. All of them correlated positively with the total score of the DEX. Conclusions: We concluded that the developed scale based on the current EF model showed satisfactory preliminary evidence. (PsycInfo Database Record (c) 2023 APA, all rights reserved)","archive_location":"rayyan-567636396","container-title":"Psychology &amp; Neuroscience","DOI":"10.1037/pne0000321","ISSN":"1983-3288(Electronic),1984-3054(Print)","note":"publisher-place: Lopes, Fernanda Machado: Department of Psychology, Federal University of Santa Catarina, Engenheiro Agronomo Andrey Cristian Ferreira, 240, Carvoeira, SC, Florianopolis, Brazil, 88036-020, femlopes23@gmail.com US\npublisher: Educational Publishing Foundation","page":"No Pagination Specified-No Pagination Specified","title":"Preliminary validity evidence for the Executive Function Scale for Adults (EFSA).","author":[{"family":"Kruger","given":"Olivia Entrebato"},{"family":"Zibetti","given":"Murilo Ricardo"},{"family":"Schlindwein","given":"Rachel"},{"family":"Lopes","given":"Fernanda Machado"}],"issued":{"date-parts":[["2023"]]}}}],"schema":"https://github.com/citation-style-language/schema/raw/master/csl-citation.json"}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(Kruger et al., 2023)</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1ECE740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7146F68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4A6D8BA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6792D55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070F3E6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6ED8C58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0D1FF33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2538BA79" w14:textId="77777777" w:rsidTr="00C8335E">
        <w:trPr>
          <w:trHeight w:val="290"/>
        </w:trPr>
        <w:tc>
          <w:tcPr>
            <w:tcW w:w="2665" w:type="dxa"/>
            <w:tcBorders>
              <w:top w:val="nil"/>
              <w:left w:val="nil"/>
              <w:bottom w:val="nil"/>
              <w:right w:val="nil"/>
            </w:tcBorders>
            <w:vAlign w:val="center"/>
            <w:hideMark/>
          </w:tcPr>
          <w:p w14:paraId="66B0E8E1"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{"citationID":"qGVYJxTI","properties":{"formattedCitation":"(Wang et al., 2023)","plainCitation":"(Wang et al., 2023)","noteIndex":0},"citationItems":[{"id":148,"uris":["http://zotero.org/users/local/U8bdnYIb/items/6CUKUCCV"],"itemData":{"id":148,"type":"article-journal","abstract":"Executive functions (EFs) are essential for daily living activities but decline with age. Convenient assessment and timely intervention have particular significance for older adults. However, the traditional laboratory tasks of EFs are typically monotonous and inconvenient. The current study aimed to develop an interesting and convenient supplementary tool to assess EFs for older adults. According to the theory of EFs, we developed a serious game, FISHERMAN, to assess EFs. The game includes three subgames, Cautious Fisherman, Agile Fisherman, and Wise Fisherman, targeting core components of inhibition, shifting, and working memory, respectively. The current study aims to verify the reliability and validity of the game. One hundred and eight healthy older adults participated in this study and were tested through the FISHERMAN game and a battery of cognitive tests. The results show that the FISHERMAN game has high internal consistency reliability and good construct validity as well as criterion-related validity, suggesting that the game design is valid and can be used in EFs assessment for older adults. Future studies are warranted to establish the norm of the FISHERMAN game in older adults and investigate whether the FISHERMAN game can be generalized to other populations.","archive_location":"rayyan-567636871","container-title":"Assessment","DOI":"10.1177/10731911221105648","ISSN":"1552-3489 (Electronic)","issue":"5","journalAbbreviation":"Assessment","language":"eng","note":"publisher-place: United States","page":"1499-1513","title":"FISHERMAN: A Serious Game for Executive Function Assessment of Older Adults.","volume":"30","author":[{"family":"Wang","given":"P."},{"family":"Fang","given":"Y."},{"family":"Qi","given":"J. Y."},{"family":"Li","given":"H. J."}],"issued":{"date-parts":[["2023"]]}}}],"schema":"https://github.com/citation-style-language/schema/raw/master/csl-citation.json"}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(Wang et al., 2023)</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2BE2DF2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39968AD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hideMark/>
          </w:tcPr>
          <w:p w14:paraId="5F5A41F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24A24A7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0110BDD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7A4F6A1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53A6132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1BB99BA0" w14:textId="77777777" w:rsidTr="00C8335E">
        <w:trPr>
          <w:trHeight w:val="290"/>
        </w:trPr>
        <w:tc>
          <w:tcPr>
            <w:tcW w:w="2665" w:type="dxa"/>
            <w:tcBorders>
              <w:top w:val="nil"/>
              <w:left w:val="nil"/>
              <w:bottom w:val="nil"/>
              <w:right w:val="nil"/>
            </w:tcBorders>
            <w:vAlign w:val="center"/>
            <w:hideMark/>
          </w:tcPr>
          <w:p w14:paraId="0C567380"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{"citationID":"vHMZvnWJ","properties":{"formattedCitation":"(Arioli et al., 2022)","plainCitation":"(Arioli et al., 2022)","noteIndex":0},"citationItems":[{"id":451,"uris":["http://zotero.org/users/local/U8bdnYIb/items/2AUCE6SP"],"itemData":{"id":451,"type":"article-journal","abstract":"Standardized neuropsychological assessments of older adults are important for both clinical diagnosis and biobehavioral research. Over decades, in-person testing has been the basis for population normative values that rank cognitive performance by demographic status. Most recently, digital tools have enabled remote data collection for cognitive measures, which offers the significant promise to extend the basis for normative values to be more inclusive of a larger cross section of the older population. We developed a Remote Characterization Module (RCM), using a speech-to-text interface, as a novel digital tool to administer an at-home, 25-minute cognitive screener that mimics eight standardized neuropsychological measures. 40 cognitively healthy participants were recruited from a longitudinal aging research cohort, and they performed the same measures of memory, attention, verbal fluency and set-shifting in both in-clinic paper-and-pencil (PAP) and at-home RCM versions. The results showed small differences, if any, for how participants performed on in-person and remote versions in five of eight tasks. Critically, robust correlations between their PAP and RCM scores across participants support the finding that remote, digital testing can provide a reliable assessment tool for rapid and remote screening of healthy older adults’ cognitive performance in several key domains. The implications for digital cognitive screeners are discussed.","container-title":"Frontiers in Aging Neuroscience","DOI":"10.3389/fnagi.2022.907496","ISSN":"1663-4365","journalAbbreviation":"Front. Aging Neurosci.","language":"English","note":"publisher: Frontiers","source":"Frontiers","title":"Validation of At-Home Application of a Digital Cognitive Screener for Older Adults","URL":"https://www.frontiersin.org/articles/10.3389/fnagi.2022.907496","volume":"14","author":[{"family":"Arioli","given":"M."},{"family":"Rini","given":"J."},{"family":"Anguera-Singla","given":"R."},{"family":"Gazzaley","given":"A."},{"family":"Wais","given":"P. E."}],"accessed":{"date-parts":[["2024",3,14]]},"issued":{"date-parts":[["2022",7,1]]}}}],"schema":"https://github.com/citation-style-language/schema/raw/master/csl-citation.json"}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(Arioli et al., 2022)</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6B99AA2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01224E6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hideMark/>
          </w:tcPr>
          <w:p w14:paraId="1C27699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2F099B7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1E9E2DF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3557078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66C7D81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145B5AC2" w14:textId="77777777" w:rsidTr="00C8335E">
        <w:trPr>
          <w:trHeight w:val="290"/>
        </w:trPr>
        <w:tc>
          <w:tcPr>
            <w:tcW w:w="2665" w:type="dxa"/>
            <w:tcBorders>
              <w:top w:val="nil"/>
              <w:left w:val="nil"/>
              <w:bottom w:val="nil"/>
              <w:right w:val="nil"/>
            </w:tcBorders>
            <w:vAlign w:val="center"/>
            <w:hideMark/>
          </w:tcPr>
          <w:p w14:paraId="3A93F9D4"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{"citationID":"Ymuk5Pts","properties":{"formattedCitation":"(Karlsen et al., 2022)","plainCitation":"(Karlsen et al., 2022)","noteIndex":0},"citationItems":[{"id":128,"uris":["http://zotero.org/users/local/U8bdnYIb/items/JJ6PLL6T"],"itemData":{"id":128,"type":"article-journal","abstract":"The Cambridge Neuropsychological Test Automated Battery (CANTAB) is a battery of computerized neuropsychological tests commonly used in Europe in neurology and psychiatry studies, including clinical trials. The purpose of this study was to investigate test-retest reliability and to develop reliable change indices and regression-based change formulas for using the CANTAB in research and practice involving repeated measurement. A sample of 75 healthy adults completed nine CANTAB tests, assessing three domains (i.e., visual learning and memory, executive function, and visual attention) twice over a 3-month period. Wilcoxon signed-rank tests showed significant practice effects for 6 of 14 outcome measures with effect sizes ranging from negligible to medium (Hedge’s g: .15–.40; Cliff’s delta: .09–.39). The Spatial Working Memory test, Attention Switching Task, and Rapid Visual Processing test were the only tests with scores of adequate test-retest reliability. For all outcome measures, Pearson’s and Spearman’s correlation coefficients ranged from .39 to .79. The measurement error surrounding difference scores was large, thus requiring large changes in performance (i.e., 1–2 SDs) in order to interpret a change score as reliable. In the regression equations, test scores from initial testing significantly predicted retest scores for all outcome measures. Age was a significant predictor in several of the equations, while education was a significant predictor in only two of the equations. The adjusted R 2 values ranged between .19 and .67. The present study provides results enabling clinicians to make probabilistic statements about change in cognitive functions based on CANTAB test performances. (PsycInfo Database Record (c) 2022 APA, all rights reserved)","archive_location":"rayyan-567636493","container-title":"Applied Neuropsychology: Adult","DOI":"10.1080/23279095.2020.1722126","ISSN":"2327-9109(Electronic),2327-9095(Print)","issue":"2","note":"publisher-place: Skandsen, Toril: Department of Neuromedicine and Movement Science, Norwegian University of Science and Technology, Trondheim, Norway, 7491, toril.skandsen@ntnu.no United Kingdom\npublisher: Taylor &amp; Francis","page":"146-154","title":"Examining 3-month test-retest reliability and reliable change using the Cambridge Neuropsychological Test Automated Battery.","volume":"29","author":[{"family":"Karlsen","given":"Rune H."},{"family":"Karr","given":"Justin E."},{"family":"Saksvik","given":"Simen B."},{"family":"Lundervold","given":"Astri J."},{"family":"Hjemdal","given":"Odin"},{"family":"Olsen","given":"Alexander"},{"family":"Iverson","given":"Grant L."},{"family":"Skandsen","given":"Toril"}],"issued":{"date-parts":[["2022"]]}}}],"schema":"https://github.com/citation-style-language/schema/raw/master/csl-citation.json"}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(Karlsen et al., 2022)</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59E4166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hideMark/>
          </w:tcPr>
          <w:p w14:paraId="1E3C45D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094FE31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hideMark/>
          </w:tcPr>
          <w:p w14:paraId="58C85DC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19C23C0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4B860D9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70C36DE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N/A</w:t>
            </w:r>
          </w:p>
        </w:tc>
      </w:tr>
      <w:tr w:rsidR="004E65DF" w:rsidRPr="006A086B" w14:paraId="39126E9D" w14:textId="77777777" w:rsidTr="00C8335E">
        <w:trPr>
          <w:trHeight w:val="290"/>
        </w:trPr>
        <w:tc>
          <w:tcPr>
            <w:tcW w:w="2665" w:type="dxa"/>
            <w:tcBorders>
              <w:top w:val="nil"/>
              <w:left w:val="nil"/>
              <w:bottom w:val="nil"/>
              <w:right w:val="nil"/>
            </w:tcBorders>
            <w:vAlign w:val="center"/>
            <w:hideMark/>
          </w:tcPr>
          <w:p w14:paraId="0FB58E6F"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{"citationID":"4eX4QnRo","properties":{"formattedCitation":"(Ott et al., 2022)","plainCitation":"(Ott et al., 2022)","noteIndex":0},"citationItems":[{"id":94,"uris":["http://zotero.org/users/local/U8bdnYIb/items/QJ4DGI52"],"itemData":{"id":94,"type":"article-journal","abstract":"Objective: Previous studies have assessed the construct validity of individual subtests in the National Institutes of Health (NIH) Toolbox Cognition Battery (NIHTB-CB), though none have examined the construct validity of the cognitive domains. Importantly, the original NIHTB-CB validation studies were administered on a desktop computer, though the NIHTB-CB is now solely administered via an iPad. We examined the construct validity of each cognitive domain assessed in the NIHTB-CB, including a motor dexterity domain using the iPad application compared to a neuropsychological battery in a sample of healthy adults. Method: Eighty-three adults aged 20–66 years (M= 44.35 ± 13.41 years) completed the NIHTB-CB and a comprehensive neuropsychological assessment. Domain scores for each of six cognitive domains (attention and executive function, episodic memory, working memory, processing speed, language, and motor dexterity) and the fluid composite were computed for both batteries. We then assessed the construct validity using Pearson correlations and intraclass correlation coefficients (ICCs) for both demographically corrected and uncorrected domains. Results: We found the attention and executive function, episodic memory, and processing speed domains had poor-to-adequate construct validity (ICCConsistency = −0.029 to 0.517), the working memory and motor dexterity domains and the fluid composite had poor-to-good construct validity (ICCConsistency = 0.215–0.801), and the language domain had adequate-to-good construct validity (ICCConsistency = 0.408–0.829). Conclusion: The NIHTB-CB cognitive domains have poor-to-good construct validity, thus researchers should be aware that some tests representing cognitive constructs may not fully reflect the cognitive domain of interest. Future investigation of the construct validity and reliability of the NIHTB-CB administered using the iPad is recommended","archive_location":"rayyan-567635560","container-title":"Neuropsychology","DOI":"10.1037/neu0000813","ISSN":"[\"1931-1559\", \"0894-4105\"]","issue":"5","language":"English","note":"publisher-place: P.E. May, College of Medicine, University of Nebraska Medical Center (UNMC), United States","page":"468-481","title":"Construct Validity of the NIH Toolbox Cognitive Domains: A Comparison With Conventional Neuropsychological Assessments","volume":"36","author":[{"family":"Ott","given":"L.R."},{"family":"Schantell","given":"M."},{"family":"Willett","given":"M.P."},{"family":"Johnson","given":"H.J."},{"family":"Eastman","given":"J.A."},{"family":"Okelberry","given":"H.J."},{"family":"Wilson","given":"T.W."},{"family":"Taylor","given":"B.K."},{"family":"May","given":"P.E."}],"issued":{"date-parts":[["2022"]]}}}],"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(Ott et al., 2022)</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4325F68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hideMark/>
          </w:tcPr>
          <w:p w14:paraId="226EF6A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hideMark/>
          </w:tcPr>
          <w:p w14:paraId="15F9303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hideMark/>
          </w:tcPr>
          <w:p w14:paraId="13BACB9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002199D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24172D6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2835F55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7F216CFE" w14:textId="77777777" w:rsidTr="00C8335E">
        <w:trPr>
          <w:trHeight w:val="290"/>
        </w:trPr>
        <w:tc>
          <w:tcPr>
            <w:tcW w:w="2665" w:type="dxa"/>
            <w:tcBorders>
              <w:top w:val="nil"/>
              <w:left w:val="nil"/>
              <w:right w:val="nil"/>
            </w:tcBorders>
            <w:vAlign w:val="center"/>
            <w:hideMark/>
          </w:tcPr>
          <w:p w14:paraId="132A4C9D"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{"citationID":"Uk22SHmT","properties":{"formattedCitation":"(Park &amp; Schott, 2022)","plainCitation":"(Park &amp; Schott, 2022)","noteIndex":0},"citationItems":[{"id":154,"uris":["http://zotero.org/users/local/U8bdnYIb/items/WDXVNG5G"],"itemData":{"id":154,"type":"article-journal","abstract":"One of the key challenges in assessing cognitive performance is to detect not only apparent impairment but to also pick up on subtle differences. Computerized tests benefit especially from the acquisition of fine-grained outcome measures. However, the equivalency of paper-based and computerized tests cannot be assumed. The Trail-Making-Test is a paper-pencil cognitive assessment tool (ppTMT) that has been used in many research studies to evaluate visuomotor abilities and mental flexibility. A digital version of the extended TMT (including a condition measuring fine motor speed) called the dTMT has been developed. This study aims to test (1) reliability, (2) equivalence, and (3) agreement of the ppTMT and dTMT. A total of 53 healthy individuals aged 19 to 82 years of age (22 men, 31 women; mean age 42.2, SD = 22.8) completed three trials per ppTMT and dTMT condition. Part M involves following a predefined path, Part A links numbers randomly distributed in space, in ascending order, and Part B alternates between linking numbers and letters. dTMT scores were highly reproducible, correlated strongly with paper-pencil administered durations, and discriminated young from older adults. Measures of reliability, sensitivity, and clinical meaning for dTMT scores were favorable compared with ppTMT-based testing. Our findings support the comparability of TMT-indices in computerized assessments. While many digital biomarker efforts are in progress (e.g., neurodegenerative disorders), the dTMT sets itself apart through its high sensitivity, the alternate forms, and the additional component measures. In this light, it could serve as a starting point for an early diagnostic tool.","archive_location":"rayyan-567636960","container-title":"Applied neuropsychology. Adult","DOI":"10.1080/23279095.2020.1864374","ISSN":"2327-9109 (Electronic)","issue":"5","journalAbbreviation":"Appl Neuropsychol Adult","language":"eng","note":"publisher-place: United States","page":"1208-1220","title":"The trail-making-test: Comparison between paper-and-pencil and computerized versions in young and healthy older adults.","volume":"29","author":[{"family":"Park","given":"S.Y."},{"family":"Schott","given":"N."}],"issued":{"date-parts":[["2022"]]}}}],"schema":"https://github.com/citation-style-language/schema/raw/master/csl-citation.json"}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(Park &amp; Schott, 2022)</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right w:val="nil"/>
            </w:tcBorders>
            <w:shd w:val="clear" w:color="auto" w:fill="FF9696"/>
            <w:vAlign w:val="bottom"/>
            <w:hideMark/>
          </w:tcPr>
          <w:p w14:paraId="58C9D2C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right w:val="nil"/>
            </w:tcBorders>
            <w:shd w:val="clear" w:color="auto" w:fill="C2D69B"/>
            <w:hideMark/>
          </w:tcPr>
          <w:p w14:paraId="51A777B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right w:val="nil"/>
            </w:tcBorders>
            <w:shd w:val="clear" w:color="auto" w:fill="C2D69B"/>
            <w:hideMark/>
          </w:tcPr>
          <w:p w14:paraId="20A9023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right w:val="nil"/>
            </w:tcBorders>
            <w:shd w:val="clear" w:color="auto" w:fill="C2D69B"/>
            <w:hideMark/>
          </w:tcPr>
          <w:p w14:paraId="0EC61A0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right w:val="nil"/>
            </w:tcBorders>
            <w:shd w:val="clear" w:color="auto" w:fill="C2D69B"/>
          </w:tcPr>
          <w:p w14:paraId="60E1143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right w:val="nil"/>
            </w:tcBorders>
            <w:shd w:val="clear" w:color="auto" w:fill="C2D69B"/>
          </w:tcPr>
          <w:p w14:paraId="35D0AEF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right w:val="nil"/>
            </w:tcBorders>
            <w:shd w:val="clear" w:color="auto" w:fill="C2D69B"/>
          </w:tcPr>
          <w:p w14:paraId="21D4E35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17761695" w14:textId="77777777" w:rsidTr="00C8335E">
        <w:trPr>
          <w:trHeight w:val="290"/>
        </w:trPr>
        <w:tc>
          <w:tcPr>
            <w:tcW w:w="2665" w:type="dxa"/>
            <w:tcBorders>
              <w:top w:val="nil"/>
              <w:left w:val="nil"/>
              <w:bottom w:val="nil"/>
              <w:right w:val="nil"/>
            </w:tcBorders>
            <w:vAlign w:val="center"/>
            <w:hideMark/>
          </w:tcPr>
          <w:p w14:paraId="405F52EB"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{"citationID":"TyFEtuJO","properties":{"formattedCitation":"(Wahyuningrum et al., 2022)","plainCitation":"(Wahyuningrum et al., 2022)","noteIndex":0},"citationItems":[{"id":114,"uris":["http://zotero.org/users/local/U8bdnYIb/items/BZRF4HG5"],"itemData":{"id":114,"type":"article-journal","abstract":"Background: Indonesia lacks standardized and adapted neuropsychological tests, which hampers their use in clinical practice. Recently, an Indonesian Neuropsychological Consortium has initiated the adaptation of ten internationally commonly used tests for use in Indonesia. Here, we report the analyses of the psychometric properties, including preliminary normative data, the reliability, the underlying cognitive constructs, and the effects of age and education on these constructs as validity indicators. Material/Methods: Four hundred ninety healthy adults living on Java Island participated in this study. All subjects completed the Indonesian Neuropsychological Test Battery (INTB) for diagnosis of various cognitive functions. The test-retest reliability was determined in a parallel study with fifty participants. Results: Underlying cognitive constructs were assessed with Principal Component Analysis (PCA) revealed seven constructs that accounted for 62.84% of the total variance, and the goodness of fit of the model was good. ANOVA’s showed significant effects of age on six constructs (i.e., speed of visuospatial information processing, auditory short-term and working memory, speed and inhibitory control, and verbal learning ability). Conclusions: Age effects were not found for executive internal language. All constructs showed effects of education, except for recall and verbal learning ability. Interestingly, as expected, not all constructs showed the same age-dependent decline, and if present, all seem to be unique. It is concluded that the psychometric properties of the INTB justify their usage for the Indonesian population. (PsycInfo Database Record (c) 2023 APA, all rights reserved)","archive_location":"rayyan-567636171","container-title":"Acta Neuropsychologica","DOI":"10.5604/01.3001.0016.1339","ISSN":"2084-4298(Electronic),1730-7503(Print)","issue":"4","note":"publisher-place: Sulastri, Augustina: Psychology Faculty, Soegijapranata Catholic University, Semarang, Indonesia, ag.sulastri@unika.ac.id Poland\npublisher: Agencja Wydawnicza Medsportpress","page":"445-470","title":"The Indonesian Neuropsychological Test Battery (INTB): Psychometric properties, preliminary normative scores, the underlying cognitive constructs, and the effects of age and education.","volume":"20","author":[{"family":"Wahyuningrum","given":"Shinta Estri"},{"family":"Sulastri","given":"Augustina"},{"family":"Hendriks","given":"M. P. H."},{"family":"Luijtelaar","given":"Gilles","non-dropping-particle":"van"}],"issued":{"date-parts":[["2022"]]}}}],"schema":"https://github.com/citation-style-language/schema/raw/master/csl-citation.json"}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(Wahyuningrum et al., 2022)</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B7DEE8"/>
            <w:vAlign w:val="bottom"/>
            <w:hideMark/>
          </w:tcPr>
          <w:p w14:paraId="23FCEAF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Unclear</w:t>
            </w:r>
          </w:p>
        </w:tc>
        <w:tc>
          <w:tcPr>
            <w:tcW w:w="908" w:type="dxa"/>
            <w:gridSpan w:val="2"/>
            <w:tcBorders>
              <w:top w:val="nil"/>
              <w:left w:val="nil"/>
              <w:bottom w:val="nil"/>
              <w:right w:val="nil"/>
            </w:tcBorders>
            <w:shd w:val="clear" w:color="auto" w:fill="C2D69B"/>
            <w:hideMark/>
          </w:tcPr>
          <w:p w14:paraId="38CE1D2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5640654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hideMark/>
          </w:tcPr>
          <w:p w14:paraId="7F7B7E3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3FA6AB4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7805706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03B6D0D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571F7393" w14:textId="77777777" w:rsidTr="00C8335E">
        <w:trPr>
          <w:trHeight w:val="290"/>
        </w:trPr>
        <w:tc>
          <w:tcPr>
            <w:tcW w:w="2665" w:type="dxa"/>
            <w:tcBorders>
              <w:top w:val="nil"/>
              <w:left w:val="nil"/>
              <w:bottom w:val="nil"/>
              <w:right w:val="nil"/>
            </w:tcBorders>
            <w:vAlign w:val="center"/>
            <w:hideMark/>
          </w:tcPr>
          <w:p w14:paraId="284D0322"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{"citationID":"G6D5goZ3","properties":{"formattedCitation":"(Feenstra et al., 2018)","plainCitation":"(Feenstra et al., 2018)","noteIndex":0},"citationItems":[{"id":104,"uris":["http://zotero.org/users/local/U8bdnYIb/items/FEQBCRQZ"],"itemData":{"id":104,"type":"article-journal","abstract":"Background: Online tests enable efficient self-administered assessments and consequently facilitate large-scale data collection for many fields of research. The Amsterdam Cognition Scan is a new online neuropsychological test battery that measures a broad variety of cognitive functions. Objective: The aims of this study were to evaluate the psychometric properties of the Amsterdam Cognition Scan and to establish regression-based normative data. Methods: The Amsterdam Cognition Scan was self-administrated twice from home—with an interval of 6 weeks—by 248 healthy Dutch-speaking adults aged 18 to 81 years. Results: Test-retest reliability was moderate to high and comparable with that of equivalent traditional tests (intraclass correlation coefficients: .45 to .80; .83 for the Amsterdam Cognition Scan total score). Multiple regression analyses indicated that (1) participants’ age negatively influenced all (12) cognitive measures, (2) gender was associated with performance on six measures, and (3) education level was positively associated with performance on four measures. In addition, we observed influences of tested computer skills and of self-reported amount of computer use on cognitive performance. Demographic characteristics that proved to influence Amsterdam Cognition Scan test performance were included in regression-based predictive formulas to establish demographically adjusted normative data. Conclusions: Initial results from a healthy adult sample indicate that the Amsterdam Cognition Scan has high usability and can give reliable measures of various generic cognitive ability areas. For future use, the influence of computer skills and experience should be further studied, and for repeated measurements, computer configuration should be consistent. The reported normative data allow for initial interpretation of Amsterdam Cognition Scan performances. (PsycInfo Database Record (c) 2020 APA, all rights reserved)","archive_location":"rayyan-567636109","container-title":"Journal of Medical Internet Research","DOI":"10.2196/jmir.9298","ISSN":"1438-8871(Electronic),1439-4456(Print)","issue":"5","note":"publisher-place: Feenstra, Heleen E. M.: Department of Psychosocial Research and Epidemiology, Netherlands Cancer Institute, Plesmanlaan 121, Amsterdam, Netherlands, 1066 CX, h.feenstra@nki.nl Canada\npublisher: JMIR Publications","title":"Online self-administered cognitive testing using the Amsterdam Cognition Scan: Establishing psychometric properties and normative data.","volume":"20","author":[{"family":"Feenstra","given":"Heleen E. M."},{"family":"Vermeulen","given":"Ivar E."},{"family":"Murre","given":"Jaap M. J."},{"family":"Schagen","given":"Sanne B."}],"issued":{"date-parts":[["2018"]]}}}],"schema":"https://github.com/citation-style-language/schema/raw/master/csl-citation.json"}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(Feenstra et al., 2018)</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2D7E014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hideMark/>
          </w:tcPr>
          <w:p w14:paraId="5602BC2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hideMark/>
          </w:tcPr>
          <w:p w14:paraId="41FA18F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hideMark/>
          </w:tcPr>
          <w:p w14:paraId="329B7C1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11F3599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3FC0BF4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60772DA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1B719A1B" w14:textId="77777777" w:rsidTr="00C8335E">
        <w:trPr>
          <w:trHeight w:val="290"/>
        </w:trPr>
        <w:tc>
          <w:tcPr>
            <w:tcW w:w="2665" w:type="dxa"/>
            <w:tcBorders>
              <w:top w:val="nil"/>
              <w:left w:val="nil"/>
              <w:bottom w:val="nil"/>
              <w:right w:val="nil"/>
            </w:tcBorders>
            <w:vAlign w:val="center"/>
            <w:hideMark/>
          </w:tcPr>
          <w:p w14:paraId="6CA1BDAB"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{"citationID":"RK389CUU","properties":{"formattedCitation":"(Rijnen et al., 2018)","plainCitation":"(Rijnen et al., 2018)","noteIndex":0},"citationItems":[{"id":124,"uris":["http://zotero.org/users/local/U8bdnYIb/items/U9YDS8GF"],"itemData":{"id":124,"type":"article-journal","abstract":"This study examined test-retest reliabilities and (predictors of) practice effects of the widely used computerized neuropsychological battery CNS Vital Signs. The sample consisted of 158 Dutch healthy adults. At 3 and 12 months follow-up, 131 and 77 participants were retested. Results revealed low to high test–retest reliability coefficients for CNS VS’ test and domain scores. Participants scored significantly higher on the domains of Cognitive Flexibility, Processing Speed, and Reaction Time at the 3-month retest. No significant differences in performance were found over the second interval. Age, education, and retest-interval were not significantly associated with practice effects. These results highlight the need for methods that evaluate performance over time while accounting for imperfect test-retest reliabilities and practice effects. We provided RCI-formulae for determining reliable change, which may be possible solution for future work facing the methodological issues of retesting. (PsycINFO Database Record (c) 2019 APA, all rights reserved)","archive_location":"rayyan-567636452","container-title":"Psychological Assessment","DOI":"10.1037/pas0000618","ISSN":"1939-134X(Electronic),1040-3590(Print)","issue":"12","note":"publisher-place: Rijnen, Sophie J. M.: Department of Cognitive Neuropsychology, Tilburg University, Simon Building, Room S201b, P.O. Box 90153 Warandelaan 2, Tilburg, Netherlands, 5000 LE, s.j.m.rijnen@uvt.nl US\npublisher: American Psychological Association","page":"1652-1662","title":"Test-retest reliability and practice effects of a computerized neuropsychological battery: A solution-oriented approach.","volume":"30","author":[{"family":"Rijnen","given":"S. J. M."},{"family":"Linden","given":"S. D.","non-dropping-particle":"van der"},{"family":"Emons","given":"W. H. M."},{"family":"Sitskoorn","given":"M. M."},{"family":"Gehring","given":"K."}],"issued":{"date-parts":[["2018"]]}}}],"schema":"https://github.com/citation-style-language/schema/raw/master/csl-citation.json"}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(Rijnen et al., 2018)</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13F63F3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hideMark/>
          </w:tcPr>
          <w:p w14:paraId="68E3B84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03218EC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hideMark/>
          </w:tcPr>
          <w:p w14:paraId="397036D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20F4FDA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71B3997A"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1213C4C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0FD360C7" w14:textId="77777777" w:rsidTr="00C8335E">
        <w:trPr>
          <w:trHeight w:val="290"/>
        </w:trPr>
        <w:tc>
          <w:tcPr>
            <w:tcW w:w="2665" w:type="dxa"/>
            <w:tcBorders>
              <w:top w:val="nil"/>
              <w:left w:val="nil"/>
              <w:bottom w:val="nil"/>
              <w:right w:val="nil"/>
            </w:tcBorders>
            <w:vAlign w:val="center"/>
            <w:hideMark/>
          </w:tcPr>
          <w:p w14:paraId="7031C909"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{"citationID":"eTMwvkr1","properties":{"formattedCitation":"(Soveri A et al., 2018)","plainCitation":"(Soveri A et al., 2018)","noteIndex":0},"citationItems":[{"id":146,"uris":["http://zotero.org/users/local/U8bdnYIb/items/72LCSII3"],"itemData":{"id":146,"type":"article-journal","abstract":"Executive tasks are important instruments for neuropsychological and cognitive research, but only a limited number of studies have investigated the test-retest reliability of these tasks. Such information is needed for optimizing task usage, for example, in longitudinal and intervention studies. In this study with healthy adults, we investigated the temporal stability of five executive tasks: the Simon task, a visuoverbal N-back task, a visuospatial N-back task, a running memory task, and the Number-letter task. These five tasks are frequently used in research, but previously published reliability data is very limited or totally lacking. The results from the present study showed considerable variability with the highest test-retest reliabilities amongst the three working memory tasks. Furthermore, reaction time measures indicated practice effects between the two sessions across the tasks. The present results set constraints to the interpretation of the results of longitudinal and intervention studies using these tasks.","archive_location":"rayyan-567636870","container-title":"Applied neuropsychology. Adult","DOI":"10.1080/23279095.2016.1263795","ISSN":"2327-9109 (Electronic)","issue":"2","journalAbbreviation":"Appl Neuropsychol Adult","language":"eng","note":"publisher-place: United States","page":"155-165","title":"Test-retest reliability of five frequently used executive tasks in healthy adults.","volume":"25","author":[{"literal":"Soveri A"},{"literal":"Lehtonen M"},{"literal":"Karlsson LC"},{"literal":"Lukasik K"},{"literal":"Antfolk J"},{"literal":"Laine M"}],"issued":{"date-parts":[["2018"]]}}}],"schema":"https://github.com/citation-style-language/schema/raw/master/csl-citation.json"}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(Soveri A et al., 2018)</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40FA463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hideMark/>
          </w:tcPr>
          <w:p w14:paraId="5C63C39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7A53EA2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hideMark/>
          </w:tcPr>
          <w:p w14:paraId="004B842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6C19DB3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36FB509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624F1B3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70711AE8" w14:textId="77777777" w:rsidTr="00C8335E">
        <w:trPr>
          <w:trHeight w:val="290"/>
        </w:trPr>
        <w:tc>
          <w:tcPr>
            <w:tcW w:w="2665" w:type="dxa"/>
            <w:tcBorders>
              <w:top w:val="nil"/>
              <w:left w:val="nil"/>
              <w:bottom w:val="nil"/>
              <w:right w:val="nil"/>
            </w:tcBorders>
            <w:vAlign w:val="center"/>
            <w:hideMark/>
          </w:tcPr>
          <w:p w14:paraId="3B345F53"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{"citationID":"Qh3xR08u","properties":{"formattedCitation":"(White et al., 2018)","plainCitation":"(White et al., 2018)","noteIndex":0},"citationItems":[{"id":102,"uris":["http://zotero.org/users/local/U8bdnYIb/items/QB5N6397"],"itemData":{"id":102,"type":"article-journal","abstract":"Introduction: Repeated cognitive assessment is frequently required to monitor changes in cognitive functioning in older adults, but studies of repeated computerized testing in this population are scarce. To provide new insight into retest effects this study examined within- and between-day performance shifts and test–retest reliability among healthy older adults for test scores from a computerized cognitive battery. Method: Thirty older men (65–71 years) completed the battery six times. Testing occurred twice on each of three testing days, separated by 1 week. Results: Reaction times (RTs) on tasks intended to measure inhibition (Anti), response switching (Pro/Anti), selective attention (Simon and Flanker), and working memory (2-back) typically showed practice effects, which were most prominent between the first two time points. In most cases, these RTs showed moderate to good test–retest reliability (intraclass correlation coefficient, ICC, range = .34 to .93) with lower reliability between the first two time points. Two-back accuracy rates showed similar results. In contrast, RTs on a basic visuomotor task (Pro) and on compatible trials of the Simon task showed increases at later time points, presumably because of boredom, but demonstrated mostly moderate to good reliability (ICC range = .49 to .83). Scoring metrics from a computerized version of the Corsi Block-Tapping task (intended to measure short-term and working memory) and cost scores (performance differences between two related conditions/tasks) intended to isolate specific cognitive functions tended to show poor reliability (ICC range = –.23 to .62). Conclusions: Most of the RT tasks investigated showed suitability for use in repeated testing among older adults, although longer familiarization periods appear to be warranted in many cases to reduce practice effects and improve initial reliability. However, poor reliability indicated that scoring metrics from the computerized Corsi Block-Tapping task and cost scores are unsuitable for repeated testing. (PsycInfo Database Record (c) 2022 APA, all rights reserved)","archive_location":"rayyan-567636079","container-title":"Journal of Clinical and Experimental Neuropsychology","DOI":"10.1080/13803395.2018.1526888","ISSN":"1744-411X(Electronic),1380-3395(Print)","issue":"2","note":"publisher-place: Machado, Liana: Department of Psychology, University of Otago, William James Building, 275 Leith Walk, Dunedin, New Zealand, 9054, liana@psy.otago.ac.nz United Kingdom\npublisher: Taylor &amp; Francis","page":"179-191","title":"Repeated computerized cognitive testing: Performance shifts and test–retest reliability in healthy older adults.","volume":"41","author":[{"family":"White","given":"Naomi"},{"family":"Flannery","given":"Larnee"},{"family":"McClintock","given":"Alice"},{"family":"Machado","given":"Liana"}],"issued":{"date-parts":[["2018"]]}}}],"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(White et al., 2018)</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6339D35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hideMark/>
          </w:tcPr>
          <w:p w14:paraId="3C6E52F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6F712F0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hideMark/>
          </w:tcPr>
          <w:p w14:paraId="64254DC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06265E8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09045B1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0726A41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17E21A43" w14:textId="77777777" w:rsidTr="00C8335E">
        <w:trPr>
          <w:trHeight w:val="290"/>
        </w:trPr>
        <w:tc>
          <w:tcPr>
            <w:tcW w:w="2665" w:type="dxa"/>
            <w:tcBorders>
              <w:top w:val="nil"/>
              <w:left w:val="nil"/>
              <w:bottom w:val="nil"/>
              <w:right w:val="nil"/>
            </w:tcBorders>
            <w:vAlign w:val="center"/>
            <w:hideMark/>
          </w:tcPr>
          <w:p w14:paraId="3E22245A"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{"citationID":"Eo67nW5W","properties":{"formattedCitation":"(Parsons &amp; Barnett, 2017)","plainCitation":"(Parsons &amp; Barnett, 2017)","noteIndex":0},"citationItems":[{"id":98,"uris":["http://zotero.org/users/local/U8bdnYIb/items/PTAJX74L"],"itemData":{"id":98,"type":"article-journal","archive_location":"rayyan-567635679","container-title":"JOURNAL OF NEUROSCIENCE METHODS","DOI":"10.1016/j.jneumeth.2018.08.022","ISSN":"[\"0165-0270\", \"1872-678X\"]","page":"35-40","title":"Virtual apartment stroop task: Comparison with computerized and traditional stroop tasks","volume":"309","author":[{"family":"Parsons","given":"TD"},{"family":"Barnett","given":"MD"}],"issued":{"date-parts":[["2017"]]}}}],"schema":"https://github.com/citation-style-language/schema/raw/master/csl-citation.json"}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(Parsons &amp; Barnett, 2017)</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3ED9641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FF9696"/>
            <w:vAlign w:val="bottom"/>
            <w:hideMark/>
          </w:tcPr>
          <w:p w14:paraId="34E1A69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9" w:type="dxa"/>
            <w:gridSpan w:val="2"/>
            <w:tcBorders>
              <w:top w:val="nil"/>
              <w:left w:val="nil"/>
              <w:bottom w:val="nil"/>
              <w:right w:val="nil"/>
            </w:tcBorders>
            <w:shd w:val="clear" w:color="auto" w:fill="C2D69B"/>
            <w:hideMark/>
          </w:tcPr>
          <w:p w14:paraId="4FBFC4D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hideMark/>
          </w:tcPr>
          <w:p w14:paraId="0AEF66D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1D490DD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FF9696"/>
          </w:tcPr>
          <w:p w14:paraId="16A3B7E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11" w:type="dxa"/>
            <w:tcBorders>
              <w:top w:val="nil"/>
              <w:left w:val="nil"/>
              <w:bottom w:val="nil"/>
              <w:right w:val="nil"/>
            </w:tcBorders>
            <w:shd w:val="clear" w:color="auto" w:fill="C2D69B"/>
          </w:tcPr>
          <w:p w14:paraId="21D23258"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0EB22AA3" w14:textId="77777777" w:rsidTr="00C8335E">
        <w:trPr>
          <w:trHeight w:val="290"/>
        </w:trPr>
        <w:tc>
          <w:tcPr>
            <w:tcW w:w="2665" w:type="dxa"/>
            <w:tcBorders>
              <w:top w:val="nil"/>
              <w:left w:val="nil"/>
              <w:bottom w:val="nil"/>
              <w:right w:val="nil"/>
            </w:tcBorders>
            <w:vAlign w:val="center"/>
            <w:hideMark/>
          </w:tcPr>
          <w:p w14:paraId="581629F8"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{"citationID":"iDL4czrr","properties":{"formattedCitation":"(Ishigami et al., 2016)","plainCitation":"(Ishigami et al., 2016)","noteIndex":0},"citationItems":[{"id":156,"uris":["http://zotero.org/users/local/U8bdnYIb/items/XXXXJBXA"],"itemData":{"id":156,"type":"article-journal","abstract":"The Attention Network Test (ANT) is a frequently used computer-based tool for measuring the three attention networks (alerting, orienting, and executive control). We examined the psychometric properties of performance on a variant of the ANT, the Attention Network Test-Interaction (ANT-I) in healthy older adults (N = 173; mean age = 65.4, SD = 6.5; obtained from the Brain in Motion Study, Tyndall et al. BMC Geriatr 13:21, 2013. doi: 10.1186/1471-2318-13-21) to evaluate its usefulness as a measurement tool in both aging and clinical research. In terms of test reliability, split-half correlation analyses showed that all network scores were significantly reliable, although the strength of the correlations varied across networks as seen before (r = 0.29, 0.70, and 0.68, for alerting, orienting, and executive networks, respectively, p's &lt; 0.05). In terms of construct validity, ANOVAs confirmed that each network score was significant (18.3, 59.4, and 109.2 ms for the alerting, orienting, and executive networks, respectively, p's &lt; 0.01) and that these scores were generally independent from each other. Importantly, for criterion validity, a series of hierarchical linear regressions showed that the executive network score, in addition to demographic information, was a significant predictor of performance on tests of conflict resolution as well as verbal memory and retrieval (β = -0.165 and -0.184, p's &lt; 0.05, respectively). These results provide new information regarding the reliability and validity of ANT-I test performance in a healthy older adult population. The results provide insights into the psychometrics of the ANT-I and its potential utility in clinical research settings.","archive_location":"rayyan-567636961","container-title":"Experimental brain research","DOI":"10.1007/s00221-015-4493-4","ISSN":"1432-1106 (Electronic)","issue":"3","journalAbbreviation":"Exp Brain Res","language":"eng","note":"publisher-place: Germany","page":"815-27","title":"The Attention Network Test-Interaction (ANT-I): reliability and validity in healthy older adults.","volume":"234","author":[{"family":"Ishigami","given":"Y."},{"family":"Eskes","given":"G. A."},{"family":"Tyndall","given":"A. V."},{"family":"Longman","given":"R. S."},{"family":"Drogos","given":"L. L."},{"family":"Poulin","given":"M. J."}],"issued":{"date-parts":[["2016"]]}}}],"schema":"https://github.com/citation-style-language/schema/raw/master/csl-citation.json"}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(Ishigami et al., 2016)</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B7DEE8"/>
            <w:vAlign w:val="bottom"/>
            <w:hideMark/>
          </w:tcPr>
          <w:p w14:paraId="655500A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Unclear</w:t>
            </w:r>
          </w:p>
        </w:tc>
        <w:tc>
          <w:tcPr>
            <w:tcW w:w="908" w:type="dxa"/>
            <w:gridSpan w:val="2"/>
            <w:tcBorders>
              <w:top w:val="nil"/>
              <w:left w:val="nil"/>
              <w:bottom w:val="nil"/>
              <w:right w:val="nil"/>
            </w:tcBorders>
            <w:shd w:val="clear" w:color="auto" w:fill="C2D69B"/>
            <w:vAlign w:val="bottom"/>
            <w:hideMark/>
          </w:tcPr>
          <w:p w14:paraId="0908218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17FA02D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6D4CD08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B7DEE8"/>
          </w:tcPr>
          <w:p w14:paraId="36E952C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Unclear</w:t>
            </w:r>
          </w:p>
        </w:tc>
        <w:tc>
          <w:tcPr>
            <w:tcW w:w="908" w:type="dxa"/>
            <w:gridSpan w:val="3"/>
            <w:tcBorders>
              <w:top w:val="nil"/>
              <w:left w:val="nil"/>
              <w:bottom w:val="nil"/>
              <w:right w:val="nil"/>
            </w:tcBorders>
            <w:shd w:val="clear" w:color="auto" w:fill="C2D69B"/>
          </w:tcPr>
          <w:p w14:paraId="3019F79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6F3CE88C"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5F21164D" w14:textId="77777777" w:rsidTr="00C8335E">
        <w:trPr>
          <w:trHeight w:val="290"/>
        </w:trPr>
        <w:tc>
          <w:tcPr>
            <w:tcW w:w="2665" w:type="dxa"/>
            <w:tcBorders>
              <w:top w:val="nil"/>
              <w:left w:val="nil"/>
              <w:bottom w:val="nil"/>
              <w:right w:val="nil"/>
            </w:tcBorders>
            <w:vAlign w:val="center"/>
            <w:hideMark/>
          </w:tcPr>
          <w:p w14:paraId="641A78B8"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{"citationID":"5cyx3fVD","properties":{"formattedCitation":"(Kaller et al., 2016)","plainCitation":"(Kaller et al., 2016)","noteIndex":0},"citationItems":[{"id":140,"uris":["http://zotero.org/users/local/U8bdnYIb/items/TDMRNB6F"],"itemData":{"id":140,"type":"article-journal","abstract":"Planning ahead the consequences of future actions is a prototypical executive function. In clinical and experimental neuropsychology, disc-transfer tasks like the Tower of London (TOL) are commonly used for the assessment of planning ability. Previous psychometric evaluations have, however, yielded a poor reliability of measuring planning performance with the TOL. Based on theory-grounded task analyses and a systematic problem selection, the computerized TOL-Freiburg version (TOL-F) was developed to improve the task’s psychometric properties for diagnostic applications. Here,we report reliability estimates for the TOL-F from two large samples collected in Mainz,Germany(n = 3,770; 40–80 years) and in Vienna, Austria (n = 830; 16–84 years). Results show that planning accuracy on the TOL-F possesses an adequate internal consistency and split-half reliability (&gt; 0.7) that are stable across the adult life span while the TOL-F covers a broad range of graded difficulty even in healthy adults, making it suitable for both research and clinical application. (PsycINFO Database Record (c) 2016 APA, all rights reserved)","archive_location":"rayyan-567636756","container-title":"Archives of Clinical Neuropsychology","ISSN":"1873-5843(Electronic),0887-6177(Print)","issue":"2","note":"publisher-place: Kaller, Christoph P.: Department of Neurology, University Medical Center Freiburg, Breisacher Str. 64, Freiburg, Germany, 79106, christoph.kaller@uniklinik-freiburg.de United Kingdom\npublisher: Oxford University Press","page":"148-164","title":"Assessing planning ability across the adult life Span: Population-representative and age-adjusted reliability estimates for the Tower of London (TOL-F).","volume":"31","author":[{"family":"Kaller","given":"Christoph P."},{"family":"Debelak","given":"Rudolf"},{"family":"Köstering","given":"Lena"},{"family":"Egle","given":"Johanna"},{"family":"Rahm","given":"Benjamin"},{"family":"Wild","given":"Philipp S."},{"family":"Blettner","given":"Maria"},{"family":"Beutel","given":"Manfred E."},{"family":"Unterrainer","given":"Josef M."}],"issued":{"date-parts":[["2016"]]}}}],"schema":"https://github.com/citation-style-language/schema/raw/master/csl-citation.json"}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(Kaller et al., 2016)</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C2D69B"/>
            <w:vAlign w:val="bottom"/>
            <w:hideMark/>
          </w:tcPr>
          <w:p w14:paraId="66960BF3"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gridSpan w:val="2"/>
            <w:tcBorders>
              <w:top w:val="nil"/>
              <w:left w:val="nil"/>
              <w:bottom w:val="nil"/>
              <w:right w:val="nil"/>
            </w:tcBorders>
            <w:shd w:val="clear" w:color="auto" w:fill="C2D69B"/>
            <w:vAlign w:val="bottom"/>
            <w:hideMark/>
          </w:tcPr>
          <w:p w14:paraId="255552B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55528CA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vAlign w:val="bottom"/>
            <w:hideMark/>
          </w:tcPr>
          <w:p w14:paraId="5AEB6EA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1502255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0E6028F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1A0F7C5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095A7F5E" w14:textId="77777777" w:rsidTr="00C8335E">
        <w:trPr>
          <w:trHeight w:val="290"/>
        </w:trPr>
        <w:tc>
          <w:tcPr>
            <w:tcW w:w="2665" w:type="dxa"/>
            <w:tcBorders>
              <w:top w:val="nil"/>
              <w:left w:val="nil"/>
              <w:bottom w:val="nil"/>
              <w:right w:val="nil"/>
            </w:tcBorders>
            <w:vAlign w:val="center"/>
            <w:hideMark/>
          </w:tcPr>
          <w:p w14:paraId="136170E0"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{"citationID":"lqlbxXB5","properties":{"formattedCitation":"(K\\uc0\\u246{}stering et al., 2015)","plainCitation":"(Köstering et al., 2015)","noteIndex":0},"citationItems":[{"id":152,"uris":["http://zotero.org/users/local/U8bdnYIb/items/AV7WZJKL"],"itemData":{"id":152,"type":"article-journal","abstract":"Test-retest reliability is difficult to establish for measures of executive functioning that rely on task novelty. Correspondingly, evidence on the test-retest reliability of the commonly used Tower of London (TOL) planning task is, as yet, equivocal and only based on indices of relative consistency, rather than absolute agreement of individual scores. Further, the stability of planning latencies over repeated testing has not been investigated. The present study assessed test-retest reliability of planning performance measures using a structurally balanced problem set implemented in the TOL-Freiburg version (TOL-F). The TOL-F was administered in 2 structurally identical versions to a sample of young, healthy adults over a 1-week interval. For planning accuracy, the Pearson correlation and intraclass correlation coefficient for relative consistency were adequate (r = .739 and .734), with the intraclass correlation coefficient for absolute agreement only slightly decreased (r = .690). For initial thinking and movement execution times, relative consistency and absolute agreement reliability indices were uniformly low (all r between .274 and .519). Given adequate planning accuracy test-retest reliability, the TOL-F can be reliably used to measure planning ability in group-based studies and with individual participants, as is important for clinical testing. Planning latencies, however, should only be used as complementary, but not sole measures of planning ability, particularly for normative evaluations in clinical assessment. In sum, TOL-F planning accuracy possesses adequate absolute and relative test-retest reliability for experimental utility. Future studies should assess whether this indeed translates into clinical utility of the TOL-F for measuring planning ability in patients.","archive_location":"rayyan-567636920","container-title":"Psychological assessment","DOI":"10.1037/pas0000097","ISSN":"1939-134X (Electronic)","issue":"3","journalAbbreviation":"Psychol Assess","language":"eng","note":"publisher-place: United States","page":"925-31","title":"Test-retest reliability of the Tower of London Planning Task (TOL-F).","volume":"27","author":[{"family":"Köstering","given":"L."},{"family":"Nitschke","given":"K."},{"family":"Schumacher","given":"F. K."},{"family":"Weiller","given":"C."},{"family":"Kaller","given":"C. P."}],"issued":{"date-parts":[["2015"]]}}}],"schema":"https://github.com/citation-style-language/schema/raw/master/csl-citation.json"}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kern w:val="0"/>
                <w:szCs w:val="20"/>
              </w:rPr>
              <w:t>(Köstering et al., 2015)</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1C34003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11FA0D3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40D99D6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vAlign w:val="bottom"/>
            <w:hideMark/>
          </w:tcPr>
          <w:p w14:paraId="7778F2A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FF9696"/>
          </w:tcPr>
          <w:p w14:paraId="7602CAC2"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nil"/>
              <w:right w:val="nil"/>
            </w:tcBorders>
            <w:shd w:val="clear" w:color="auto" w:fill="C2D69B"/>
          </w:tcPr>
          <w:p w14:paraId="642974A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256E08F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12061382" w14:textId="77777777" w:rsidTr="00C8335E">
        <w:trPr>
          <w:trHeight w:val="290"/>
        </w:trPr>
        <w:tc>
          <w:tcPr>
            <w:tcW w:w="2665" w:type="dxa"/>
            <w:tcBorders>
              <w:top w:val="nil"/>
              <w:left w:val="nil"/>
              <w:bottom w:val="nil"/>
              <w:right w:val="nil"/>
            </w:tcBorders>
            <w:vAlign w:val="center"/>
            <w:hideMark/>
          </w:tcPr>
          <w:p w14:paraId="6FD4DCE3"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{"citationID":"IB4NOWOQ","properties":{"formattedCitation":"(Heaton et al., 2014)","plainCitation":"(Heaton et al., 2014)","noteIndex":0},"citationItems":[{"id":130,"uris":["http://zotero.org/users/local/U8bdnYIb/items/UUK5DQUM"],"itemData":{"id":130,"type":"article-journal","abstract":"This study describes psychometric properties of the NIH Toolbox Cognition Battery (NIHTB-CB) Composite Scores in an adult sample. The NIHTB-CB was designed for use in epidemiologic studies and clinical trials for ages 3 to 85. A total of 268 self-described healthy adults were recruited at four university-based sites, using stratified sampling guidelines to target demographic variability for age (20–85 years), gender, education, and ethnicity. The NIHTB-CB contains seven computer-based instruments assessing five cognitive sub-domains: Language, Executive Function, Episodic Memory, Processing Speed, and Working Memory. Participants completed the NIHTB-CB, corresponding gold standard validation measures selected to tap the same cognitive abilities, and sociodemographic questionnaires. Three Composite Scores were derived for both the NIHTB-CB and gold standard batteries: “Crystallized Cognition Composite,” “Fluid Cognition Composite,” and “Total Cognition Composite” scores. NIHTB Composite Scores showed acceptable internal consistency (Cronbach’s alphas = 0.84 Crystallized, 0.83 Fluid, 0.77 Total), excellent test–retest reliability (r: 0.86–0.92), strong convergent (r: 0.78–0.90) and discriminant (r: 0.19–0.39) validities versus gold standard composites, and expected age effects (r = 0.18 crystallized, r = − 0.68 fluid, r = − 0.26 total). Significant relationships with self-reported prior school difficulties and current health status, employment, and presence of a disability provided evidence of external validity. The NIH Toolbox Cognition Battery Composite Scores have excellent reliability and validity, suggesting they can be used effectively in epidemiologic and clinical studies. (PsycINFO Database Record (c) 2018 APA, all rights reserved)","archive_location":"rayyan-567636557","container-title":"Journal of the International Neuropsychological Society","DOI":"10.1017/S1355617714000241","ISSN":"1469-7661(Electronic),1355-6177(Print)","issue":"6","note":"publisher-place: Heaton, Robert K.: Department of Psychiatry, UCSD School of Medicine, 9500 Gilman Drive, La Jolla, CA, US, 92093-0603, rheaton@ucsd.edu United Kingdom\npublisher: Cambridge University Press","page":"588-598","title":"Reliability and validity of composite scores from the NIH Toolbox Cognition Battery in adults.","volume":"20","author":[{"family":"Heaton","given":"Robert K."},{"family":"Akshoomoff","given":"Natacha"},{"family":"Tulsky","given":"David"},{"family":"Mungas","given":"Dan"},{"family":"Weintraub","given":"Sandra"},{"family":"Dikmen","given":"Sureyya"},{"family":"Beaumont","given":"Jennifer"},{"family":"Casaletto","given":"Kaitlin B."},{"family":"Conway","given":"Kevin"},{"family":"Slotkin","given":"Jerry"},{"family":"Gershon","given":"Richard"}],"issued":{"date-parts":[["2014"]]}}}],"schema":"https://github.com/citation-style-language/schema/raw/master/csl-citation.json"}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(Heaton et al., 2014)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C2D69B"/>
            <w:vAlign w:val="bottom"/>
            <w:hideMark/>
          </w:tcPr>
          <w:p w14:paraId="542AE2F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gridSpan w:val="2"/>
            <w:tcBorders>
              <w:top w:val="nil"/>
              <w:left w:val="nil"/>
              <w:bottom w:val="nil"/>
              <w:right w:val="nil"/>
            </w:tcBorders>
            <w:shd w:val="clear" w:color="auto" w:fill="C2D69B"/>
            <w:vAlign w:val="bottom"/>
            <w:hideMark/>
          </w:tcPr>
          <w:p w14:paraId="0C51997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C2D69B"/>
            <w:vAlign w:val="bottom"/>
            <w:hideMark/>
          </w:tcPr>
          <w:p w14:paraId="31791025"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nil"/>
              <w:right w:val="nil"/>
            </w:tcBorders>
            <w:shd w:val="clear" w:color="auto" w:fill="C2D69B"/>
            <w:vAlign w:val="bottom"/>
            <w:hideMark/>
          </w:tcPr>
          <w:p w14:paraId="0C6D31D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541DA2C7"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0FFA837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C2D69B"/>
          </w:tcPr>
          <w:p w14:paraId="18911CA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r w:rsidR="004E65DF" w:rsidRPr="006A086B" w14:paraId="6D0496BB" w14:textId="77777777" w:rsidTr="00C8335E">
        <w:trPr>
          <w:trHeight w:val="290"/>
        </w:trPr>
        <w:tc>
          <w:tcPr>
            <w:tcW w:w="2665" w:type="dxa"/>
            <w:tcBorders>
              <w:top w:val="nil"/>
              <w:left w:val="nil"/>
              <w:bottom w:val="nil"/>
              <w:right w:val="nil"/>
            </w:tcBorders>
            <w:vAlign w:val="center"/>
            <w:hideMark/>
          </w:tcPr>
          <w:p w14:paraId="0E2722F8"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{"citationID":"yRZFsLgU","properties":{"formattedCitation":"(Troyer et al., 2014)","plainCitation":"(Troyer et al., 2014)","noteIndex":0},"citationItems":[{"id":168,"uris":["http://zotero.org/users/local/U8bdnYIb/items/I7JN2FCX"],"itemData":{"id":168,"type":"article-journal","abstract":"There is a need for rapid and reliable Internet-based screening tools for cognitive assessment in middle-aged and older adults. We report the psychometric properties of an on-line tool designed to screen for cognitive deficits that require further investigation. The tool is composed of measures of memory and executive attention processes known to be sensitive to brain changes associated with aging and with cognitive disorders that become more prevalent with age. Measures included a Spatial Working Memory task, Stroop Interference task, Face-Name Association task, and Number-Letter Alternation task. Normative data were collected from 361 healthy adults age 50-79 who scored in the normal range on a standardized measure of general cognitive ability. Participants took the 20-minute on-line test on their home computers, and a subset of 288 participants repeated the test 1 week later. Analyses of the individual tasks indicated adequate internal consistency, construct validity, test-retest reliability, and alternate version reliability. As expected, scores were correlated with age. The four tasks loaded on the same principle component. Demographically-corrected z-scores from the individual tasks were combined to create an overall score, which showed good reliability and classification consistency. These results indicate the tool may be useful for identifying middle-aged and older adults with lower than expected scores who may benefit from clinical evaluation of their cognition by a health care professional.","archive_location":"rayyan-567637770","container-title":"Frontiers in aging neuroscience","DOI":"10.3389/fnagi.2014.00335","ISSN":"1663-4365 (Print)","journalAbbreviation":"Front Aging Neurosci","language":"eng","note":"publisher-place: Switzerland","page":"335","title":"Development and evaluation of a self-administered on-line test of memory and attention for middle-aged and older adults.","volume":"6","author":[{"family":"Troyer","given":"A. K."},{"family":"Rowe","given":"G."},{"family":"Murphy","given":"K. J."},{"family":"Levine","given":"B."},{"family":"Leach","given":"L."},{"family":"Hasher","given":"L."}],"issued":{"date-parts":[["2014"]]}}}],"schema":"https://github.com/citation-style-language/schema/raw/master/csl-citation.json"}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(Troyer et al., 2014)</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nil"/>
              <w:right w:val="nil"/>
            </w:tcBorders>
            <w:shd w:val="clear" w:color="auto" w:fill="FF9696"/>
            <w:vAlign w:val="bottom"/>
            <w:hideMark/>
          </w:tcPr>
          <w:p w14:paraId="0E75352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nil"/>
              <w:right w:val="nil"/>
            </w:tcBorders>
            <w:shd w:val="clear" w:color="auto" w:fill="C2D69B"/>
            <w:vAlign w:val="bottom"/>
            <w:hideMark/>
          </w:tcPr>
          <w:p w14:paraId="4185B1D9"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gridSpan w:val="2"/>
            <w:tcBorders>
              <w:top w:val="nil"/>
              <w:left w:val="nil"/>
              <w:bottom w:val="nil"/>
              <w:right w:val="nil"/>
            </w:tcBorders>
            <w:shd w:val="clear" w:color="auto" w:fill="D9D9D9"/>
            <w:hideMark/>
          </w:tcPr>
          <w:p w14:paraId="4104BC01"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c>
          <w:tcPr>
            <w:tcW w:w="908" w:type="dxa"/>
            <w:tcBorders>
              <w:top w:val="nil"/>
              <w:left w:val="nil"/>
              <w:bottom w:val="nil"/>
              <w:right w:val="nil"/>
            </w:tcBorders>
            <w:shd w:val="clear" w:color="auto" w:fill="C2D69B"/>
            <w:vAlign w:val="bottom"/>
            <w:hideMark/>
          </w:tcPr>
          <w:p w14:paraId="6DAD5AF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nil"/>
              <w:right w:val="nil"/>
            </w:tcBorders>
            <w:shd w:val="clear" w:color="auto" w:fill="C2D69B"/>
          </w:tcPr>
          <w:p w14:paraId="2E877F1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08" w:type="dxa"/>
            <w:gridSpan w:val="3"/>
            <w:tcBorders>
              <w:top w:val="nil"/>
              <w:left w:val="nil"/>
              <w:bottom w:val="nil"/>
              <w:right w:val="nil"/>
            </w:tcBorders>
            <w:shd w:val="clear" w:color="auto" w:fill="C2D69B"/>
          </w:tcPr>
          <w:p w14:paraId="1F23423D"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c>
          <w:tcPr>
            <w:tcW w:w="911" w:type="dxa"/>
            <w:tcBorders>
              <w:top w:val="nil"/>
              <w:left w:val="nil"/>
              <w:bottom w:val="nil"/>
              <w:right w:val="nil"/>
            </w:tcBorders>
            <w:shd w:val="clear" w:color="auto" w:fill="D9D9D9"/>
          </w:tcPr>
          <w:p w14:paraId="26B0F06F"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N/A</w:t>
            </w:r>
          </w:p>
        </w:tc>
      </w:tr>
      <w:tr w:rsidR="004E65DF" w:rsidRPr="006A086B" w14:paraId="102B6B08" w14:textId="77777777" w:rsidTr="00C8335E">
        <w:trPr>
          <w:trHeight w:val="290"/>
        </w:trPr>
        <w:tc>
          <w:tcPr>
            <w:tcW w:w="2665" w:type="dxa"/>
            <w:tcBorders>
              <w:top w:val="nil"/>
              <w:left w:val="nil"/>
              <w:bottom w:val="single" w:sz="4" w:space="0" w:color="auto"/>
              <w:right w:val="nil"/>
            </w:tcBorders>
            <w:vAlign w:val="center"/>
            <w:hideMark/>
          </w:tcPr>
          <w:p w14:paraId="64177DEA" w14:textId="77777777" w:rsidR="004E65DF" w:rsidRPr="006A086B" w:rsidRDefault="004E65DF" w:rsidP="00C8335E">
            <w:pPr>
              <w:spacing w:line="240" w:lineRule="auto"/>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fldChar w:fldCharType="begin"/>
            </w:r>
            <w:r w:rsidRPr="006A086B">
              <w:rPr>
                <w:rFonts w:eastAsia="Times New Roman" w:cs="Times New Roman"/>
                <w:color w:val="000000"/>
                <w:kern w:val="0"/>
                <w:szCs w:val="20"/>
                <w:lang w:eastAsia="pt-BR"/>
                <w14:ligatures w14:val="none"/>
              </w:rPr>
              <w:instrText xml:space="preserve"> ADDIN ZOTERO_ITEM CSL_CITATION {"citationID":"eRZEKMNd","properties":{"formattedCitation":"(Aalbers et al., 2013)","plainCitation":"(Aalbers et al., 2013)","noteIndex":0},"citationItems":[{"id":136,"uris":["http://zotero.org/users/local/U8bdnYIb/items/WRMABMGJ"],"itemData":{"id":136,"type":"article-journal","abstract":"Background: Online interventions are aiming increasingly at cognitive outcome measures but so far no easy and fast self-monitors for cognition have been validated or proven reliable and feasible. Objective: This study examines a new instrument called the Brain Aging Monitor–Cognitive Assessment Battery (BAM-COG) for its alternate forms reliability, face and content validity, and convergent and divergent validity. Also, reference values are provided. Methods: The BAM-COG consists of four easily accessible, short, yet challenging puzzle games that have been developed to measure working memory (“Conveyer Belt”), visuospatial short-term memory (“Sunshine”), episodic recognition memory (“Viewpoint”), and planning (“Papyrinth”). A total of 641 participants were recruited for this study. Of these, 397 adults, 40 years and older (mean 54.9, SD 9.6), were eligible for analysis. Study participants played all games three times with 14 days in between sets. Face and content validity were based on expert opinion. Alternate forms reliability (AFR) was measured by comparing scores on different versions of the BAM-COG and expressed with an intraclass correlation (ICC: two-way mixed; consistency at 95%). Convergent validity (CV) was provided by comparing BAM-COG scores to gold-standard paper-and-pencil and computer-assisted cognitive assessment. Divergent validity (DV) was measured by comparing BAM-COG scores to the National Adult Reading Test IQ (NART-IQ) estimate. Both CV and DV are expressed as Spearman rho correlation coefficients. Results: Three out of four games showed adequate results on AFR, CV, and DV measures. The games Conveyer Belt, Sunshine, and Papyrinth have AFR ICCs of .420, .426, and .645 respectively. Also, these games had good to very good CV correlations: rho = .577 (P = .001), rho = .669 (P P = .04), respectively. Last, as expected, DV correlations were low: rho = −.029 (P = .44), rho = −.029 (P = .45), and rho = −.134 (P = .28) respectively. The game Viewpoint provided less desirable results with an AFR ICC of .167, CV rho = .202 (P = .15), and DV rho = −.162 (P = .21). Conclusions: This study provides evidence for the use of the BAM-COG test battery as a feasible, reliable, and valid tool to monitor cognitive performance in healthy adults in an online setting. Three out of four games have good psychometric characteristics to measure working memory, visuospatial short-term memory, and planning capacity. (PsycInfo Database Record (c) 2022 APA, all rights reserved)","archive_location":"rayyan-567636672","container-title":"Journal of Medical Internet Research","DOI":"10.2196/jmir.2860","ISSN":"1438-8871(Electronic),1439-4456(Print)","issue":"12","note":"publisher-place: Aalbers, Teun: Radboud University Medical Center, Department of Geriatric Medicine, Reinier Postlaan 4, Nijmegen, Netherlands, 6500 HB, teun.aalbers@radboudumc.nl Canada\npublisher: Gunther Eysenbach","page":"183-193","title":"Puzzling with online games (BAM-COG): Reliability, validity, and feasibility of an online self-monitor for cognitive performance in aging adults.","volume":"15","author":[{"family":"Aalbers","given":"T."},{"family":"Baars","given":"M. A. E."},{"family":"Rikkert","given":"M. G. M. O."},{"family":"Kessels","given":"R. P. C."}],"issued":{"date-parts":[["2013"]]}}}],"schema":"https://github.com/citation-style-language/schema/raw/master/csl-citation.json"} </w:instrText>
            </w:r>
            <w:r w:rsidRPr="006A086B">
              <w:rPr>
                <w:rFonts w:eastAsia="Times New Roman" w:cs="Times New Roman"/>
                <w:color w:val="000000"/>
                <w:kern w:val="0"/>
                <w:szCs w:val="20"/>
                <w:lang w:eastAsia="pt-BR"/>
                <w14:ligatures w14:val="none"/>
              </w:rPr>
              <w:fldChar w:fldCharType="separate"/>
            </w:r>
            <w:r w:rsidRPr="006A086B">
              <w:rPr>
                <w:rFonts w:cs="Times New Roman"/>
                <w:szCs w:val="20"/>
              </w:rPr>
              <w:t>(Aalbers et al., 2013)</w:t>
            </w:r>
            <w:r w:rsidRPr="006A086B">
              <w:rPr>
                <w:rFonts w:eastAsia="Times New Roman" w:cs="Times New Roman"/>
                <w:color w:val="000000"/>
                <w:kern w:val="0"/>
                <w:szCs w:val="20"/>
                <w:lang w:eastAsia="pt-BR"/>
                <w14:ligatures w14:val="none"/>
              </w:rPr>
              <w:fldChar w:fldCharType="end"/>
            </w:r>
          </w:p>
        </w:tc>
        <w:tc>
          <w:tcPr>
            <w:tcW w:w="908" w:type="dxa"/>
            <w:gridSpan w:val="2"/>
            <w:tcBorders>
              <w:top w:val="nil"/>
              <w:left w:val="nil"/>
              <w:bottom w:val="single" w:sz="4" w:space="0" w:color="auto"/>
              <w:right w:val="nil"/>
            </w:tcBorders>
            <w:shd w:val="clear" w:color="auto" w:fill="FF9696"/>
            <w:vAlign w:val="bottom"/>
            <w:hideMark/>
          </w:tcPr>
          <w:p w14:paraId="74466F1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8" w:type="dxa"/>
            <w:gridSpan w:val="2"/>
            <w:tcBorders>
              <w:top w:val="nil"/>
              <w:left w:val="nil"/>
              <w:bottom w:val="single" w:sz="4" w:space="0" w:color="auto"/>
              <w:right w:val="nil"/>
            </w:tcBorders>
            <w:shd w:val="clear" w:color="auto" w:fill="FF9696"/>
            <w:vAlign w:val="bottom"/>
            <w:hideMark/>
          </w:tcPr>
          <w:p w14:paraId="4D21CE6E"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High</w:t>
            </w:r>
          </w:p>
        </w:tc>
        <w:tc>
          <w:tcPr>
            <w:tcW w:w="909" w:type="dxa"/>
            <w:gridSpan w:val="2"/>
            <w:tcBorders>
              <w:top w:val="nil"/>
              <w:left w:val="nil"/>
              <w:bottom w:val="single" w:sz="4" w:space="0" w:color="auto"/>
              <w:right w:val="nil"/>
            </w:tcBorders>
            <w:shd w:val="clear" w:color="auto" w:fill="C2D69B"/>
            <w:vAlign w:val="bottom"/>
            <w:hideMark/>
          </w:tcPr>
          <w:p w14:paraId="24F9279B"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8" w:type="dxa"/>
            <w:tcBorders>
              <w:top w:val="nil"/>
              <w:left w:val="nil"/>
              <w:bottom w:val="single" w:sz="4" w:space="0" w:color="auto"/>
              <w:right w:val="nil"/>
            </w:tcBorders>
            <w:shd w:val="clear" w:color="auto" w:fill="C2D69B"/>
            <w:vAlign w:val="bottom"/>
            <w:hideMark/>
          </w:tcPr>
          <w:p w14:paraId="0571306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eastAsia="Times New Roman" w:cs="Times New Roman"/>
                <w:color w:val="000000"/>
                <w:kern w:val="0"/>
                <w:szCs w:val="20"/>
                <w:lang w:eastAsia="pt-BR"/>
                <w14:ligatures w14:val="none"/>
              </w:rPr>
              <w:t>Low</w:t>
            </w:r>
          </w:p>
        </w:tc>
        <w:tc>
          <w:tcPr>
            <w:tcW w:w="909" w:type="dxa"/>
            <w:tcBorders>
              <w:top w:val="nil"/>
              <w:left w:val="nil"/>
              <w:bottom w:val="single" w:sz="4" w:space="0" w:color="auto"/>
              <w:right w:val="nil"/>
            </w:tcBorders>
            <w:shd w:val="clear" w:color="auto" w:fill="FF9696"/>
          </w:tcPr>
          <w:p w14:paraId="625A1FF4"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08" w:type="dxa"/>
            <w:gridSpan w:val="3"/>
            <w:tcBorders>
              <w:top w:val="nil"/>
              <w:left w:val="nil"/>
              <w:bottom w:val="single" w:sz="4" w:space="0" w:color="auto"/>
              <w:right w:val="nil"/>
            </w:tcBorders>
            <w:shd w:val="clear" w:color="auto" w:fill="FF9696"/>
          </w:tcPr>
          <w:p w14:paraId="3688B340"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High</w:t>
            </w:r>
          </w:p>
        </w:tc>
        <w:tc>
          <w:tcPr>
            <w:tcW w:w="911" w:type="dxa"/>
            <w:tcBorders>
              <w:top w:val="nil"/>
              <w:left w:val="nil"/>
              <w:bottom w:val="single" w:sz="4" w:space="0" w:color="auto"/>
              <w:right w:val="nil"/>
            </w:tcBorders>
            <w:shd w:val="clear" w:color="auto" w:fill="C2D69B"/>
          </w:tcPr>
          <w:p w14:paraId="35516F66" w14:textId="77777777" w:rsidR="004E65DF" w:rsidRPr="006A086B" w:rsidRDefault="004E65DF" w:rsidP="00C8335E">
            <w:pPr>
              <w:spacing w:line="240" w:lineRule="auto"/>
              <w:jc w:val="center"/>
              <w:rPr>
                <w:rFonts w:eastAsia="Times New Roman" w:cs="Times New Roman"/>
                <w:color w:val="000000"/>
                <w:kern w:val="0"/>
                <w:szCs w:val="20"/>
                <w:lang w:eastAsia="pt-BR"/>
                <w14:ligatures w14:val="none"/>
              </w:rPr>
            </w:pPr>
            <w:r w:rsidRPr="006A086B">
              <w:rPr>
                <w:rFonts w:cs="Times New Roman"/>
                <w:color w:val="000000"/>
                <w:szCs w:val="20"/>
              </w:rPr>
              <w:t>Low</w:t>
            </w:r>
          </w:p>
        </w:tc>
      </w:tr>
    </w:tbl>
    <w:p w14:paraId="21B367BC" w14:textId="6CB5D69D" w:rsidR="00E023F9" w:rsidRDefault="004E65DF">
      <w:r w:rsidRPr="00F816A8">
        <w:t>Note. PS: participant selection; IT: index test; RS: reference standard; FT: flow and time; N/A: not applicable.</w:t>
      </w:r>
      <w:r w:rsidRPr="00F816A8">
        <w:br w:type="page"/>
      </w:r>
    </w:p>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5DF"/>
    <w:rsid w:val="000C4033"/>
    <w:rsid w:val="002C5861"/>
    <w:rsid w:val="004175DE"/>
    <w:rsid w:val="004B42CB"/>
    <w:rsid w:val="004E65DF"/>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953F9"/>
  <w15:chartTrackingRefBased/>
  <w15:docId w15:val="{E88815C6-A3F9-488B-9490-4DB4B7334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5DF"/>
    <w:pPr>
      <w:spacing w:after="0" w:line="480" w:lineRule="auto"/>
    </w:pPr>
    <w:rPr>
      <w:rFonts w:ascii="Times New Roman" w:hAnsi="Times New Roman"/>
      <w:sz w:val="20"/>
      <w:lang w:val="en-US"/>
    </w:rPr>
  </w:style>
  <w:style w:type="paragraph" w:styleId="Heading1">
    <w:name w:val="heading 1"/>
    <w:basedOn w:val="Normal"/>
    <w:next w:val="Normal"/>
    <w:link w:val="Heading1Char"/>
    <w:uiPriority w:val="9"/>
    <w:qFormat/>
    <w:rsid w:val="004E65D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unhideWhenUsed/>
    <w:qFormat/>
    <w:rsid w:val="004E65D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4E65DF"/>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4E65DF"/>
    <w:pPr>
      <w:keepNext/>
      <w:keepLines/>
      <w:spacing w:before="80" w:after="40" w:line="278" w:lineRule="auto"/>
      <w:outlineLvl w:val="3"/>
    </w:pPr>
    <w:rPr>
      <w:rFonts w:asciiTheme="minorHAnsi" w:eastAsiaTheme="majorEastAsia" w:hAnsiTheme="minorHAnsi" w:cstheme="majorBidi"/>
      <w:i/>
      <w:iCs/>
      <w:color w:val="0F4761" w:themeColor="accent1" w:themeShade="BF"/>
      <w:sz w:val="24"/>
      <w:lang w:val="en-IN"/>
    </w:rPr>
  </w:style>
  <w:style w:type="paragraph" w:styleId="Heading5">
    <w:name w:val="heading 5"/>
    <w:basedOn w:val="Normal"/>
    <w:next w:val="Normal"/>
    <w:link w:val="Heading5Char"/>
    <w:uiPriority w:val="9"/>
    <w:semiHidden/>
    <w:unhideWhenUsed/>
    <w:qFormat/>
    <w:rsid w:val="004E65DF"/>
    <w:pPr>
      <w:keepNext/>
      <w:keepLines/>
      <w:spacing w:before="80" w:after="40" w:line="278" w:lineRule="auto"/>
      <w:outlineLvl w:val="4"/>
    </w:pPr>
    <w:rPr>
      <w:rFonts w:asciiTheme="minorHAnsi" w:eastAsiaTheme="majorEastAsia" w:hAnsiTheme="minorHAnsi" w:cstheme="majorBidi"/>
      <w:color w:val="0F4761" w:themeColor="accent1" w:themeShade="BF"/>
      <w:sz w:val="24"/>
      <w:lang w:val="en-IN"/>
    </w:rPr>
  </w:style>
  <w:style w:type="paragraph" w:styleId="Heading6">
    <w:name w:val="heading 6"/>
    <w:basedOn w:val="Normal"/>
    <w:next w:val="Normal"/>
    <w:link w:val="Heading6Char"/>
    <w:uiPriority w:val="9"/>
    <w:semiHidden/>
    <w:unhideWhenUsed/>
    <w:qFormat/>
    <w:rsid w:val="004E65DF"/>
    <w:pPr>
      <w:keepNext/>
      <w:keepLines/>
      <w:spacing w:before="40" w:line="278" w:lineRule="auto"/>
      <w:outlineLvl w:val="5"/>
    </w:pPr>
    <w:rPr>
      <w:rFonts w:asciiTheme="minorHAnsi" w:eastAsiaTheme="majorEastAsia" w:hAnsiTheme="minorHAnsi" w:cstheme="majorBidi"/>
      <w:i/>
      <w:iCs/>
      <w:color w:val="595959" w:themeColor="text1" w:themeTint="A6"/>
      <w:sz w:val="24"/>
      <w:lang w:val="en-IN"/>
    </w:rPr>
  </w:style>
  <w:style w:type="paragraph" w:styleId="Heading7">
    <w:name w:val="heading 7"/>
    <w:basedOn w:val="Normal"/>
    <w:next w:val="Normal"/>
    <w:link w:val="Heading7Char"/>
    <w:uiPriority w:val="9"/>
    <w:semiHidden/>
    <w:unhideWhenUsed/>
    <w:qFormat/>
    <w:rsid w:val="004E65DF"/>
    <w:pPr>
      <w:keepNext/>
      <w:keepLines/>
      <w:spacing w:before="40" w:line="278" w:lineRule="auto"/>
      <w:outlineLvl w:val="6"/>
    </w:pPr>
    <w:rPr>
      <w:rFonts w:asciiTheme="minorHAnsi" w:eastAsiaTheme="majorEastAsia" w:hAnsiTheme="minorHAnsi" w:cstheme="majorBidi"/>
      <w:color w:val="595959" w:themeColor="text1" w:themeTint="A6"/>
      <w:sz w:val="24"/>
      <w:lang w:val="en-IN"/>
    </w:rPr>
  </w:style>
  <w:style w:type="paragraph" w:styleId="Heading8">
    <w:name w:val="heading 8"/>
    <w:basedOn w:val="Normal"/>
    <w:next w:val="Normal"/>
    <w:link w:val="Heading8Char"/>
    <w:uiPriority w:val="9"/>
    <w:semiHidden/>
    <w:unhideWhenUsed/>
    <w:qFormat/>
    <w:rsid w:val="004E65DF"/>
    <w:pPr>
      <w:keepNext/>
      <w:keepLines/>
      <w:spacing w:line="278" w:lineRule="auto"/>
      <w:outlineLvl w:val="7"/>
    </w:pPr>
    <w:rPr>
      <w:rFonts w:asciiTheme="minorHAnsi" w:eastAsiaTheme="majorEastAsia" w:hAnsiTheme="minorHAnsi" w:cstheme="majorBidi"/>
      <w:i/>
      <w:iCs/>
      <w:color w:val="272727" w:themeColor="text1" w:themeTint="D8"/>
      <w:sz w:val="24"/>
      <w:lang w:val="en-IN"/>
    </w:rPr>
  </w:style>
  <w:style w:type="paragraph" w:styleId="Heading9">
    <w:name w:val="heading 9"/>
    <w:basedOn w:val="Normal"/>
    <w:next w:val="Normal"/>
    <w:link w:val="Heading9Char"/>
    <w:uiPriority w:val="9"/>
    <w:semiHidden/>
    <w:unhideWhenUsed/>
    <w:qFormat/>
    <w:rsid w:val="004E65DF"/>
    <w:pPr>
      <w:keepNext/>
      <w:keepLines/>
      <w:spacing w:line="278" w:lineRule="auto"/>
      <w:outlineLvl w:val="8"/>
    </w:pPr>
    <w:rPr>
      <w:rFonts w:asciiTheme="minorHAnsi" w:eastAsiaTheme="majorEastAsia" w:hAnsiTheme="minorHAnsi" w:cstheme="majorBidi"/>
      <w:color w:val="272727" w:themeColor="text1" w:themeTint="D8"/>
      <w:sz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5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E65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65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65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65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65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65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65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65DF"/>
    <w:rPr>
      <w:rFonts w:eastAsiaTheme="majorEastAsia" w:cstheme="majorBidi"/>
      <w:color w:val="272727" w:themeColor="text1" w:themeTint="D8"/>
    </w:rPr>
  </w:style>
  <w:style w:type="paragraph" w:styleId="Title">
    <w:name w:val="Title"/>
    <w:basedOn w:val="Normal"/>
    <w:next w:val="Normal"/>
    <w:link w:val="TitleChar"/>
    <w:uiPriority w:val="10"/>
    <w:qFormat/>
    <w:rsid w:val="004E65DF"/>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4E65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65DF"/>
    <w:pPr>
      <w:numPr>
        <w:ilvl w:val="1"/>
      </w:numPr>
      <w:spacing w:after="160" w:line="278" w:lineRule="auto"/>
    </w:pPr>
    <w:rPr>
      <w:rFonts w:asciiTheme="minorHAnsi" w:eastAsiaTheme="majorEastAsia" w:hAnsiTheme="minorHAnsi"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4E65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65DF"/>
    <w:pPr>
      <w:spacing w:before="160" w:after="160" w:line="278" w:lineRule="auto"/>
      <w:jc w:val="center"/>
    </w:pPr>
    <w:rPr>
      <w:rFonts w:asciiTheme="minorHAnsi" w:hAnsiTheme="minorHAnsi"/>
      <w:i/>
      <w:iCs/>
      <w:color w:val="404040" w:themeColor="text1" w:themeTint="BF"/>
      <w:sz w:val="24"/>
      <w:lang w:val="en-IN"/>
    </w:rPr>
  </w:style>
  <w:style w:type="character" w:customStyle="1" w:styleId="QuoteChar">
    <w:name w:val="Quote Char"/>
    <w:basedOn w:val="DefaultParagraphFont"/>
    <w:link w:val="Quote"/>
    <w:uiPriority w:val="29"/>
    <w:rsid w:val="004E65DF"/>
    <w:rPr>
      <w:i/>
      <w:iCs/>
      <w:color w:val="404040" w:themeColor="text1" w:themeTint="BF"/>
    </w:rPr>
  </w:style>
  <w:style w:type="paragraph" w:styleId="ListParagraph">
    <w:name w:val="List Paragraph"/>
    <w:basedOn w:val="Normal"/>
    <w:uiPriority w:val="34"/>
    <w:qFormat/>
    <w:rsid w:val="004E65DF"/>
    <w:pPr>
      <w:spacing w:after="160" w:line="278" w:lineRule="auto"/>
      <w:ind w:left="720"/>
      <w:contextualSpacing/>
    </w:pPr>
    <w:rPr>
      <w:rFonts w:asciiTheme="minorHAnsi" w:hAnsiTheme="minorHAnsi"/>
      <w:sz w:val="24"/>
      <w:lang w:val="en-IN"/>
    </w:rPr>
  </w:style>
  <w:style w:type="character" w:styleId="IntenseEmphasis">
    <w:name w:val="Intense Emphasis"/>
    <w:basedOn w:val="DefaultParagraphFont"/>
    <w:uiPriority w:val="21"/>
    <w:qFormat/>
    <w:rsid w:val="004E65DF"/>
    <w:rPr>
      <w:i/>
      <w:iCs/>
      <w:color w:val="0F4761" w:themeColor="accent1" w:themeShade="BF"/>
    </w:rPr>
  </w:style>
  <w:style w:type="paragraph" w:styleId="IntenseQuote">
    <w:name w:val="Intense Quote"/>
    <w:basedOn w:val="Normal"/>
    <w:next w:val="Normal"/>
    <w:link w:val="IntenseQuoteChar"/>
    <w:uiPriority w:val="30"/>
    <w:qFormat/>
    <w:rsid w:val="004E65D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lang w:val="en-IN"/>
    </w:rPr>
  </w:style>
  <w:style w:type="character" w:customStyle="1" w:styleId="IntenseQuoteChar">
    <w:name w:val="Intense Quote Char"/>
    <w:basedOn w:val="DefaultParagraphFont"/>
    <w:link w:val="IntenseQuote"/>
    <w:uiPriority w:val="30"/>
    <w:rsid w:val="004E65DF"/>
    <w:rPr>
      <w:i/>
      <w:iCs/>
      <w:color w:val="0F4761" w:themeColor="accent1" w:themeShade="BF"/>
    </w:rPr>
  </w:style>
  <w:style w:type="character" w:styleId="IntenseReference">
    <w:name w:val="Intense Reference"/>
    <w:basedOn w:val="DefaultParagraphFont"/>
    <w:uiPriority w:val="32"/>
    <w:qFormat/>
    <w:rsid w:val="004E65DF"/>
    <w:rPr>
      <w:b/>
      <w:bCs/>
      <w:smallCaps/>
      <w:color w:val="0F4761" w:themeColor="accent1" w:themeShade="BF"/>
      <w:spacing w:val="5"/>
    </w:rPr>
  </w:style>
  <w:style w:type="table" w:styleId="TableGrid">
    <w:name w:val="Table Grid"/>
    <w:basedOn w:val="TableNormal"/>
    <w:uiPriority w:val="39"/>
    <w:rsid w:val="004E65DF"/>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1030</Words>
  <Characters>4911</Characters>
  <Application>Microsoft Office Word</Application>
  <DocSecurity>0</DocSecurity>
  <Lines>481</Lines>
  <Paragraphs>471</Paragraphs>
  <ScaleCrop>false</ScaleCrop>
  <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2</cp:revision>
  <dcterms:created xsi:type="dcterms:W3CDTF">2026-01-08T08:42:00Z</dcterms:created>
  <dcterms:modified xsi:type="dcterms:W3CDTF">2026-01-08T08:42:00Z</dcterms:modified>
</cp:coreProperties>
</file>