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  <w:t>Table 1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  <w:t xml:space="preserve"> Accuracy-Open Access Trade-offs in Multidimensional AI Model Benchmarking: A Comparative Analysis of GPT-4o, Grok-3, and DeepSeek-R1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(N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on-medical readers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)</w:t>
      </w:r>
    </w:p>
    <w:tbl>
      <w:tblPr>
        <w:tblStyle w:val="5"/>
        <w:tblW w:w="94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1"/>
        <w:gridCol w:w="2186"/>
        <w:gridCol w:w="1963"/>
        <w:gridCol w:w="19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3" w:hRule="atLeast"/>
        </w:trPr>
        <w:tc>
          <w:tcPr>
            <w:tcW w:w="3361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imension</w:t>
            </w:r>
          </w:p>
        </w:tc>
        <w:tc>
          <w:tcPr>
            <w:tcW w:w="2186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GPT-4o</w:t>
            </w:r>
          </w:p>
        </w:tc>
        <w:tc>
          <w:tcPr>
            <w:tcW w:w="1963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DeepSeek-R1</w:t>
            </w:r>
          </w:p>
        </w:tc>
        <w:tc>
          <w:tcPr>
            <w:tcW w:w="1948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Grok-3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3361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Accuracy</w:t>
            </w:r>
          </w:p>
        </w:tc>
        <w:tc>
          <w:tcPr>
            <w:tcW w:w="21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9</w:t>
            </w:r>
          </w:p>
        </w:tc>
        <w:tc>
          <w:tcPr>
            <w:tcW w:w="19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HAnsi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8.83</w:t>
            </w:r>
          </w:p>
        </w:tc>
        <w:tc>
          <w:tcPr>
            <w:tcW w:w="194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HAnsi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8.67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3361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Clarity</w:t>
            </w:r>
          </w:p>
        </w:tc>
        <w:tc>
          <w:tcPr>
            <w:tcW w:w="21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9.17</w:t>
            </w:r>
          </w:p>
        </w:tc>
        <w:tc>
          <w:tcPr>
            <w:tcW w:w="19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HAnsi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8.33</w:t>
            </w:r>
          </w:p>
        </w:tc>
        <w:tc>
          <w:tcPr>
            <w:tcW w:w="194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HAnsi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8.17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3361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Conciseness</w:t>
            </w:r>
          </w:p>
        </w:tc>
        <w:tc>
          <w:tcPr>
            <w:tcW w:w="21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8.67</w:t>
            </w:r>
          </w:p>
        </w:tc>
        <w:tc>
          <w:tcPr>
            <w:tcW w:w="19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HAnsi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8.67</w:t>
            </w:r>
          </w:p>
        </w:tc>
        <w:tc>
          <w:tcPr>
            <w:tcW w:w="194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HAnsi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3361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Logic</w:t>
            </w:r>
          </w:p>
        </w:tc>
        <w:tc>
          <w:tcPr>
            <w:tcW w:w="21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9.17</w:t>
            </w:r>
          </w:p>
        </w:tc>
        <w:tc>
          <w:tcPr>
            <w:tcW w:w="19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HAnsi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9</w:t>
            </w:r>
          </w:p>
        </w:tc>
        <w:tc>
          <w:tcPr>
            <w:tcW w:w="194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HAnsi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8.67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3361" w:type="dxa"/>
            <w:vAlign w:val="center"/>
          </w:tcPr>
          <w:p>
            <w:pPr>
              <w:spacing w:line="240" w:lineRule="auto"/>
              <w:ind w:firstLine="420" w:firstLineChars="200"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Overall Assessment</w:t>
            </w:r>
          </w:p>
        </w:tc>
        <w:tc>
          <w:tcPr>
            <w:tcW w:w="21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9.03</w:t>
            </w:r>
          </w:p>
        </w:tc>
        <w:tc>
          <w:tcPr>
            <w:tcW w:w="19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HAnsi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8.6</w:t>
            </w:r>
          </w:p>
        </w:tc>
        <w:tc>
          <w:tcPr>
            <w:tcW w:w="194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HAnsi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8.37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336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1F1F1F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Time spent on deep thinking</w:t>
            </w:r>
          </w:p>
        </w:tc>
        <w:tc>
          <w:tcPr>
            <w:tcW w:w="2186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29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s</w:t>
            </w:r>
          </w:p>
        </w:tc>
        <w:tc>
          <w:tcPr>
            <w:tcW w:w="1963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s</w:t>
            </w:r>
          </w:p>
        </w:tc>
        <w:tc>
          <w:tcPr>
            <w:tcW w:w="1948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  <w:t>31s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336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Cost</w:t>
            </w:r>
          </w:p>
        </w:tc>
        <w:tc>
          <w:tcPr>
            <w:tcW w:w="2186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Georgia" w:cs="Times New Roman"/>
                <w:color w:val="1F1F1F"/>
                <w:sz w:val="21"/>
                <w:szCs w:val="21"/>
              </w:rPr>
              <w:t>$20/month</w:t>
            </w:r>
          </w:p>
        </w:tc>
        <w:tc>
          <w:tcPr>
            <w:tcW w:w="1963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Georgia" w:cs="Times New Roman"/>
                <w:color w:val="1F1F1F"/>
                <w:sz w:val="21"/>
                <w:szCs w:val="21"/>
              </w:rPr>
              <w:t>Open Access</w:t>
            </w:r>
          </w:p>
        </w:tc>
        <w:tc>
          <w:tcPr>
            <w:tcW w:w="1948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Georgia" w:cs="Times New Roman"/>
                <w:color w:val="1F1F1F"/>
                <w:sz w:val="21"/>
                <w:szCs w:val="21"/>
              </w:rPr>
              <w:t>Open Access</w:t>
            </w:r>
          </w:p>
        </w:tc>
      </w:tr>
    </w:tbl>
    <w:p>
      <w:pPr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  <w:t xml:space="preserve">Table 2 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ROUGE-L and BLEU scores of the output content from ChatGPT-4o, Grok, and DeepSeek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 xml:space="preserve"> (N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on-medical readers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)</w:t>
      </w:r>
    </w:p>
    <w:tbl>
      <w:tblPr>
        <w:tblStyle w:val="5"/>
        <w:tblW w:w="94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2"/>
        <w:gridCol w:w="3219"/>
        <w:gridCol w:w="3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42" w:type="dxa"/>
          </w:tcPr>
          <w:p>
            <w:pPr>
              <w:wordWrap w:val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bookmarkStart w:id="0" w:name="OLE_LINK1" w:colFirst="1" w:colLast="2"/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AI Platform</w:t>
            </w:r>
          </w:p>
        </w:tc>
        <w:tc>
          <w:tcPr>
            <w:tcW w:w="3219" w:type="dxa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ROUGE-L</w:t>
            </w:r>
          </w:p>
        </w:tc>
        <w:tc>
          <w:tcPr>
            <w:tcW w:w="3209" w:type="dxa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BLEU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2" w:type="dxa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ChatGPT-4o</w:t>
            </w:r>
          </w:p>
        </w:tc>
        <w:tc>
          <w:tcPr>
            <w:tcW w:w="3219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0.72</w:t>
            </w:r>
          </w:p>
        </w:tc>
        <w:tc>
          <w:tcPr>
            <w:tcW w:w="3209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2" w:type="dxa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Groks</w:t>
            </w:r>
          </w:p>
        </w:tc>
        <w:tc>
          <w:tcPr>
            <w:tcW w:w="3219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0.78</w:t>
            </w:r>
          </w:p>
        </w:tc>
        <w:tc>
          <w:tcPr>
            <w:tcW w:w="3209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3042" w:type="dxa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DeepSeek</w:t>
            </w:r>
          </w:p>
        </w:tc>
        <w:tc>
          <w:tcPr>
            <w:tcW w:w="3219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0.89</w:t>
            </w:r>
          </w:p>
        </w:tc>
        <w:tc>
          <w:tcPr>
            <w:tcW w:w="3209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0.85</w:t>
            </w:r>
          </w:p>
        </w:tc>
      </w:tr>
    </w:tbl>
    <w:p>
      <w:pPr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  <w:t xml:space="preserve"> Accuracy-Open Access Trade-offs in Multidimensional AI Model Benchmarking: A Comparative Analysis of GPT-4o, Grok-3, and DeepSeek-R1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 xml:space="preserve"> (J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  <w:t>unior doctors and medical students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)</w:t>
      </w:r>
    </w:p>
    <w:tbl>
      <w:tblPr>
        <w:tblStyle w:val="5"/>
        <w:tblW w:w="94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1"/>
        <w:gridCol w:w="2186"/>
        <w:gridCol w:w="1963"/>
        <w:gridCol w:w="19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3361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imension</w:t>
            </w:r>
          </w:p>
        </w:tc>
        <w:tc>
          <w:tcPr>
            <w:tcW w:w="2186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GPT-4o</w:t>
            </w:r>
          </w:p>
        </w:tc>
        <w:tc>
          <w:tcPr>
            <w:tcW w:w="1963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DeepSeek-R1</w:t>
            </w:r>
          </w:p>
        </w:tc>
        <w:tc>
          <w:tcPr>
            <w:tcW w:w="1948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Grok-3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3361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Accuracy</w:t>
            </w:r>
          </w:p>
        </w:tc>
        <w:tc>
          <w:tcPr>
            <w:tcW w:w="21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9.5</w:t>
            </w:r>
          </w:p>
        </w:tc>
        <w:tc>
          <w:tcPr>
            <w:tcW w:w="19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HAnsi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9.5</w:t>
            </w:r>
          </w:p>
        </w:tc>
        <w:tc>
          <w:tcPr>
            <w:tcW w:w="194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HAnsi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9.5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3361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Clarity</w:t>
            </w:r>
          </w:p>
        </w:tc>
        <w:tc>
          <w:tcPr>
            <w:tcW w:w="21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10</w:t>
            </w:r>
          </w:p>
        </w:tc>
        <w:tc>
          <w:tcPr>
            <w:tcW w:w="19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HAnsi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9.5</w:t>
            </w:r>
          </w:p>
        </w:tc>
        <w:tc>
          <w:tcPr>
            <w:tcW w:w="194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HAnsi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9.5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3361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Conciseness</w:t>
            </w:r>
          </w:p>
        </w:tc>
        <w:tc>
          <w:tcPr>
            <w:tcW w:w="21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8.5</w:t>
            </w:r>
          </w:p>
        </w:tc>
        <w:tc>
          <w:tcPr>
            <w:tcW w:w="19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HAnsi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9</w:t>
            </w:r>
          </w:p>
        </w:tc>
        <w:tc>
          <w:tcPr>
            <w:tcW w:w="194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HAnsi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3361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Logic</w:t>
            </w:r>
          </w:p>
        </w:tc>
        <w:tc>
          <w:tcPr>
            <w:tcW w:w="21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10</w:t>
            </w:r>
          </w:p>
        </w:tc>
        <w:tc>
          <w:tcPr>
            <w:tcW w:w="19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HAnsi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9.75</w:t>
            </w:r>
          </w:p>
        </w:tc>
        <w:tc>
          <w:tcPr>
            <w:tcW w:w="194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HAnsi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9.5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3361" w:type="dxa"/>
            <w:vAlign w:val="center"/>
          </w:tcPr>
          <w:p>
            <w:pPr>
              <w:spacing w:line="240" w:lineRule="auto"/>
              <w:ind w:firstLine="420" w:firstLineChars="200"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Overall Assessment</w:t>
            </w:r>
          </w:p>
        </w:tc>
        <w:tc>
          <w:tcPr>
            <w:tcW w:w="21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9.5</w:t>
            </w:r>
          </w:p>
        </w:tc>
        <w:tc>
          <w:tcPr>
            <w:tcW w:w="19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HAnsi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9.5</w:t>
            </w:r>
          </w:p>
        </w:tc>
        <w:tc>
          <w:tcPr>
            <w:tcW w:w="194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HAnsi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9.5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336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1F1F1F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Time spent on deep thinking</w:t>
            </w:r>
          </w:p>
        </w:tc>
        <w:tc>
          <w:tcPr>
            <w:tcW w:w="2186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s</w:t>
            </w:r>
          </w:p>
        </w:tc>
        <w:tc>
          <w:tcPr>
            <w:tcW w:w="1963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s</w:t>
            </w:r>
          </w:p>
        </w:tc>
        <w:tc>
          <w:tcPr>
            <w:tcW w:w="1948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  <w:t>3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  <w:t>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336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Cost</w:t>
            </w:r>
          </w:p>
        </w:tc>
        <w:tc>
          <w:tcPr>
            <w:tcW w:w="2186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Georgia" w:cs="Times New Roman"/>
                <w:color w:val="1F1F1F"/>
                <w:sz w:val="21"/>
                <w:szCs w:val="21"/>
              </w:rPr>
              <w:t>$20/month</w:t>
            </w:r>
          </w:p>
        </w:tc>
        <w:tc>
          <w:tcPr>
            <w:tcW w:w="1963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Georgia" w:cs="Times New Roman"/>
                <w:color w:val="1F1F1F"/>
                <w:sz w:val="21"/>
                <w:szCs w:val="21"/>
              </w:rPr>
              <w:t>Open Access</w:t>
            </w:r>
          </w:p>
        </w:tc>
        <w:tc>
          <w:tcPr>
            <w:tcW w:w="1948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Georgia" w:cs="Times New Roman"/>
                <w:color w:val="1F1F1F"/>
                <w:sz w:val="21"/>
                <w:szCs w:val="21"/>
              </w:rPr>
              <w:t>Open Access</w:t>
            </w:r>
          </w:p>
        </w:tc>
      </w:tr>
    </w:tbl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ROUGE-L and BLEU scores of the output content from ChatGPT-4o, Grok, and DeepSeek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 xml:space="preserve"> (J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  <w:t>unior doctors and medical students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)</w:t>
      </w:r>
    </w:p>
    <w:tbl>
      <w:tblPr>
        <w:tblStyle w:val="5"/>
        <w:tblW w:w="94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2"/>
        <w:gridCol w:w="3219"/>
        <w:gridCol w:w="3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2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AI Platform</w:t>
            </w:r>
          </w:p>
        </w:tc>
        <w:tc>
          <w:tcPr>
            <w:tcW w:w="3219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ROUGE-L</w:t>
            </w:r>
          </w:p>
        </w:tc>
        <w:tc>
          <w:tcPr>
            <w:tcW w:w="3209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BLEU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2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ChatGPT-4o</w:t>
            </w:r>
          </w:p>
        </w:tc>
        <w:tc>
          <w:tcPr>
            <w:tcW w:w="32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0.82</w:t>
            </w:r>
          </w:p>
        </w:tc>
        <w:tc>
          <w:tcPr>
            <w:tcW w:w="32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2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Groks</w:t>
            </w:r>
          </w:p>
        </w:tc>
        <w:tc>
          <w:tcPr>
            <w:tcW w:w="32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0.76</w:t>
            </w:r>
          </w:p>
        </w:tc>
        <w:tc>
          <w:tcPr>
            <w:tcW w:w="32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2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DeepSeek</w:t>
            </w:r>
          </w:p>
        </w:tc>
        <w:tc>
          <w:tcPr>
            <w:tcW w:w="32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0.85</w:t>
            </w:r>
          </w:p>
        </w:tc>
        <w:tc>
          <w:tcPr>
            <w:tcW w:w="32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0.81</w:t>
            </w:r>
          </w:p>
        </w:tc>
      </w:tr>
    </w:tbl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  <w:t xml:space="preserve">  Analysis of the Strengths and Limitations</w:t>
      </w:r>
    </w:p>
    <w:tbl>
      <w:tblPr>
        <w:tblStyle w:val="5"/>
        <w:tblW w:w="94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9"/>
        <w:gridCol w:w="81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9" w:type="dxa"/>
          </w:tcPr>
          <w:p>
            <w:pPr>
              <w:rPr>
                <w:rFonts w:hint="default" w:ascii="Times New Roman" w:hAnsi="Times New Roman" w:eastAsia="华文中宋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华文中宋" w:cs="Times New Roman"/>
                <w:b/>
                <w:bCs/>
                <w:sz w:val="21"/>
                <w:szCs w:val="21"/>
                <w:lang w:val="en-US" w:eastAsia="zh-CN"/>
              </w:rPr>
              <w:t>ChatGPT</w:t>
            </w:r>
          </w:p>
          <w:p>
            <w:pPr>
              <w:rPr>
                <w:rFonts w:hint="default" w:ascii="Times New Roman" w:hAnsi="Times New Roman" w:eastAsia="华文中宋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112" w:type="dxa"/>
          </w:tcPr>
          <w:p>
            <w:pPr>
              <w:pStyle w:val="3"/>
              <w:keepNext w:val="0"/>
              <w:keepLines w:val="0"/>
              <w:widowControl/>
              <w:suppressLineNumbers w:val="0"/>
              <w:shd w:val="clear" w:fill="FFFFFF"/>
              <w:spacing w:before="192" w:beforeAutospacing="0" w:after="192" w:afterAutospacing="0"/>
              <w:ind w:left="0" w:right="0" w:firstLine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Strengths: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Exceptional Clarity for Laypersons: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 The summary is perfectly tailored for a </w:t>
            </w: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non-medical audience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. It uses simple, relatable language (e.g., "holes called cavities," "drilling," "turns the area bla</w:t>
            </w:r>
            <w:bookmarkStart w:id="1" w:name="_GoBack"/>
            <w:bookmarkEnd w:id="1"/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ck").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Excellent Structure and Flow: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 The step-by-step breakdown is logical and easy to follow. It effectively translates medical jargon into everyday concepts.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Patient-Centric Focus: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 It emphasizes practical takeaways for the patient, such as prevention, follow-up care, and the reversibility of early decay.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Action-Oriented: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 Concludes by offering to convert the summary into a handout or infographic, demonstrating an understanding of the end-user's need for shareable, educational materials.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shd w:val="clear" w:fill="FFFFFF"/>
              <w:spacing w:before="192" w:beforeAutospacing="0" w:after="192" w:afterAutospacing="0"/>
              <w:ind w:left="0" w:right="0" w:firstLine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Limitations: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Lacks Clinical Nuance: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 Too simplistic for medical trainees. It omits critical clinical concepts like </w:t>
            </w: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ICDAS classification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, specific fluoride concentrations (e.g., 5000 ppm), and the detailed rationale for treatment choices based on lesion surface and activity.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Oversimplified Diagnosis: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 The description of diagnosis ("look visually and feel") lacks the precision required for a junior doctor (e.g., gentle probing for hardness, use of radiographs for depth assessment).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Limited Differential Diagnosis: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 Only briefly mentions "stains, wear, or developmental defects" without providing the clinical reasoning to distinguish them.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shd w:val="clear" w:fill="FFFFFF"/>
              <w:spacing w:before="192" w:beforeAutospacing="0" w:after="192" w:afterAutospacing="0"/>
              <w:ind w:left="0" w:right="0" w:firstLine="0"/>
              <w:rPr>
                <w:rFonts w:hint="default" w:ascii="Times New Roman" w:hAnsi="Times New Roman" w:eastAsia="华文中宋" w:cs="Times New Roman"/>
                <w:sz w:val="21"/>
                <w:szCs w:val="21"/>
                <w:lang w:val="en-US" w:eastAsia="zh-CN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Best For: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 Creating patient education materials, handouts, or providing a foundational understanding for absolute beginners.</w:t>
            </w:r>
            <w:r>
              <w:rPr>
                <w:rFonts w:hint="default" w:ascii="Times New Roman" w:hAnsi="Times New Roman" w:eastAsia="华文中宋" w:cs="Times New Roman"/>
                <w:sz w:val="21"/>
                <w:szCs w:val="21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9" w:type="dxa"/>
          </w:tcPr>
          <w:p>
            <w:pPr>
              <w:rPr>
                <w:rFonts w:hint="default" w:ascii="Times New Roman" w:hAnsi="Times New Roman" w:eastAsia="华文中宋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华文中宋" w:cs="Times New Roman"/>
                <w:b/>
                <w:bCs/>
                <w:sz w:val="21"/>
                <w:szCs w:val="21"/>
                <w:lang w:val="en-US" w:eastAsia="zh-CN"/>
              </w:rPr>
              <w:t>Grok3</w:t>
            </w:r>
          </w:p>
          <w:p>
            <w:pPr>
              <w:rPr>
                <w:rFonts w:hint="default" w:ascii="Times New Roman" w:hAnsi="Times New Roman" w:eastAsia="华文中宋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112" w:type="dxa"/>
          </w:tcPr>
          <w:p>
            <w:pPr>
              <w:pStyle w:val="3"/>
              <w:keepNext w:val="0"/>
              <w:keepLines w:val="0"/>
              <w:widowControl/>
              <w:suppressLineNumbers w:val="0"/>
              <w:shd w:val="clear" w:fill="FFFFFF"/>
              <w:spacing w:before="192" w:beforeAutospacing="0" w:after="192" w:afterAutospacing="0"/>
              <w:ind w:left="0" w:right="0" w:firstLine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Strengths: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Good Balance: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 Strikes a reasonable balance between simplicity and medical accuracy. It is accessible to a broader audience, including perhaps interested patients or those in pre-medical studies.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Clear Structure: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 Follows the requested five-point structure clearly and incorporates some clinical terms (e.g., "non-cavitated," "ICDAS," "5% NaF varnish") while still explaining them.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Practical Overview: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 Provides a solid, concise overview of the etiology, presentation, and general treatment principles that would be beneficial for medical students to understand the basics of dentistry.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shd w:val="clear" w:fill="FFFFFF"/>
              <w:spacing w:before="192" w:beforeAutospacing="0" w:after="192" w:afterAutospacing="0"/>
              <w:ind w:left="0" w:right="0" w:firstLine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Limitations: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Lacks Depth for Clinical Practice: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 While it includes terms like ICDAS, it doesn't explain how to use the system clinically. Treatment recommendations are general and lack the specific, actionable "cheatsheet" style a junior doctor would need.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Inconsistent Detail: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 Mentions "ICDAS 1-2" and "5-6" but doesn't define what 3-4 are, which is a significant omission for a clinical audience.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Weaker on Differential Diagnosis: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 The section on differentials is better than ChatGPT's but still less comprehensive than DeepSeek's.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shd w:val="clear" w:fill="FFFFFF"/>
              <w:spacing w:before="192" w:beforeAutospacing="0" w:after="192" w:afterAutospacing="0"/>
              <w:ind w:left="0" w:right="0" w:firstLine="0"/>
              <w:rPr>
                <w:rFonts w:hint="default" w:ascii="Times New Roman" w:hAnsi="Times New Roman" w:eastAsia="华文中宋" w:cs="Times New Roman"/>
                <w:sz w:val="21"/>
                <w:szCs w:val="21"/>
                <w:lang w:val="en-US" w:eastAsia="zh-CN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Best For: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 Medical students or junior doctors in a non-dental specialty (e.g., ER, pediatrics) who need a general understanding of caries without the depth required to perform treatments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9" w:type="dxa"/>
          </w:tcPr>
          <w:p>
            <w:pPr>
              <w:rPr>
                <w:rFonts w:hint="default" w:ascii="Times New Roman" w:hAnsi="Times New Roman" w:eastAsia="华文中宋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华文中宋" w:cs="Times New Roman"/>
                <w:b/>
                <w:bCs/>
                <w:sz w:val="21"/>
                <w:szCs w:val="21"/>
                <w:lang w:val="en-US" w:eastAsia="zh-CN"/>
              </w:rPr>
              <w:t>Deepseek</w:t>
            </w:r>
          </w:p>
          <w:p>
            <w:pPr>
              <w:rPr>
                <w:rFonts w:hint="default" w:ascii="Times New Roman" w:hAnsi="Times New Roman" w:eastAsia="华文中宋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112" w:type="dxa"/>
          </w:tcPr>
          <w:p>
            <w:pPr>
              <w:pStyle w:val="3"/>
              <w:keepNext w:val="0"/>
              <w:keepLines w:val="0"/>
              <w:widowControl/>
              <w:suppressLineNumbers w:val="0"/>
              <w:shd w:val="clear" w:fill="FFFFFF"/>
              <w:spacing w:before="192" w:beforeAutospacing="0" w:after="192" w:afterAutospacing="0"/>
              <w:ind w:left="0" w:right="0" w:firstLine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Strengths: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Highly Technical and Clinically Detailed: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 This is the clear winner for a </w:t>
            </w: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junior doctor or dental student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. It uses precise clinical language and is rich with specifics essential for practice (e.g., "ICDAS Levels 0-6," "38% SDF," "1.23% APF gel," "5000 ppm fluoride").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Actionable Guidance: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 Provides a true "cheatsheet" or protocol-style summary. The treatment section is stratified by </w:t>
            </w: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lesion type, tooth type, and surface location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, which is exactly what a clinician needs at the point of care.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Comprehensive Differential Diagnosis: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 Correctly and specifically identifies key differentials like "non-carious tooth defects," "enamel hypoplasia," and "acid erosion."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Prognosis and Follow-up: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 Includes crucial clinical indicators for monitoring success, such as "lesion hardness" and "radiographic stability," and cautions about judging arrest by color alone after SDF application.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shd w:val="clear" w:fill="FFFFFF"/>
              <w:spacing w:before="192" w:beforeAutospacing="0" w:after="192" w:afterAutospacing="0"/>
              <w:ind w:left="0" w:right="0" w:firstLine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Limitations: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Unsuitable for Non-Medical Readers: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 The language is far too technical. Terms like "metabolize," "remineralization," "approximal surfaces," and "ICDAS" are not explained for a layperson.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Denser Format: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 The information is presented in a very compact, bullet-point style that is excellent for quick reference but requires existing foundational knowledge to parse effectively.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shd w:val="clear" w:fill="FFFFFF"/>
              <w:spacing w:before="192" w:beforeAutospacing="0" w:after="192" w:afterAutospacing="0"/>
              <w:ind w:left="0" w:right="0" w:firstLine="0"/>
              <w:rPr>
                <w:rFonts w:hint="default" w:ascii="Times New Roman" w:hAnsi="Times New Roman" w:eastAsia="华文中宋" w:cs="Times New Roman"/>
                <w:kern w:val="2"/>
                <w:sz w:val="21"/>
                <w:szCs w:val="21"/>
                <w:lang w:bidi="ar-SA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Best For: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 Junior dentists, dental students, or medical professionals specializing in areas like ENT or oral surgery who require a detailed, evidence-based, and immediately applicable clinical guide.</w:t>
            </w:r>
          </w:p>
        </w:tc>
      </w:tr>
    </w:tbl>
    <w:p>
      <w:pP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  <w:t xml:space="preserve">  A Tri-Model Comparative Analysis of AI Performance in Oral Medicine Cases</w:t>
      </w:r>
    </w:p>
    <w:tbl>
      <w:tblPr>
        <w:tblStyle w:val="5"/>
        <w:tblW w:w="94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2"/>
        <w:gridCol w:w="1665"/>
        <w:gridCol w:w="1646"/>
        <w:gridCol w:w="1628"/>
        <w:gridCol w:w="1554"/>
        <w:gridCol w:w="1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2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65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Standardization of Treatment Process</w:t>
            </w:r>
          </w:p>
        </w:tc>
        <w:tc>
          <w:tcPr>
            <w:tcW w:w="164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Clinical Diagnostic Accuracy</w:t>
            </w:r>
          </w:p>
        </w:tc>
        <w:tc>
          <w:tcPr>
            <w:tcW w:w="1628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Treatment Plan Selection</w:t>
            </w:r>
          </w:p>
        </w:tc>
        <w:tc>
          <w:tcPr>
            <w:tcW w:w="1554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Completeness of Medical Orders</w:t>
            </w:r>
          </w:p>
        </w:tc>
        <w:tc>
          <w:tcPr>
            <w:tcW w:w="138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Total Score</w:t>
            </w:r>
          </w:p>
          <w:p>
            <w:pP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2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Standard</w:t>
            </w:r>
          </w:p>
        </w:tc>
        <w:tc>
          <w:tcPr>
            <w:tcW w:w="1665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164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1628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1554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38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2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ChatGPT</w:t>
            </w:r>
          </w:p>
        </w:tc>
        <w:tc>
          <w:tcPr>
            <w:tcW w:w="1665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27.5</w:t>
            </w:r>
          </w:p>
        </w:tc>
        <w:tc>
          <w:tcPr>
            <w:tcW w:w="164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28.17</w:t>
            </w:r>
          </w:p>
        </w:tc>
        <w:tc>
          <w:tcPr>
            <w:tcW w:w="1628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27.67</w:t>
            </w:r>
          </w:p>
        </w:tc>
        <w:tc>
          <w:tcPr>
            <w:tcW w:w="1554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9.17</w:t>
            </w:r>
          </w:p>
        </w:tc>
        <w:tc>
          <w:tcPr>
            <w:tcW w:w="138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92.51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2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Grok3</w:t>
            </w:r>
          </w:p>
        </w:tc>
        <w:tc>
          <w:tcPr>
            <w:tcW w:w="1665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18.5</w:t>
            </w:r>
          </w:p>
        </w:tc>
        <w:tc>
          <w:tcPr>
            <w:tcW w:w="164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23.17</w:t>
            </w:r>
          </w:p>
        </w:tc>
        <w:tc>
          <w:tcPr>
            <w:tcW w:w="1628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19.67</w:t>
            </w:r>
          </w:p>
        </w:tc>
        <w:tc>
          <w:tcPr>
            <w:tcW w:w="1554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7.33</w:t>
            </w:r>
          </w:p>
        </w:tc>
        <w:tc>
          <w:tcPr>
            <w:tcW w:w="138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68.67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2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Deepseek</w:t>
            </w:r>
          </w:p>
        </w:tc>
        <w:tc>
          <w:tcPr>
            <w:tcW w:w="1665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64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18.33</w:t>
            </w:r>
          </w:p>
        </w:tc>
        <w:tc>
          <w:tcPr>
            <w:tcW w:w="1628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14.1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554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6.17</w:t>
            </w:r>
          </w:p>
        </w:tc>
        <w:tc>
          <w:tcPr>
            <w:tcW w:w="138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50.67</w:t>
            </w:r>
          </w:p>
        </w:tc>
      </w:tr>
    </w:tbl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690862"/>
    <w:rsid w:val="06690862"/>
    <w:rsid w:val="0803380A"/>
    <w:rsid w:val="0DA30E6B"/>
    <w:rsid w:val="2D141591"/>
    <w:rsid w:val="30EE2A56"/>
    <w:rsid w:val="33A84E4D"/>
    <w:rsid w:val="33CC3D88"/>
    <w:rsid w:val="395A1104"/>
    <w:rsid w:val="39607F31"/>
    <w:rsid w:val="3C740536"/>
    <w:rsid w:val="4EE90083"/>
    <w:rsid w:val="64CC0C6F"/>
    <w:rsid w:val="6D5E2BDD"/>
    <w:rsid w:val="6E0D4219"/>
    <w:rsid w:val="6F7F1239"/>
    <w:rsid w:val="78AB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it-IT" w:eastAsia="en-US" w:bidi="ar-SA"/>
      <w14:ligatures w14:val="standardContextual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2025-09-14T12:34:00Z</dcterms:created>
  <dc:creator>小小乌鸦</dc:creator>
  <cp:lastModifiedBy>小小乌鸦</cp:lastModifiedBy>
  <dcterms:modified xsi:type="dcterms:W3CDTF">2025-09-16T03:41:35Z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9D9943163B6943E29D59678A634D3F28</vt:lpwstr>
  </property>
</Properties>
</file>