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96" w:type="dxa"/>
        <w:tblInd w:w="-1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4"/>
        <w:gridCol w:w="1437"/>
        <w:gridCol w:w="2084"/>
        <w:gridCol w:w="1511"/>
        <w:gridCol w:w="1577"/>
        <w:gridCol w:w="1587"/>
        <w:gridCol w:w="3094"/>
        <w:gridCol w:w="1553"/>
        <w:gridCol w:w="2099"/>
      </w:tblGrid>
      <w:tr w:rsidR="000F5212" w:rsidTr="2CE3218F" w14:paraId="0B2E6C0B" w14:textId="77777777">
        <w:tc>
          <w:tcPr>
            <w:tcW w:w="1254" w:type="dxa"/>
            <w:tcMar/>
          </w:tcPr>
          <w:p w:rsidR="00FC1430" w:rsidP="00776F91" w:rsidRDefault="00FC1430" w14:paraId="583F113E" w14:textId="77777777">
            <w:pPr>
              <w:rPr>
                <w:b/>
                <w:bCs/>
              </w:rPr>
            </w:pPr>
            <w:r w:rsidRPr="00E11FB2">
              <w:rPr>
                <w:b/>
                <w:bCs/>
              </w:rPr>
              <w:t>Author</w:t>
            </w:r>
            <w:r>
              <w:rPr>
                <w:b/>
                <w:bCs/>
              </w:rPr>
              <w:t xml:space="preserve"> (year)</w:t>
            </w:r>
            <w:r w:rsidRPr="00E11FB2">
              <w:rPr>
                <w:b/>
                <w:bCs/>
              </w:rPr>
              <w:t xml:space="preserve"> </w:t>
            </w:r>
          </w:p>
          <w:p w:rsidRPr="00E11FB2" w:rsidR="00FC1430" w:rsidP="00776F91" w:rsidRDefault="00FC1430" w14:paraId="3D844F06" w14:textId="223E1CC9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1437" w:type="dxa"/>
            <w:tcMar/>
          </w:tcPr>
          <w:p w:rsidRPr="00E11FB2" w:rsidR="00FC1430" w:rsidP="00776F91" w:rsidRDefault="00FC1430" w14:paraId="17D85FC4" w14:textId="291F416F">
            <w:pPr>
              <w:rPr>
                <w:b/>
                <w:bCs/>
              </w:rPr>
            </w:pPr>
            <w:r w:rsidRPr="00E11FB2">
              <w:rPr>
                <w:b/>
                <w:bCs/>
              </w:rPr>
              <w:t xml:space="preserve">Study design </w:t>
            </w:r>
            <w:r>
              <w:rPr>
                <w:b/>
                <w:bCs/>
              </w:rPr>
              <w:t>and setting</w:t>
            </w:r>
          </w:p>
        </w:tc>
        <w:tc>
          <w:tcPr>
            <w:tcW w:w="2084" w:type="dxa"/>
            <w:tcMar/>
          </w:tcPr>
          <w:p w:rsidR="00FC1430" w:rsidP="00776F91" w:rsidRDefault="00FC1430" w14:paraId="09E4970D" w14:textId="1EB54892">
            <w:pPr>
              <w:rPr>
                <w:b/>
                <w:bCs/>
              </w:rPr>
            </w:pPr>
            <w:r>
              <w:rPr>
                <w:b/>
                <w:bCs/>
              </w:rPr>
              <w:t>Study Aim/s</w:t>
            </w:r>
          </w:p>
        </w:tc>
        <w:tc>
          <w:tcPr>
            <w:tcW w:w="1511" w:type="dxa"/>
            <w:tcMar/>
          </w:tcPr>
          <w:p w:rsidR="00FC1430" w:rsidP="00776F91" w:rsidRDefault="00FC1430" w14:paraId="5B6330D3" w14:textId="1F918858">
            <w:pPr>
              <w:rPr>
                <w:b/>
                <w:bCs/>
              </w:rPr>
            </w:pPr>
            <w:r>
              <w:rPr>
                <w:b/>
                <w:bCs/>
              </w:rPr>
              <w:t>Participants (n) and age, y mean (SD)</w:t>
            </w:r>
          </w:p>
          <w:p w:rsidRPr="00E11FB2" w:rsidR="00FC1430" w:rsidP="00776F91" w:rsidRDefault="00FC1430" w14:paraId="62DE99B9" w14:textId="08678601">
            <w:pPr>
              <w:rPr>
                <w:b/>
                <w:bCs/>
              </w:rPr>
            </w:pPr>
          </w:p>
        </w:tc>
        <w:tc>
          <w:tcPr>
            <w:tcW w:w="1577" w:type="dxa"/>
            <w:tcMar/>
          </w:tcPr>
          <w:p w:rsidRPr="00E11FB2" w:rsidR="00FC1430" w:rsidP="00776F91" w:rsidRDefault="00FC1430" w14:paraId="156138FB" w14:textId="3EAB9612">
            <w:pPr>
              <w:rPr>
                <w:b/>
                <w:bCs/>
              </w:rPr>
            </w:pPr>
            <w:r>
              <w:rPr>
                <w:b/>
                <w:bCs/>
              </w:rPr>
              <w:t>Exclusion Criteria</w:t>
            </w:r>
          </w:p>
        </w:tc>
        <w:tc>
          <w:tcPr>
            <w:tcW w:w="1587" w:type="dxa"/>
            <w:tcMar/>
          </w:tcPr>
          <w:p w:rsidRPr="00E11FB2" w:rsidR="00FC1430" w:rsidP="00776F91" w:rsidRDefault="00FC1430" w14:paraId="10BC3EE7" w14:textId="33CB329B">
            <w:pPr>
              <w:rPr>
                <w:b/>
                <w:bCs/>
              </w:rPr>
            </w:pPr>
            <w:r w:rsidRPr="00E11FB2">
              <w:rPr>
                <w:b/>
                <w:bCs/>
              </w:rPr>
              <w:t>Refeeding protocol</w:t>
            </w:r>
          </w:p>
        </w:tc>
        <w:tc>
          <w:tcPr>
            <w:tcW w:w="3094" w:type="dxa"/>
            <w:tcMar/>
          </w:tcPr>
          <w:p w:rsidR="00FC1430" w:rsidP="006F4BCE" w:rsidRDefault="00FC1430" w14:paraId="7395709C" w14:textId="4CFD7127">
            <w:pPr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Incidence of Refeeding syndrome/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hypophosphataemia</w:t>
            </w:r>
            <w:proofErr w:type="spellEnd"/>
          </w:p>
          <w:p w:rsidRPr="00E11FB2" w:rsidR="00FC1430" w:rsidP="00776F91" w:rsidRDefault="00FC1430" w14:paraId="667DC89C" w14:textId="0F2561D7">
            <w:pPr>
              <w:rPr>
                <w:b/>
                <w:bCs/>
              </w:rPr>
            </w:pPr>
          </w:p>
        </w:tc>
        <w:tc>
          <w:tcPr>
            <w:tcW w:w="1553" w:type="dxa"/>
            <w:tcMar/>
          </w:tcPr>
          <w:p w:rsidR="00FC1430" w:rsidP="00776F91" w:rsidRDefault="00FC1430" w14:paraId="383855AE" w14:textId="5B9E6461">
            <w:pPr>
              <w:rPr>
                <w:b/>
                <w:bCs/>
              </w:rPr>
            </w:pPr>
            <w:r w:rsidRPr="00E11FB2">
              <w:rPr>
                <w:b/>
                <w:bCs/>
              </w:rPr>
              <w:t>Rate of weight gain and length of stay</w:t>
            </w:r>
          </w:p>
          <w:p w:rsidRPr="00E11FB2" w:rsidR="00FC1430" w:rsidP="00776F91" w:rsidRDefault="00FC1430" w14:paraId="20C5DE97" w14:textId="1C255477">
            <w:pPr>
              <w:rPr>
                <w:b/>
                <w:bCs/>
              </w:rPr>
            </w:pPr>
          </w:p>
        </w:tc>
        <w:tc>
          <w:tcPr>
            <w:tcW w:w="2099" w:type="dxa"/>
            <w:tcMar/>
          </w:tcPr>
          <w:p w:rsidR="00FC1430" w:rsidP="00776F91" w:rsidRDefault="00FC1430" w14:paraId="354C8C29" w14:textId="48295854">
            <w:pPr>
              <w:rPr>
                <w:b/>
                <w:bCs/>
              </w:rPr>
            </w:pPr>
            <w:r w:rsidRPr="00E11FB2">
              <w:rPr>
                <w:b/>
                <w:bCs/>
              </w:rPr>
              <w:t>Relevant results</w:t>
            </w:r>
          </w:p>
          <w:p w:rsidR="00FC1430" w:rsidP="00D459AB" w:rsidRDefault="00FC1430" w14:paraId="0FE93620" w14:textId="77777777">
            <w:pPr>
              <w:ind w:right="635"/>
              <w:rPr>
                <w:b/>
                <w:bCs/>
              </w:rPr>
            </w:pPr>
          </w:p>
          <w:p w:rsidRPr="00E11FB2" w:rsidR="00FC1430" w:rsidP="00776F91" w:rsidRDefault="00FC1430" w14:paraId="61F902F2" w14:textId="7DD5A5CF">
            <w:pPr>
              <w:rPr>
                <w:b/>
                <w:bCs/>
              </w:rPr>
            </w:pPr>
          </w:p>
        </w:tc>
      </w:tr>
      <w:tr w:rsidR="000F5212" w:rsidTr="2CE3218F" w14:paraId="65756C5C" w14:textId="77777777">
        <w:tc>
          <w:tcPr>
            <w:tcW w:w="1254" w:type="dxa"/>
            <w:tcMar/>
          </w:tcPr>
          <w:p w:rsidR="00FC1430" w:rsidP="00776F91" w:rsidRDefault="00FC1430" w14:paraId="7302B85D" w14:textId="77777777">
            <w:r>
              <w:t>Haynos et al. (2016)</w:t>
            </w:r>
          </w:p>
          <w:p w:rsidR="00FC1430" w:rsidP="00776F91" w:rsidRDefault="00FC1430" w14:paraId="079E870C" w14:textId="77777777"/>
          <w:p w:rsidR="00FC1430" w:rsidP="00776F91" w:rsidRDefault="00FC1430" w14:paraId="1B644577" w14:textId="67AF88F6">
            <w:r>
              <w:t>USA</w:t>
            </w:r>
          </w:p>
        </w:tc>
        <w:tc>
          <w:tcPr>
            <w:tcW w:w="1437" w:type="dxa"/>
            <w:tcMar/>
          </w:tcPr>
          <w:p w:rsidR="00FC1430" w:rsidP="00776F91" w:rsidRDefault="00FC1430" w14:paraId="592F6477" w14:textId="4EF67FA2">
            <w:r>
              <w:t>Natural experiment design</w:t>
            </w:r>
          </w:p>
          <w:p w:rsidR="00FC1430" w:rsidP="00776F91" w:rsidRDefault="00FC1430" w14:paraId="2CCA1F32" w14:textId="77777777"/>
          <w:p w:rsidR="00FC1430" w:rsidP="00776F91" w:rsidRDefault="00FC1430" w14:paraId="78B4E273" w14:textId="487FCAE5">
            <w:r>
              <w:t>Inpatient eating disorder unit</w:t>
            </w:r>
          </w:p>
          <w:p w:rsidR="00FC1430" w:rsidP="00776F91" w:rsidRDefault="00FC1430" w14:paraId="5A5C0464" w14:textId="77777777"/>
          <w:p w:rsidR="00FC1430" w:rsidP="00776F91" w:rsidRDefault="00FC1430" w14:paraId="70C9B5CD" w14:textId="6F37B947"/>
        </w:tc>
        <w:tc>
          <w:tcPr>
            <w:tcW w:w="2084" w:type="dxa"/>
            <w:tcMar/>
          </w:tcPr>
          <w:p w:rsidR="00FC1430" w:rsidP="1C00222D" w:rsidRDefault="00FC1430" w14:paraId="0B4A6F8F" w14:textId="222744CE">
            <w:pPr>
              <w:pStyle w:val="Normal"/>
              <w:ind w:left="0"/>
            </w:pPr>
            <w:r w:rsidR="1012E50C">
              <w:rPr/>
              <w:t xml:space="preserve">1) </w:t>
            </w:r>
            <w:r w:rsidR="00FC1430">
              <w:rPr/>
              <w:t xml:space="preserve">Effect of change in caloric prescription plan on weight gain </w:t>
            </w:r>
          </w:p>
          <w:p w:rsidR="00FC1430" w:rsidP="1C00222D" w:rsidRDefault="00FC1430" w14:paraId="3DE4E56A" w14:textId="76590B58">
            <w:pPr>
              <w:pStyle w:val="Normal"/>
              <w:ind w:left="0"/>
            </w:pPr>
            <w:r w:rsidR="56CFE06F">
              <w:rPr/>
              <w:t xml:space="preserve">2) </w:t>
            </w:r>
            <w:r w:rsidR="00FC1430">
              <w:rPr/>
              <w:t>Do standardised caloric plans impact LOS, discharge BMI, and maximum caloric prescription</w:t>
            </w:r>
          </w:p>
        </w:tc>
        <w:tc>
          <w:tcPr>
            <w:tcW w:w="1511" w:type="dxa"/>
            <w:tcMar/>
          </w:tcPr>
          <w:p w:rsidR="00FC1430" w:rsidP="00776F91" w:rsidRDefault="00FC1430" w14:paraId="0AC1167E" w14:textId="463016BB">
            <w:r>
              <w:t>Individualised (n=35) vs standardised (n=35) caloric plan</w:t>
            </w:r>
          </w:p>
          <w:p w:rsidR="00FC1430" w:rsidP="00776F91" w:rsidRDefault="00FC1430" w14:paraId="11518FB9" w14:textId="77777777"/>
          <w:p w:rsidR="00FC1430" w:rsidP="00776F91" w:rsidRDefault="00FC1430" w14:paraId="7ADC1E56" w14:textId="19176F31">
            <w:r>
              <w:t>Subsample (n=20) for secondary analysis</w:t>
            </w:r>
          </w:p>
          <w:p w:rsidR="00FC1430" w:rsidP="00776F91" w:rsidRDefault="00FC1430" w14:paraId="3ED2FF03" w14:textId="77777777"/>
          <w:p w:rsidR="00FC1430" w:rsidP="00776F91" w:rsidRDefault="00FC1430" w14:paraId="140B60A8" w14:textId="10C1270D">
            <w:r>
              <w:t>All participants' diagnosis of AN</w:t>
            </w:r>
          </w:p>
          <w:p w:rsidR="00FC1430" w:rsidP="00776F91" w:rsidRDefault="00FC1430" w14:paraId="0C9BFCE9" w14:textId="77777777"/>
          <w:p w:rsidR="00FC1430" w:rsidP="006B49BA" w:rsidRDefault="00FC1430" w14:paraId="4F4AA63D" w14:textId="6D4FF7C1">
            <w:r>
              <w:t>Mean age</w:t>
            </w:r>
            <w:r w:rsidR="4DE6A4F6">
              <w:t>:</w:t>
            </w:r>
            <w:r>
              <w:t xml:space="preserve"> 24.51-26.34 years old (SD 6.4-7.3)</w:t>
            </w:r>
          </w:p>
          <w:p w:rsidR="00FC1430" w:rsidP="00776F91" w:rsidRDefault="00FC1430" w14:paraId="22987EF1" w14:textId="77777777"/>
          <w:p w:rsidR="00FC1430" w:rsidP="00776F91" w:rsidRDefault="00FC1430" w14:paraId="5B05007B" w14:textId="77777777"/>
          <w:p w:rsidR="00FC1430" w:rsidP="00776F91" w:rsidRDefault="00FC1430" w14:paraId="1879DCE0" w14:textId="77777777"/>
          <w:p w:rsidR="00FC1430" w:rsidP="00776F91" w:rsidRDefault="00FC1430" w14:paraId="055075EF" w14:textId="79A678BA"/>
        </w:tc>
        <w:tc>
          <w:tcPr>
            <w:tcW w:w="1577" w:type="dxa"/>
            <w:tcMar/>
          </w:tcPr>
          <w:p w:rsidR="00680E32" w:rsidP="00680E32" w:rsidRDefault="632EA86E" w14:paraId="4FD441D2" w14:textId="61AEAB27">
            <w:r>
              <w:t>Discharge from</w:t>
            </w:r>
            <w:r w:rsidR="3ED73E03">
              <w:t xml:space="preserve"> inpatient unit prior to the second week of </w:t>
            </w:r>
            <w:r w:rsidR="22F752EF">
              <w:t>hospitalisation</w:t>
            </w:r>
          </w:p>
          <w:p w:rsidR="00680E32" w:rsidP="00680E32" w:rsidRDefault="00680E32" w14:paraId="1CEDF6FF" w14:textId="77777777"/>
          <w:p w:rsidR="00FC1430" w:rsidP="00680E32" w:rsidRDefault="00680E32" w14:paraId="531F4942" w14:textId="5C4E8F88">
            <w:r>
              <w:t xml:space="preserve">Medical illness unrelated to ED affected </w:t>
            </w:r>
            <w:r w:rsidR="00D459AB">
              <w:t xml:space="preserve">the </w:t>
            </w:r>
            <w:r>
              <w:t xml:space="preserve">ability to </w:t>
            </w:r>
            <w:r w:rsidR="00D459AB">
              <w:t>gain weight</w:t>
            </w:r>
          </w:p>
        </w:tc>
        <w:tc>
          <w:tcPr>
            <w:tcW w:w="1587" w:type="dxa"/>
            <w:tcMar/>
          </w:tcPr>
          <w:p w:rsidR="00FC1430" w:rsidP="00776F91" w:rsidRDefault="00FC1430" w14:paraId="0E0ED607" w14:textId="01954C7B">
            <w:r>
              <w:t>Standardised approach:</w:t>
            </w:r>
          </w:p>
          <w:p w:rsidR="00FC1430" w:rsidP="00776F91" w:rsidRDefault="00FC1430" w14:paraId="543DED57" w14:textId="395BC14B">
            <w:r>
              <w:t xml:space="preserve">1800kcal/d for the first week of admission. </w:t>
            </w:r>
          </w:p>
          <w:p w:rsidR="00FC1430" w:rsidP="00776F91" w:rsidRDefault="00FC1430" w14:paraId="7B6D8BF8" w14:textId="77777777"/>
          <w:p w:rsidR="00FC1430" w:rsidP="00776F91" w:rsidRDefault="00FC1430" w14:paraId="0237518E" w14:textId="66C70090">
            <w:r>
              <w:t>Incremental 300-400kcal increase every 2-3 days thereafter until 90% Ideal Body Weight (IBW) achieved</w:t>
            </w:r>
          </w:p>
          <w:p w:rsidR="00FC1430" w:rsidP="00776F91" w:rsidRDefault="00FC1430" w14:paraId="625216E3" w14:textId="77777777"/>
          <w:p w:rsidR="00FC1430" w:rsidP="00776F91" w:rsidRDefault="00FC1430" w14:paraId="272069DF" w14:textId="4A9981D2">
            <w:r>
              <w:t xml:space="preserve">Increases occurred independent of actual </w:t>
            </w:r>
            <w:proofErr w:type="spellStart"/>
            <w:r>
              <w:t>wt</w:t>
            </w:r>
            <w:proofErr w:type="spellEnd"/>
            <w:r>
              <w:t xml:space="preserve"> gain</w:t>
            </w:r>
          </w:p>
          <w:p w:rsidR="00FC1430" w:rsidP="00776F91" w:rsidRDefault="00FC1430" w14:paraId="06593698" w14:textId="77777777"/>
          <w:p w:rsidR="00FC1430" w:rsidP="00776F91" w:rsidRDefault="00FC1430" w14:paraId="348DD17D" w14:textId="23AFBD24">
            <w:r>
              <w:t>Individualised approach:</w:t>
            </w:r>
            <w:r w:rsidR="00632396">
              <w:t xml:space="preserve"> </w:t>
            </w:r>
            <w:r w:rsidR="000369BF">
              <w:t>Initially</w:t>
            </w:r>
            <w:r w:rsidR="00632396">
              <w:t xml:space="preserve"> 1800kcal/d</w:t>
            </w:r>
          </w:p>
          <w:p w:rsidR="00FC1430" w:rsidP="00776F91" w:rsidRDefault="00FC1430" w14:paraId="24F405CE" w14:textId="77777777"/>
          <w:p w:rsidR="00FC1430" w:rsidP="00776F91" w:rsidRDefault="00FC1430" w14:paraId="7AC8FA0F" w14:textId="17DFBBE0">
            <w:r>
              <w:t xml:space="preserve">An increase only occurred if </w:t>
            </w:r>
            <w:proofErr w:type="spellStart"/>
            <w:r>
              <w:t>wt</w:t>
            </w:r>
            <w:proofErr w:type="spellEnd"/>
            <w:r>
              <w:t xml:space="preserve"> failed to </w:t>
            </w:r>
            <w:r>
              <w:t xml:space="preserve">increase by 0.75lbs on weigh-in </w:t>
            </w:r>
            <w:r w:rsidR="00C14EC3">
              <w:t>day and</w:t>
            </w:r>
            <w:r>
              <w:t xml:space="preserve"> was achieved by consuming 400kcal of food /250kcal of liquid supplements. Did not exceed 4000kcal/d</w:t>
            </w:r>
          </w:p>
        </w:tc>
        <w:tc>
          <w:tcPr>
            <w:tcW w:w="3094" w:type="dxa"/>
            <w:tcMar/>
          </w:tcPr>
          <w:p w:rsidR="00FC1430" w:rsidP="006F4BCE" w:rsidRDefault="00FC1430" w14:paraId="19F6CA19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No notes of any cases RFS requiring medical care under either protocol  </w:t>
            </w:r>
          </w:p>
          <w:p w:rsidR="00FC1430" w:rsidP="00776F91" w:rsidRDefault="00FC1430" w14:paraId="2C674215" w14:textId="77777777"/>
          <w:p w:rsidR="00FC1430" w:rsidP="00776F91" w:rsidRDefault="00FC1430" w14:paraId="3D24C560" w14:textId="12453AD6">
            <w:r>
              <w:t>RFS measured by p</w:t>
            </w:r>
            <w:r w:rsidRPr="00A43769">
              <w:t>resence of oedema throughout treatment</w:t>
            </w:r>
          </w:p>
        </w:tc>
        <w:tc>
          <w:tcPr>
            <w:tcW w:w="1553" w:type="dxa"/>
            <w:tcMar/>
          </w:tcPr>
          <w:p w:rsidR="00FC1430" w:rsidP="00776F91" w:rsidRDefault="00FC1430" w14:paraId="45457798" w14:textId="66E6BE70">
            <w:r>
              <w:t>Mean Admission BMI 15.84-15.97 (SD 1.39-2.00)</w:t>
            </w:r>
          </w:p>
          <w:p w:rsidR="00FC1430" w:rsidP="00776F91" w:rsidRDefault="00FC1430" w14:paraId="38CFE027" w14:textId="77777777"/>
          <w:p w:rsidR="00FC1430" w:rsidP="00776F91" w:rsidRDefault="00FC1430" w14:paraId="3E2B77EE" w14:textId="77777777">
            <w:r>
              <w:t>Aim to restore weight to 90% IBW (BMI 19.5)</w:t>
            </w:r>
          </w:p>
          <w:p w:rsidR="00FC1430" w:rsidP="00776F91" w:rsidRDefault="00FC1430" w14:paraId="5C046468" w14:textId="77777777"/>
          <w:p w:rsidR="00FC1430" w:rsidP="00776F91" w:rsidRDefault="00FC1430" w14:paraId="0B2E000C" w14:textId="5CB021EE">
            <w:r>
              <w:t>Weight gain 0.35kg over the previous highest weight each week</w:t>
            </w:r>
          </w:p>
        </w:tc>
        <w:tc>
          <w:tcPr>
            <w:tcW w:w="2099" w:type="dxa"/>
            <w:tcMar/>
          </w:tcPr>
          <w:p w:rsidR="00FC1430" w:rsidP="00776F91" w:rsidRDefault="00FC1430" w14:paraId="332CEFFB" w14:textId="7D48DBDA">
            <w:r>
              <w:t xml:space="preserve">Linear relationship of time to weekly rate of </w:t>
            </w:r>
            <w:proofErr w:type="spellStart"/>
            <w:r>
              <w:t>wt</w:t>
            </w:r>
            <w:proofErr w:type="spellEnd"/>
            <w:r>
              <w:t xml:space="preserve"> gain in standardised plan*</w:t>
            </w:r>
          </w:p>
          <w:p w:rsidR="00FC1430" w:rsidP="00776F91" w:rsidRDefault="00FC1430" w14:paraId="24EA43D0" w14:textId="77777777"/>
          <w:p w:rsidR="00FC1430" w:rsidP="00776F91" w:rsidRDefault="00FC1430" w14:paraId="3A33AABB" w14:textId="6F27366D">
            <w:r>
              <w:t xml:space="preserve">Standardised plans gained </w:t>
            </w:r>
            <w:proofErr w:type="spellStart"/>
            <w:r>
              <w:t>wt</w:t>
            </w:r>
            <w:proofErr w:type="spellEnd"/>
            <w:r>
              <w:t xml:space="preserve"> faster compared to individualised*  </w:t>
            </w:r>
          </w:p>
          <w:p w:rsidR="00FC1430" w:rsidP="00776F91" w:rsidRDefault="00FC1430" w14:paraId="4D867423" w14:textId="77777777"/>
          <w:p w:rsidR="00FC1430" w:rsidP="00776F91" w:rsidRDefault="00FC1430" w14:paraId="0E89AA86" w14:textId="6727F4C1">
            <w:r>
              <w:t>The standardised plan did not significantly affect LOS, discharge BMI, or maximum caloric prescription.</w:t>
            </w:r>
          </w:p>
          <w:p w:rsidR="00FC1430" w:rsidP="00776F91" w:rsidRDefault="00FC1430" w14:paraId="702C5026" w14:textId="77777777"/>
          <w:p w:rsidR="00FC1430" w:rsidP="00776F91" w:rsidRDefault="00FC1430" w14:paraId="7EC483BA" w14:textId="4E5FD3BB">
            <w:r>
              <w:t xml:space="preserve">Admission BMI as a covariate predicted time to </w:t>
            </w:r>
            <w:proofErr w:type="spellStart"/>
            <w:r>
              <w:t>wt</w:t>
            </w:r>
            <w:proofErr w:type="spellEnd"/>
            <w:r>
              <w:t xml:space="preserve"> restoration, presence of oedema and length of hospital stay*</w:t>
            </w:r>
          </w:p>
        </w:tc>
      </w:tr>
      <w:tr w:rsidR="004E176F" w:rsidTr="2CE3218F" w14:paraId="1D76C260" w14:textId="77777777">
        <w:tc>
          <w:tcPr>
            <w:tcW w:w="1254" w:type="dxa"/>
            <w:tcMar/>
          </w:tcPr>
          <w:p w:rsidR="00361865" w:rsidP="00361865" w:rsidRDefault="00361865" w14:paraId="304D141E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Stranjord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(2016)</w:t>
            </w:r>
          </w:p>
          <w:p w:rsidR="00E15259" w:rsidP="00361865" w:rsidRDefault="00E15259" w14:paraId="5C0C9A54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E15259" w:rsidP="00E15259" w:rsidRDefault="00E15259" w14:paraId="284517C5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USA </w:t>
            </w:r>
          </w:p>
          <w:p w:rsidR="004E176F" w:rsidP="00776F91" w:rsidRDefault="004E176F" w14:paraId="07A98F10" w14:textId="77777777"/>
        </w:tc>
        <w:tc>
          <w:tcPr>
            <w:tcW w:w="1437" w:type="dxa"/>
            <w:tcMar/>
          </w:tcPr>
          <w:p w:rsidR="001A074D" w:rsidP="001A074D" w:rsidRDefault="001A074D" w14:paraId="47B40D83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Retrospective chart review</w:t>
            </w:r>
          </w:p>
          <w:p w:rsidR="009527B4" w:rsidP="001A074D" w:rsidRDefault="009527B4" w14:paraId="40021596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9527B4" w:rsidP="001A074D" w:rsidRDefault="00662377" w14:paraId="29BBC460" w14:textId="4D177586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Inpatient </w:t>
            </w:r>
            <w:r w:rsidR="009E4510">
              <w:rPr>
                <w:rFonts w:ascii="Calibri" w:hAnsi="Calibri" w:cs="Calibri"/>
                <w:color w:val="000000"/>
                <w:szCs w:val="22"/>
              </w:rPr>
              <w:t>hospital setting</w:t>
            </w:r>
          </w:p>
          <w:p w:rsidR="004E176F" w:rsidP="00776F91" w:rsidRDefault="004E176F" w14:paraId="0EE20519" w14:textId="77777777"/>
        </w:tc>
        <w:tc>
          <w:tcPr>
            <w:tcW w:w="2084" w:type="dxa"/>
            <w:tcMar/>
          </w:tcPr>
          <w:p w:rsidR="008D7735" w:rsidP="008D7735" w:rsidRDefault="008D7735" w14:paraId="7924B8E2" w14:textId="32CE827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Describe an inpatient nutritional insufficiency care path and compare treatment outcomes at an academic medical </w:t>
            </w:r>
            <w:r w:rsidR="007A169D">
              <w:rPr>
                <w:rFonts w:ascii="Calibri" w:hAnsi="Calibri" w:cs="Calibri"/>
                <w:color w:val="000000"/>
                <w:szCs w:val="22"/>
              </w:rPr>
              <w:t>centre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and a community hospital</w:t>
            </w:r>
          </w:p>
          <w:p w:rsidR="004E176F" w:rsidP="00776F91" w:rsidRDefault="004E176F" w14:paraId="0FEA50F9" w14:textId="77777777"/>
        </w:tc>
        <w:tc>
          <w:tcPr>
            <w:tcW w:w="1511" w:type="dxa"/>
            <w:tcMar/>
          </w:tcPr>
          <w:p w:rsidR="00412B7C" w:rsidP="00412B7C" w:rsidRDefault="00412B7C" w14:paraId="382D0B74" w14:textId="31ED217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Academic </w:t>
            </w:r>
            <w:r w:rsidR="007A169D">
              <w:rPr>
                <w:rFonts w:ascii="Calibri" w:hAnsi="Calibri" w:cs="Calibri"/>
                <w:color w:val="000000"/>
                <w:szCs w:val="22"/>
              </w:rPr>
              <w:t xml:space="preserve">medical </w:t>
            </w:r>
            <w:r>
              <w:rPr>
                <w:rFonts w:ascii="Calibri" w:hAnsi="Calibri" w:cs="Calibri"/>
                <w:color w:val="000000"/>
                <w:szCs w:val="22"/>
              </w:rPr>
              <w:t>cen</w:t>
            </w:r>
            <w:r w:rsidR="007A169D">
              <w:rPr>
                <w:rFonts w:ascii="Calibri" w:hAnsi="Calibri" w:cs="Calibri"/>
                <w:color w:val="000000"/>
                <w:szCs w:val="22"/>
              </w:rPr>
              <w:t>t</w:t>
            </w:r>
            <w:r>
              <w:rPr>
                <w:rFonts w:ascii="Calibri" w:hAnsi="Calibri" w:cs="Calibri"/>
                <w:color w:val="000000"/>
                <w:szCs w:val="22"/>
              </w:rPr>
              <w:t>r</w:t>
            </w:r>
            <w:r w:rsidR="007A169D">
              <w:rPr>
                <w:rFonts w:ascii="Calibri" w:hAnsi="Calibri" w:cs="Calibri"/>
                <w:color w:val="000000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(n=51) vs Community Hospital </w:t>
            </w:r>
            <w:r w:rsidR="007A169D">
              <w:rPr>
                <w:rFonts w:ascii="Calibri" w:hAnsi="Calibri" w:cs="Calibri"/>
                <w:color w:val="000000"/>
                <w:szCs w:val="22"/>
              </w:rPr>
              <w:t xml:space="preserve">setting </w:t>
            </w:r>
            <w:r>
              <w:rPr>
                <w:rFonts w:ascii="Calibri" w:hAnsi="Calibri" w:cs="Calibri"/>
                <w:color w:val="000000"/>
                <w:szCs w:val="22"/>
              </w:rPr>
              <w:t>(n=39)</w:t>
            </w:r>
          </w:p>
          <w:p w:rsidR="004E176F" w:rsidP="00776F91" w:rsidRDefault="004E176F" w14:paraId="158A03BC" w14:textId="77777777"/>
          <w:p w:rsidR="00C56EBE" w:rsidP="00C56EBE" w:rsidRDefault="00C56EBE" w14:paraId="0BE7C07D" w14:textId="15FD1F46">
            <w:pPr>
              <w:rPr>
                <w:rFonts w:ascii="Calibri" w:hAnsi="Calibri" w:cs="Calibri"/>
                <w:color w:val="000000"/>
              </w:rPr>
            </w:pPr>
            <w:r w:rsidRPr="035B1CD3">
              <w:rPr>
                <w:rFonts w:ascii="Calibri" w:hAnsi="Calibri" w:cs="Calibri"/>
                <w:color w:val="000000" w:themeColor="text1"/>
              </w:rPr>
              <w:t xml:space="preserve">Age </w:t>
            </w:r>
            <w:r w:rsidRPr="035B1CD3" w:rsidR="6B0F7B7E">
              <w:rPr>
                <w:rFonts w:ascii="Calibri" w:hAnsi="Calibri" w:cs="Calibri"/>
                <w:color w:val="000000" w:themeColor="text1"/>
              </w:rPr>
              <w:t>- R</w:t>
            </w:r>
            <w:r w:rsidRPr="035B1CD3" w:rsidR="1CCF0FC9">
              <w:rPr>
                <w:rFonts w:ascii="Calibri" w:hAnsi="Calibri" w:cs="Calibri"/>
                <w:color w:val="000000" w:themeColor="text1"/>
              </w:rPr>
              <w:t>ange:</w:t>
            </w:r>
            <w:r w:rsidRPr="035B1CD3">
              <w:rPr>
                <w:rFonts w:ascii="Calibri" w:hAnsi="Calibri" w:cs="Calibri"/>
                <w:color w:val="000000" w:themeColor="text1"/>
              </w:rPr>
              <w:t xml:space="preserve"> 8-23 years</w:t>
            </w:r>
            <w:r w:rsidRPr="035B1CD3" w:rsidR="61F72095">
              <w:rPr>
                <w:rFonts w:ascii="Calibri" w:hAnsi="Calibri" w:cs="Calibri"/>
                <w:color w:val="000000" w:themeColor="text1"/>
              </w:rPr>
              <w:t>.</w:t>
            </w:r>
            <w:r w:rsidRPr="035B1CD3" w:rsidR="0003240D">
              <w:rPr>
                <w:rFonts w:ascii="Calibri" w:hAnsi="Calibri" w:cs="Calibri"/>
                <w:color w:val="000000" w:themeColor="text1"/>
              </w:rPr>
              <w:t xml:space="preserve">  </w:t>
            </w:r>
            <w:r w:rsidRPr="035B1CD3" w:rsidR="045162F7">
              <w:rPr>
                <w:rFonts w:ascii="Calibri" w:hAnsi="Calibri" w:cs="Calibri"/>
                <w:color w:val="000000" w:themeColor="text1"/>
              </w:rPr>
              <w:t>M</w:t>
            </w:r>
            <w:r w:rsidRPr="035B1CD3">
              <w:rPr>
                <w:rFonts w:ascii="Calibri" w:hAnsi="Calibri" w:cs="Calibri"/>
                <w:color w:val="000000" w:themeColor="text1"/>
              </w:rPr>
              <w:t>edian</w:t>
            </w:r>
            <w:r w:rsidRPr="035B1CD3" w:rsidR="22F462E6">
              <w:rPr>
                <w:rFonts w:ascii="Calibri" w:hAnsi="Calibri" w:cs="Calibri"/>
                <w:color w:val="000000" w:themeColor="text1"/>
              </w:rPr>
              <w:t xml:space="preserve">: </w:t>
            </w:r>
            <w:r w:rsidRPr="035B1CD3">
              <w:rPr>
                <w:rFonts w:ascii="Calibri" w:hAnsi="Calibri" w:cs="Calibri"/>
                <w:color w:val="000000" w:themeColor="text1"/>
              </w:rPr>
              <w:t>17</w:t>
            </w:r>
            <w:r w:rsidRPr="035B1CD3" w:rsidR="001D1BA1">
              <w:rPr>
                <w:rFonts w:ascii="Calibri" w:hAnsi="Calibri" w:cs="Calibri"/>
                <w:color w:val="000000" w:themeColor="text1"/>
              </w:rPr>
              <w:t xml:space="preserve"> years.</w:t>
            </w:r>
          </w:p>
          <w:p w:rsidR="00C56EBE" w:rsidP="00776F91" w:rsidRDefault="00C56EBE" w14:paraId="2B311F79" w14:textId="77777777"/>
        </w:tc>
        <w:tc>
          <w:tcPr>
            <w:tcW w:w="1577" w:type="dxa"/>
            <w:tcMar/>
          </w:tcPr>
          <w:p w:rsidR="004E176F" w:rsidP="00081A9D" w:rsidRDefault="00445F25" w14:paraId="45259A12" w14:textId="77777777">
            <w:r>
              <w:t>Admissions &lt;24 hours</w:t>
            </w:r>
          </w:p>
          <w:p w:rsidR="00445F25" w:rsidP="00081A9D" w:rsidRDefault="008C6AEB" w14:paraId="16913595" w14:textId="6243BD75">
            <w:r>
              <w:t>Interhospital transfers between the sites</w:t>
            </w:r>
          </w:p>
        </w:tc>
        <w:tc>
          <w:tcPr>
            <w:tcW w:w="1587" w:type="dxa"/>
            <w:tcMar/>
          </w:tcPr>
          <w:p w:rsidRPr="00FC72E0" w:rsidR="00C1773B" w:rsidP="00C1773B" w:rsidRDefault="00896C7F" w14:paraId="50F8728B" w14:textId="3FED4B02">
            <w:r>
              <w:t>Init</w:t>
            </w:r>
            <w:r w:rsidR="00130E28">
              <w:t>ial</w:t>
            </w:r>
            <w:r w:rsidR="004073F3">
              <w:t xml:space="preserve"> </w:t>
            </w:r>
            <w:r w:rsidR="00313BCE">
              <w:t xml:space="preserve">median </w:t>
            </w:r>
            <w:r w:rsidR="004073F3">
              <w:t>rate</w:t>
            </w:r>
            <w:r w:rsidR="00313BCE">
              <w:t xml:space="preserve"> 2200(1750-</w:t>
            </w:r>
            <w:r w:rsidR="00C1773B">
              <w:t>2550) kcal.</w:t>
            </w:r>
          </w:p>
          <w:p w:rsidR="00C1773B" w:rsidP="00776F91" w:rsidRDefault="00C1773B" w14:paraId="659A6828" w14:textId="77777777"/>
          <w:p w:rsidR="00313BCE" w:rsidP="00776F91" w:rsidRDefault="00C1773B" w14:paraId="22E67EEA" w14:textId="37432273">
            <w:r>
              <w:t>I</w:t>
            </w:r>
            <w:r w:rsidRPr="00FC72E0" w:rsidR="00FC72E0">
              <w:t xml:space="preserve">ncreased by </w:t>
            </w:r>
            <w:r w:rsidR="004073F3">
              <w:t>250</w:t>
            </w:r>
            <w:r w:rsidR="00313BCE">
              <w:t xml:space="preserve"> (250-</w:t>
            </w:r>
            <w:r>
              <w:t>294) kcal</w:t>
            </w:r>
            <w:r w:rsidR="00313BCE">
              <w:t xml:space="preserve"> in </w:t>
            </w:r>
            <w:r>
              <w:t xml:space="preserve">the academic centre and 305(250-525) kcal in the community hospital </w:t>
            </w:r>
            <w:r w:rsidR="004073F3">
              <w:t>per day</w:t>
            </w:r>
            <w:r w:rsidR="00313BCE">
              <w:t>.</w:t>
            </w:r>
          </w:p>
          <w:p w:rsidR="00C1773B" w:rsidP="00776F91" w:rsidRDefault="00C1773B" w14:paraId="1EF86800" w14:textId="77777777"/>
          <w:p w:rsidR="004E176F" w:rsidP="00776F91" w:rsidRDefault="00313BCE" w14:paraId="5BC159B0" w14:textId="5452A0F8">
            <w:r>
              <w:t>W</w:t>
            </w:r>
            <w:r w:rsidRPr="00FC72E0" w:rsidR="00FC72E0">
              <w:t>eight gain goal of 0.2kg/day.</w:t>
            </w:r>
          </w:p>
        </w:tc>
        <w:tc>
          <w:tcPr>
            <w:tcW w:w="3094" w:type="dxa"/>
            <w:tcMar/>
          </w:tcPr>
          <w:p w:rsidR="00FE5CE6" w:rsidP="00510E66" w:rsidRDefault="002B1F9B" w14:paraId="4D2E88AD" w14:textId="7D54F7E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35B1CD3">
              <w:rPr>
                <w:rFonts w:ascii="Calibri" w:hAnsi="Calibri" w:cs="Calibri"/>
                <w:color w:val="000000" w:themeColor="text1"/>
              </w:rPr>
              <w:t>Hy</w:t>
            </w:r>
            <w:r w:rsidRPr="035B1CD3" w:rsidR="0003259D">
              <w:rPr>
                <w:rFonts w:ascii="Calibri" w:hAnsi="Calibri" w:cs="Calibri"/>
                <w:color w:val="000000" w:themeColor="text1"/>
              </w:rPr>
              <w:t>pophosphataemia</w:t>
            </w:r>
            <w:proofErr w:type="spellEnd"/>
            <w:r w:rsidRPr="035B1CD3" w:rsidR="0003259D">
              <w:rPr>
                <w:rFonts w:ascii="Calibri" w:hAnsi="Calibri" w:cs="Calibri"/>
                <w:color w:val="000000" w:themeColor="text1"/>
              </w:rPr>
              <w:t xml:space="preserve"> defined as </w:t>
            </w:r>
            <w:r w:rsidRPr="035B1CD3" w:rsidR="00693851">
              <w:rPr>
                <w:rFonts w:ascii="Calibri" w:hAnsi="Calibri" w:cs="Calibri"/>
                <w:color w:val="000000" w:themeColor="text1"/>
              </w:rPr>
              <w:t>&lt;2.5mg/dL</w:t>
            </w:r>
          </w:p>
          <w:p w:rsidR="00437776" w:rsidP="00510E66" w:rsidRDefault="00437776" w14:paraId="0288DB34" w14:textId="3FB7C82A">
            <w:pPr>
              <w:rPr>
                <w:rFonts w:ascii="Calibri" w:hAnsi="Calibri" w:cs="Calibri"/>
                <w:color w:val="000000"/>
              </w:rPr>
            </w:pPr>
            <w:r w:rsidRPr="035B1CD3">
              <w:rPr>
                <w:rFonts w:ascii="Calibri" w:hAnsi="Calibri" w:cs="Calibri"/>
                <w:color w:val="000000" w:themeColor="text1"/>
              </w:rPr>
              <w:t>Hypomagnes</w:t>
            </w:r>
            <w:r w:rsidRPr="035B1CD3" w:rsidR="000979FB">
              <w:rPr>
                <w:rFonts w:ascii="Calibri" w:hAnsi="Calibri" w:cs="Calibri"/>
                <w:color w:val="000000" w:themeColor="text1"/>
              </w:rPr>
              <w:t>a</w:t>
            </w:r>
            <w:r w:rsidRPr="035B1CD3">
              <w:rPr>
                <w:rFonts w:ascii="Calibri" w:hAnsi="Calibri" w:cs="Calibri"/>
                <w:color w:val="000000" w:themeColor="text1"/>
              </w:rPr>
              <w:t>emia defined as &lt;1.7mg/dL</w:t>
            </w:r>
          </w:p>
          <w:p w:rsidR="00437776" w:rsidP="00510E66" w:rsidRDefault="00437776" w14:paraId="422E3AF6" w14:textId="0886CC5A">
            <w:pPr>
              <w:rPr>
                <w:rFonts w:ascii="Calibri" w:hAnsi="Calibri" w:cs="Calibri"/>
                <w:color w:val="000000"/>
              </w:rPr>
            </w:pPr>
            <w:r w:rsidRPr="035B1CD3">
              <w:rPr>
                <w:rFonts w:ascii="Calibri" w:hAnsi="Calibri" w:cs="Calibri"/>
                <w:color w:val="000000" w:themeColor="text1"/>
              </w:rPr>
              <w:t xml:space="preserve">Hypokalaemia defined as </w:t>
            </w:r>
            <w:r w:rsidRPr="035B1CD3" w:rsidR="006A1A8B">
              <w:rPr>
                <w:rFonts w:ascii="Calibri" w:hAnsi="Calibri" w:cs="Calibri"/>
                <w:color w:val="000000" w:themeColor="text1"/>
              </w:rPr>
              <w:t>&lt;</w:t>
            </w:r>
            <w:r w:rsidRPr="035B1CD3" w:rsidR="000979FB">
              <w:rPr>
                <w:rFonts w:ascii="Calibri" w:hAnsi="Calibri" w:cs="Calibri"/>
                <w:color w:val="000000" w:themeColor="text1"/>
              </w:rPr>
              <w:t xml:space="preserve">3.5 </w:t>
            </w:r>
            <w:proofErr w:type="spellStart"/>
            <w:r w:rsidRPr="035B1CD3" w:rsidR="000979FB">
              <w:rPr>
                <w:rFonts w:ascii="Calibri" w:hAnsi="Calibri" w:cs="Calibri"/>
                <w:color w:val="000000" w:themeColor="text1"/>
              </w:rPr>
              <w:t>meq</w:t>
            </w:r>
            <w:proofErr w:type="spellEnd"/>
            <w:r w:rsidRPr="035B1CD3" w:rsidR="000979FB">
              <w:rPr>
                <w:rFonts w:ascii="Calibri" w:hAnsi="Calibri" w:cs="Calibri"/>
                <w:color w:val="000000" w:themeColor="text1"/>
              </w:rPr>
              <w:t>/L</w:t>
            </w:r>
          </w:p>
          <w:p w:rsidR="00027DA7" w:rsidP="00510E66" w:rsidRDefault="00027DA7" w14:paraId="414A0BF2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510E66" w:rsidP="00510E66" w:rsidRDefault="00510E66" w14:paraId="7F2035A2" w14:textId="211F69E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 clinical cases of refeeding, 1 patient had hypophosphatemia</w:t>
            </w:r>
          </w:p>
          <w:p w:rsidR="004E176F" w:rsidP="00632396" w:rsidRDefault="004E176F" w14:paraId="239A967F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53" w:type="dxa"/>
            <w:tcMar/>
          </w:tcPr>
          <w:p w:rsidR="00C1773B" w:rsidP="00776F91" w:rsidRDefault="00C1773B" w14:paraId="003F7655" w14:textId="38EB4A95">
            <w:r>
              <w:t xml:space="preserve">Rate of </w:t>
            </w:r>
            <w:proofErr w:type="spellStart"/>
            <w:r>
              <w:t>wt</w:t>
            </w:r>
            <w:proofErr w:type="spellEnd"/>
            <w:r>
              <w:t xml:space="preserve"> gain </w:t>
            </w:r>
            <w:r w:rsidR="001B7496">
              <w:t>0.3 (0.1-0.</w:t>
            </w:r>
            <w:r w:rsidR="008D7D16">
              <w:t>4) kg</w:t>
            </w:r>
            <w:r w:rsidR="00341FD4">
              <w:t xml:space="preserve">/d in </w:t>
            </w:r>
            <w:r w:rsidR="008D7D16">
              <w:t xml:space="preserve">the </w:t>
            </w:r>
            <w:r w:rsidR="00341FD4">
              <w:t xml:space="preserve">academic centre and </w:t>
            </w:r>
            <w:r w:rsidR="008D7D16">
              <w:t xml:space="preserve">0.2 (0.0-0.4) kg/d in </w:t>
            </w:r>
            <w:r w:rsidR="00C14EC3">
              <w:t xml:space="preserve">the </w:t>
            </w:r>
            <w:r w:rsidR="008D7D16">
              <w:t>community hospital</w:t>
            </w:r>
          </w:p>
          <w:p w:rsidR="008D7D16" w:rsidP="00776F91" w:rsidRDefault="008D7D16" w14:paraId="003971A2" w14:textId="77777777"/>
          <w:p w:rsidR="004E176F" w:rsidP="00776F91" w:rsidRDefault="006A0978" w14:paraId="7C8C4CA4" w14:textId="3A6643AF">
            <w:r>
              <w:t>Median</w:t>
            </w:r>
            <w:r w:rsidR="00854941">
              <w:t xml:space="preserve"> LOS was 3 days for both groups</w:t>
            </w:r>
          </w:p>
        </w:tc>
        <w:tc>
          <w:tcPr>
            <w:tcW w:w="2099" w:type="dxa"/>
            <w:tcMar/>
          </w:tcPr>
          <w:p w:rsidR="004E176F" w:rsidP="00776F91" w:rsidRDefault="00BF4927" w14:paraId="7D847DD6" w14:textId="6C316891">
            <w:r>
              <w:t xml:space="preserve">Missed </w:t>
            </w:r>
            <w:r w:rsidR="00AD1E7B">
              <w:t>repeated</w:t>
            </w:r>
            <w:r w:rsidR="00452BDF">
              <w:t xml:space="preserve"> laboratory </w:t>
            </w:r>
            <w:r w:rsidR="00B55656">
              <w:t>studies during admission</w:t>
            </w:r>
            <w:r w:rsidR="008650B4">
              <w:t xml:space="preserve">, likely </w:t>
            </w:r>
            <w:r w:rsidR="00C1773B">
              <w:t>underreported</w:t>
            </w:r>
          </w:p>
          <w:p w:rsidR="005C6D5D" w:rsidP="00776F91" w:rsidRDefault="005C6D5D" w14:paraId="5F490BA6" w14:textId="77777777"/>
          <w:p w:rsidR="005C6D5D" w:rsidP="00776F91" w:rsidRDefault="005C6D5D" w14:paraId="7F309253" w14:textId="77777777">
            <w:r>
              <w:t xml:space="preserve">No weight criteria for </w:t>
            </w:r>
            <w:r w:rsidR="00585ACD">
              <w:t>discharge</w:t>
            </w:r>
          </w:p>
          <w:p w:rsidR="00581494" w:rsidP="00776F91" w:rsidRDefault="00581494" w14:paraId="2D652CDC" w14:textId="49CCD460"/>
        </w:tc>
      </w:tr>
      <w:tr w:rsidR="000F5212" w:rsidTr="2CE3218F" w14:paraId="6C180BBA" w14:textId="77777777">
        <w:tc>
          <w:tcPr>
            <w:tcW w:w="1254" w:type="dxa"/>
            <w:tcMar/>
          </w:tcPr>
          <w:p w:rsidR="00FC1430" w:rsidP="00776F91" w:rsidRDefault="00FC1430" w14:paraId="45A33559" w14:textId="77777777">
            <w:r>
              <w:t>Matthews et al. (2018)</w:t>
            </w:r>
          </w:p>
          <w:p w:rsidR="00FC1430" w:rsidP="00776F91" w:rsidRDefault="00FC1430" w14:paraId="0E7505B8" w14:textId="77777777"/>
          <w:p w:rsidR="00FC1430" w:rsidP="00776F91" w:rsidRDefault="00FC1430" w14:paraId="64CAF510" w14:textId="3A691419">
            <w:r>
              <w:t>Australia</w:t>
            </w:r>
          </w:p>
        </w:tc>
        <w:tc>
          <w:tcPr>
            <w:tcW w:w="1437" w:type="dxa"/>
            <w:tcMar/>
          </w:tcPr>
          <w:p w:rsidR="00FC1430" w:rsidP="00776F91" w:rsidRDefault="00FC1430" w14:paraId="4B3F61FA" w14:textId="109C7B78">
            <w:r>
              <w:t>Retrospective observational</w:t>
            </w:r>
          </w:p>
          <w:p w:rsidR="00FC1430" w:rsidP="00776F91" w:rsidRDefault="00FC1430" w14:paraId="5A08D53C" w14:textId="24E39E5F">
            <w:r>
              <w:t>pre-test-post-test study</w:t>
            </w:r>
          </w:p>
          <w:p w:rsidR="00FC1430" w:rsidP="00776F91" w:rsidRDefault="00FC1430" w14:paraId="7934D6B9" w14:textId="77777777"/>
          <w:p w:rsidR="00FC1430" w:rsidP="00776F91" w:rsidRDefault="00FC1430" w14:paraId="5B000714" w14:textId="07FC8E38">
            <w:r>
              <w:t>Tertiary referral hospital</w:t>
            </w:r>
          </w:p>
          <w:p w:rsidR="00FC1430" w:rsidP="00776F91" w:rsidRDefault="00FC1430" w14:paraId="3294757C" w14:textId="77777777"/>
          <w:p w:rsidR="00FC1430" w:rsidP="00776F91" w:rsidRDefault="00FC1430" w14:paraId="59285960" w14:textId="467F3748"/>
        </w:tc>
        <w:tc>
          <w:tcPr>
            <w:tcW w:w="2084" w:type="dxa"/>
            <w:tcMar/>
          </w:tcPr>
          <w:p w:rsidR="00FC1430" w:rsidP="00776F91" w:rsidRDefault="00FC1430" w14:paraId="0D3DD6FD" w14:textId="7FF55925">
            <w:r>
              <w:t xml:space="preserve">Compare </w:t>
            </w:r>
            <w:r w:rsidR="00D459AB">
              <w:t xml:space="preserve">the </w:t>
            </w:r>
            <w:r>
              <w:t xml:space="preserve">occurrence of RFS in LCR and HCR in medically compromised adult </w:t>
            </w:r>
            <w:r w:rsidR="00D459AB">
              <w:t>ED</w:t>
            </w:r>
            <w:r>
              <w:t xml:space="preserve"> consumers</w:t>
            </w:r>
          </w:p>
        </w:tc>
        <w:tc>
          <w:tcPr>
            <w:tcW w:w="1511" w:type="dxa"/>
            <w:tcMar/>
          </w:tcPr>
          <w:p w:rsidR="00FC1430" w:rsidP="00776F91" w:rsidRDefault="00FC1430" w14:paraId="14B2C0D8" w14:textId="77777777">
            <w:r>
              <w:t>N=119</w:t>
            </w:r>
          </w:p>
          <w:p w:rsidR="00FC1430" w:rsidP="00776F91" w:rsidRDefault="00FC1430" w14:paraId="3E94CBB4" w14:textId="4FCD5E98">
            <w:r>
              <w:br/>
            </w:r>
            <w:r>
              <w:t>Adults &gt;18 years old at the time of inpatient admission with an ED diagnosis</w:t>
            </w:r>
          </w:p>
          <w:p w:rsidR="00FC1430" w:rsidP="00776F91" w:rsidRDefault="00FC1430" w14:paraId="62695991" w14:textId="77777777"/>
          <w:p w:rsidR="00FC1430" w:rsidP="00776F91" w:rsidRDefault="00FC1430" w14:paraId="0EA095C3" w14:textId="326EF0B3">
            <w:r>
              <w:t>Mean Age</w:t>
            </w:r>
            <w:r w:rsidR="13B6EEB8">
              <w:t>:</w:t>
            </w:r>
            <w:r>
              <w:t xml:space="preserve"> 27</w:t>
            </w:r>
            <w:r w:rsidRPr="035B1CD3">
              <w:rPr>
                <w:rFonts w:ascii="Calibri" w:hAnsi="Calibri" w:cs="Calibri"/>
                <w:kern w:val="0"/>
                <w:lang w:bidi="ar-SA"/>
              </w:rPr>
              <w:t>±9 years old</w:t>
            </w:r>
          </w:p>
          <w:p w:rsidR="00FC1430" w:rsidP="00776F91" w:rsidRDefault="00FC1430" w14:paraId="52278366" w14:textId="77777777"/>
          <w:p w:rsidR="00FC1430" w:rsidP="00776F91" w:rsidRDefault="00FC1430" w14:paraId="7BF9ADA9" w14:textId="64734952"/>
        </w:tc>
        <w:tc>
          <w:tcPr>
            <w:tcW w:w="1577" w:type="dxa"/>
            <w:tcMar/>
          </w:tcPr>
          <w:p w:rsidR="00081A9D" w:rsidP="00081A9D" w:rsidRDefault="00081A9D" w14:paraId="35D0BBD0" w14:textId="77777777">
            <w:r>
              <w:t xml:space="preserve">Admitted to ICU </w:t>
            </w:r>
          </w:p>
          <w:p w:rsidR="00081A9D" w:rsidP="00081A9D" w:rsidRDefault="00081A9D" w14:paraId="23C1D90E" w14:textId="77777777">
            <w:r>
              <w:t xml:space="preserve">Renal conditions Pregnant </w:t>
            </w:r>
          </w:p>
          <w:p w:rsidR="00FC1430" w:rsidP="00081A9D" w:rsidRDefault="00081A9D" w14:paraId="10CEFA47" w14:textId="5EB0B44B">
            <w:r>
              <w:t>LOS &lt; 5 days</w:t>
            </w:r>
          </w:p>
        </w:tc>
        <w:tc>
          <w:tcPr>
            <w:tcW w:w="1587" w:type="dxa"/>
            <w:tcMar/>
          </w:tcPr>
          <w:p w:rsidR="00FC1430" w:rsidP="00776F91" w:rsidRDefault="00FC1430" w14:paraId="4830D345" w14:textId="0ADE64D5">
            <w:r>
              <w:t>LCR:</w:t>
            </w:r>
          </w:p>
          <w:p w:rsidR="00FC1430" w:rsidP="00776F91" w:rsidRDefault="00FC1430" w14:paraId="74167CE3" w14:textId="16ECAEBC">
            <w:r>
              <w:t>Initially 1000kcal/d</w:t>
            </w:r>
          </w:p>
          <w:p w:rsidR="00FC1430" w:rsidP="00776F91" w:rsidRDefault="00FC1430" w14:paraId="67527F88" w14:textId="3D81D3E4">
            <w:r>
              <w:t xml:space="preserve">Progressed by 500kcal/d every 3 to 4 days until </w:t>
            </w:r>
            <w:r w:rsidR="00D459AB">
              <w:t xml:space="preserve">the goal rate is </w:t>
            </w:r>
            <w:r>
              <w:t>achieved.</w:t>
            </w:r>
          </w:p>
          <w:p w:rsidR="00FC1430" w:rsidP="00776F91" w:rsidRDefault="00FC1430" w14:paraId="2F19F58D" w14:textId="77777777"/>
          <w:p w:rsidR="00FC1430" w:rsidP="00776F91" w:rsidRDefault="00FC1430" w14:paraId="7E4D40F2" w14:textId="2DD51511">
            <w:r>
              <w:t>Goal rate either individualised or 2400kcal</w:t>
            </w:r>
          </w:p>
          <w:p w:rsidR="00FC1430" w:rsidP="00776F91" w:rsidRDefault="00FC1430" w14:paraId="2C24B082" w14:textId="77777777"/>
          <w:p w:rsidR="00FC1430" w:rsidP="00776F91" w:rsidRDefault="00FC1430" w14:paraId="4F53040E" w14:textId="08638517">
            <w:r>
              <w:t>HCR:</w:t>
            </w:r>
          </w:p>
          <w:p w:rsidR="00FC1430" w:rsidP="00776F91" w:rsidRDefault="00FC1430" w14:paraId="3F577E4F" w14:textId="681A2E0D">
            <w:r>
              <w:t>Initially 1500kcal/d</w:t>
            </w:r>
          </w:p>
          <w:p w:rsidR="00FC1430" w:rsidP="00776F91" w:rsidRDefault="00FC1430" w14:paraId="34881AEA" w14:textId="2D102318">
            <w:r>
              <w:t xml:space="preserve">Progressed by 500kcal/d every 48hours until </w:t>
            </w:r>
            <w:r w:rsidR="00D459AB">
              <w:t xml:space="preserve">the </w:t>
            </w:r>
            <w:r>
              <w:t xml:space="preserve">standardised goal rate </w:t>
            </w:r>
            <w:r w:rsidR="00D459AB">
              <w:t xml:space="preserve">of </w:t>
            </w:r>
            <w:r>
              <w:t xml:space="preserve">3000kcal/d </w:t>
            </w:r>
            <w:r w:rsidR="00D459AB">
              <w:t xml:space="preserve">was </w:t>
            </w:r>
            <w:r>
              <w:t>reached</w:t>
            </w:r>
          </w:p>
        </w:tc>
        <w:tc>
          <w:tcPr>
            <w:tcW w:w="3094" w:type="dxa"/>
            <w:tcMar/>
          </w:tcPr>
          <w:p w:rsidR="00632396" w:rsidP="00632396" w:rsidRDefault="00632396" w14:paraId="62FCEB19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 incidence RFS was reported in either group.</w:t>
            </w:r>
          </w:p>
          <w:p w:rsidR="00FC1430" w:rsidP="00776F91" w:rsidRDefault="00FC1430" w14:paraId="16C0487D" w14:textId="77777777"/>
          <w:p w:rsidR="00B314BA" w:rsidP="00B314BA" w:rsidRDefault="00B314BA" w14:paraId="69A9A7E4" w14:textId="77777777">
            <w:r>
              <w:t>Hypophosphatemia</w:t>
            </w:r>
          </w:p>
          <w:p w:rsidR="00B314BA" w:rsidP="00B314BA" w:rsidRDefault="00B314BA" w14:paraId="2C9AD6C8" w14:textId="77777777">
            <w:r>
              <w:t>Definitions</w:t>
            </w:r>
          </w:p>
          <w:p w:rsidR="00B314BA" w:rsidP="00B314BA" w:rsidRDefault="00B314BA" w14:paraId="4B2E8149" w14:textId="77777777">
            <w:r>
              <w:t>Present: &lt;0.81mmol/L</w:t>
            </w:r>
          </w:p>
          <w:p w:rsidR="00B314BA" w:rsidP="00B314BA" w:rsidRDefault="00B314BA" w14:paraId="5222A410" w14:textId="77777777">
            <w:r>
              <w:t>Mild: &lt;0.68mmmol/L</w:t>
            </w:r>
          </w:p>
          <w:p w:rsidR="00B314BA" w:rsidP="00B314BA" w:rsidRDefault="00B314BA" w14:paraId="3F541AFA" w14:textId="15FCCBC9">
            <w:r>
              <w:t>Critical: &lt;0.32mmol/L</w:t>
            </w:r>
          </w:p>
        </w:tc>
        <w:tc>
          <w:tcPr>
            <w:tcW w:w="1553" w:type="dxa"/>
            <w:tcMar/>
          </w:tcPr>
          <w:p w:rsidR="00FC1430" w:rsidP="00776F91" w:rsidRDefault="00FC1430" w14:paraId="43FBB28F" w14:textId="79CB5E45">
            <w:r>
              <w:t>Admission BMI 14.9</w:t>
            </w:r>
            <w:r w:rsidRPr="00DD320B">
              <w:rPr>
                <w:rFonts w:ascii="Calibri" w:hAnsi="Calibri" w:cs="Calibri"/>
                <w:kern w:val="0"/>
                <w:szCs w:val="22"/>
                <w:lang w:bidi="ar-SA"/>
              </w:rPr>
              <w:t>±</w:t>
            </w:r>
            <w:r>
              <w:t xml:space="preserve">2.6 in LCR and </w:t>
            </w:r>
            <w:r w:rsidR="00C14EC3">
              <w:t>17.2±3.0</w:t>
            </w:r>
            <w:r>
              <w:t xml:space="preserve"> in HCR</w:t>
            </w:r>
          </w:p>
          <w:p w:rsidR="00C015CF" w:rsidP="00C015CF" w:rsidRDefault="00C015CF" w14:paraId="06C139DE" w14:textId="77777777"/>
          <w:p w:rsidR="00C015CF" w:rsidP="00C015CF" w:rsidRDefault="00C015CF" w14:paraId="3DD59B4B" w14:textId="49761D2E">
            <w:r>
              <w:t>Patients gained</w:t>
            </w:r>
            <w:r w:rsidR="006141C3">
              <w:t xml:space="preserve"> </w:t>
            </w:r>
            <w:r w:rsidR="006D793E">
              <w:t>1.8</w:t>
            </w:r>
            <w:r w:rsidR="006D793E">
              <w:rPr>
                <w:rFonts w:cstheme="minorHAnsi"/>
              </w:rPr>
              <w:t>±2.4kg with LCR</w:t>
            </w:r>
            <w:r w:rsidR="00CA30E1">
              <w:rPr>
                <w:rFonts w:cstheme="minorHAnsi"/>
              </w:rPr>
              <w:t xml:space="preserve"> and 2.3±2.3 </w:t>
            </w:r>
            <w:r w:rsidR="00C16C3A">
              <w:rPr>
                <w:rFonts w:cstheme="minorHAnsi"/>
              </w:rPr>
              <w:t>HCR</w:t>
            </w:r>
            <w:r w:rsidR="00C16C3A">
              <w:t xml:space="preserve"> during</w:t>
            </w:r>
            <w:r>
              <w:t xml:space="preserve"> acute admission.</w:t>
            </w:r>
          </w:p>
          <w:p w:rsidR="00C015CF" w:rsidP="00C015CF" w:rsidRDefault="00C015CF" w14:paraId="46B35514" w14:textId="77777777"/>
          <w:p w:rsidR="00C015CF" w:rsidP="00C015CF" w:rsidRDefault="00697435" w14:paraId="68D3A905" w14:textId="6D323BB9">
            <w:r>
              <w:t>Length of stay or w</w:t>
            </w:r>
            <w:r w:rsidR="00C015CF">
              <w:t>eight gain did not reach significance between groups</w:t>
            </w:r>
          </w:p>
          <w:p w:rsidR="00C015CF" w:rsidP="00776F91" w:rsidRDefault="00C015CF" w14:paraId="647D59D9" w14:textId="5C979C4D"/>
        </w:tc>
        <w:tc>
          <w:tcPr>
            <w:tcW w:w="2099" w:type="dxa"/>
            <w:tcMar/>
          </w:tcPr>
          <w:p w:rsidR="00FC1430" w:rsidP="00776F91" w:rsidRDefault="00FC1430" w14:paraId="19D98482" w14:textId="0B11E9C2">
            <w:r>
              <w:t xml:space="preserve">Improved adherence in HCR protocol compared to LCR* </w:t>
            </w:r>
          </w:p>
          <w:p w:rsidR="00FC1430" w:rsidP="00776F91" w:rsidRDefault="00FC1430" w14:paraId="6E859ABD" w14:textId="77777777"/>
          <w:p w:rsidR="00FC1430" w:rsidP="00776F91" w:rsidRDefault="00FC1430" w14:paraId="37ECC7AD" w14:textId="3B2A11C9"/>
        </w:tc>
      </w:tr>
      <w:tr w:rsidR="00FC19DD" w:rsidTr="2CE3218F" w14:paraId="36EB1A49" w14:textId="77777777">
        <w:tc>
          <w:tcPr>
            <w:tcW w:w="1254" w:type="dxa"/>
            <w:tcMar/>
          </w:tcPr>
          <w:p w:rsidR="000C18A3" w:rsidP="000C18A3" w:rsidRDefault="000C18A3" w14:paraId="67C84D76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Dalenbrook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et al. (2020)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>Germany</w:t>
            </w:r>
          </w:p>
          <w:p w:rsidR="00FC19DD" w:rsidP="00776F91" w:rsidRDefault="00FC19DD" w14:paraId="74EE170E" w14:textId="77777777"/>
        </w:tc>
        <w:tc>
          <w:tcPr>
            <w:tcW w:w="1437" w:type="dxa"/>
            <w:tcMar/>
          </w:tcPr>
          <w:p w:rsidR="009A38E1" w:rsidP="009A38E1" w:rsidRDefault="00FE2632" w14:paraId="47CF927D" w14:textId="721211E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Single-centre</w:t>
            </w:r>
            <w:r w:rsidR="009A38E1">
              <w:rPr>
                <w:rFonts w:ascii="Calibri" w:hAnsi="Calibri" w:cs="Calibri"/>
                <w:color w:val="000000"/>
                <w:szCs w:val="22"/>
              </w:rPr>
              <w:t xml:space="preserve"> study</w:t>
            </w:r>
          </w:p>
          <w:p w:rsidR="009A38E1" w:rsidP="009A38E1" w:rsidRDefault="009A38E1" w14:paraId="3DCBE3EC" w14:textId="043D897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>Inpatient eating disorder unit</w:t>
            </w:r>
          </w:p>
          <w:p w:rsidR="00FC19DD" w:rsidP="00776F91" w:rsidRDefault="00FC19DD" w14:paraId="6CF76334" w14:textId="77777777"/>
        </w:tc>
        <w:tc>
          <w:tcPr>
            <w:tcW w:w="2084" w:type="dxa"/>
            <w:tcMar/>
          </w:tcPr>
          <w:p w:rsidR="00FE2632" w:rsidP="00FE2632" w:rsidRDefault="00FE2632" w14:paraId="29B5D89A" w14:textId="7A38A86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Assess outcomes of an HCR protocol for adolescents with severe AN treated in a specialist eating disorder hospital</w:t>
            </w:r>
          </w:p>
          <w:p w:rsidR="00FC19DD" w:rsidP="00776F91" w:rsidRDefault="00FC19DD" w14:paraId="69A5AA1D" w14:textId="77777777"/>
        </w:tc>
        <w:tc>
          <w:tcPr>
            <w:tcW w:w="1511" w:type="dxa"/>
            <w:tcMar/>
          </w:tcPr>
          <w:p w:rsidR="00FC19DD" w:rsidP="00776F91" w:rsidRDefault="00B05242" w14:paraId="198F5F26" w14:textId="77777777">
            <w:r>
              <w:t>N=120</w:t>
            </w:r>
          </w:p>
          <w:p w:rsidR="00B05242" w:rsidP="00776F91" w:rsidRDefault="00B05242" w14:paraId="77EEBE86" w14:textId="77777777"/>
          <w:p w:rsidR="00B05242" w:rsidP="00776F91" w:rsidRDefault="00866E9A" w14:paraId="662A8639" w14:textId="77777777">
            <w:r>
              <w:t>12-20 years old</w:t>
            </w:r>
            <w:r w:rsidR="00CB6AE3">
              <w:t xml:space="preserve"> with primary diagnosis </w:t>
            </w:r>
            <w:r w:rsidR="00604FCB">
              <w:t>AN (any type</w:t>
            </w:r>
            <w:r w:rsidR="0017480A">
              <w:t>)</w:t>
            </w:r>
          </w:p>
          <w:p w:rsidR="002C2879" w:rsidP="00776F91" w:rsidRDefault="002C2879" w14:paraId="61C03BF8" w14:textId="77777777">
            <w:r w:rsidRPr="002C2879">
              <w:t xml:space="preserve">BMI &lt; 15 kg/m2 </w:t>
            </w:r>
          </w:p>
          <w:p w:rsidR="00F3157F" w:rsidP="00776F91" w:rsidRDefault="00F3157F" w14:paraId="1CAC4592" w14:textId="77777777"/>
          <w:p w:rsidR="00F3157F" w:rsidP="00776F91" w:rsidRDefault="00F3157F" w14:paraId="137C0DDA" w14:textId="7A0A222D">
            <w:r>
              <w:t>M</w:t>
            </w:r>
            <w:r w:rsidRPr="00F3157F">
              <w:t>ean age</w:t>
            </w:r>
            <w:r w:rsidR="3461494A">
              <w:t>:</w:t>
            </w:r>
            <w:r w:rsidRPr="00F3157F">
              <w:t xml:space="preserve"> 17.3 ± 1.8 years</w:t>
            </w:r>
          </w:p>
        </w:tc>
        <w:tc>
          <w:tcPr>
            <w:tcW w:w="1577" w:type="dxa"/>
            <w:tcMar/>
          </w:tcPr>
          <w:p w:rsidR="00FC19DD" w:rsidP="00776F91" w:rsidRDefault="4B447958" w14:paraId="5A7B923A" w14:textId="651AE77D">
            <w:r>
              <w:t>Pregnancy</w:t>
            </w:r>
          </w:p>
          <w:p w:rsidR="00FC19DD" w:rsidP="3EE8B620" w:rsidRDefault="4B447958" w14:paraId="0F1314A2" w14:textId="612AEE07">
            <w:r>
              <w:t>Bulimia nervosa</w:t>
            </w:r>
          </w:p>
          <w:p w:rsidR="00FC19DD" w:rsidP="00776F91" w:rsidRDefault="0008402B" w14:paraId="192C2C94" w14:textId="69648E27">
            <w:r>
              <w:t>schizophrenia or</w:t>
            </w:r>
            <w:r w:rsidR="4B447958">
              <w:t xml:space="preserve"> psychosis</w:t>
            </w:r>
          </w:p>
        </w:tc>
        <w:tc>
          <w:tcPr>
            <w:tcW w:w="1587" w:type="dxa"/>
            <w:tcMar/>
          </w:tcPr>
          <w:p w:rsidR="00FC19DD" w:rsidP="00776F91" w:rsidRDefault="4B447958" w14:paraId="3F95C144" w14:textId="77777777">
            <w:r>
              <w:t>Initial = 2000kcal/d</w:t>
            </w:r>
            <w:r w:rsidR="00BF500C">
              <w:t xml:space="preserve"> for all patients</w:t>
            </w:r>
          </w:p>
          <w:p w:rsidR="009D5CA3" w:rsidP="00776F91" w:rsidRDefault="009D5CA3" w14:paraId="58C034A9" w14:textId="77777777"/>
          <w:p w:rsidR="009D5CA3" w:rsidP="00776F91" w:rsidRDefault="009D5CA3" w14:paraId="4EB6EF13" w14:textId="2480BB2B">
            <w:r>
              <w:t xml:space="preserve">Aim </w:t>
            </w:r>
            <w:r w:rsidR="00011E59">
              <w:t>for 700-1000g</w:t>
            </w:r>
            <w:r w:rsidR="00460BBD">
              <w:t xml:space="preserve"> weight gain/</w:t>
            </w:r>
            <w:proofErr w:type="spellStart"/>
            <w:r w:rsidR="00460BBD">
              <w:t>wk</w:t>
            </w:r>
            <w:proofErr w:type="spellEnd"/>
          </w:p>
        </w:tc>
        <w:tc>
          <w:tcPr>
            <w:tcW w:w="3094" w:type="dxa"/>
            <w:tcMar/>
          </w:tcPr>
          <w:p w:rsidRPr="70414F95" w:rsidR="05ACE33C" w:rsidP="70414F95" w:rsidRDefault="00FB4371" w14:paraId="02F52319" w14:textId="456539E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0FB4371">
              <w:rPr>
                <w:rFonts w:ascii="Calibri" w:hAnsi="Calibri" w:eastAsia="Calibri" w:cs="Calibri"/>
                <w:color w:val="000000" w:themeColor="text1"/>
              </w:rPr>
              <w:t>No incidence of refeeding syndrome</w:t>
            </w:r>
            <w:r>
              <w:rPr>
                <w:rFonts w:ascii="Calibri" w:hAnsi="Calibri" w:eastAsia="Calibri" w:cs="Calibri"/>
                <w:color w:val="000000" w:themeColor="text1"/>
              </w:rPr>
              <w:br/>
            </w:r>
            <w:r>
              <w:rPr>
                <w:rFonts w:ascii="Calibri" w:hAnsi="Calibri" w:eastAsia="Calibri" w:cs="Calibri"/>
                <w:color w:val="000000" w:themeColor="text1"/>
              </w:rPr>
              <w:br/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>RFS</w:t>
            </w:r>
            <w:r w:rsidR="00371C11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 based </w:t>
            </w:r>
            <w:r w:rsidR="00404290">
              <w:rPr>
                <w:rFonts w:ascii="Calibri" w:hAnsi="Calibri" w:eastAsia="Calibri" w:cs="Calibri"/>
                <w:color w:val="000000" w:themeColor="text1"/>
              </w:rPr>
              <w:t>on</w:t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 Rio et al., </w:t>
            </w:r>
            <w:r w:rsidR="00371C11">
              <w:rPr>
                <w:rFonts w:ascii="Calibri" w:hAnsi="Calibri" w:eastAsia="Calibri" w:cs="Calibri"/>
                <w:color w:val="000000" w:themeColor="text1"/>
              </w:rPr>
              <w:t xml:space="preserve">is </w:t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defined as all </w:t>
            </w:r>
            <w:r w:rsidRPr="70414F95" w:rsidR="2CDF6354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following </w:t>
            </w:r>
            <w:r w:rsidRPr="70414F95" w:rsidR="00414BE4">
              <w:rPr>
                <w:rFonts w:ascii="Calibri" w:hAnsi="Calibri" w:eastAsia="Calibri" w:cs="Calibri"/>
                <w:color w:val="000000" w:themeColor="text1"/>
              </w:rPr>
              <w:t>criteria:</w:t>
            </w:r>
            <w:r w:rsidR="05ACE33C">
              <w:br/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 Critically low serum </w:t>
            </w:r>
            <w:r w:rsidR="0008402B">
              <w:rPr>
                <w:rFonts w:ascii="Calibri" w:hAnsi="Calibri" w:eastAsia="Calibri" w:cs="Calibri"/>
                <w:color w:val="000000" w:themeColor="text1"/>
              </w:rPr>
              <w:t>electrolyte</w:t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>concentrations</w:t>
            </w:r>
            <w:r w:rsidR="05ACE33C">
              <w:br/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 Potassium &lt;2.5mmol/L</w:t>
            </w:r>
            <w:r w:rsidR="05ACE33C">
              <w:br/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 Phosphate &lt;0.32 mmol/L</w:t>
            </w:r>
            <w:r w:rsidR="05ACE33C">
              <w:br/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 Magnesium &lt;0.50 mmol/L</w:t>
            </w:r>
            <w:r w:rsidR="05ACE33C">
              <w:br/>
            </w:r>
            <w:r w:rsidRPr="70414F95" w:rsidR="05ACE33C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="05ACE33C">
              <w:br/>
            </w:r>
            <w:r w:rsidR="00037911">
              <w:rPr>
                <w:rFonts w:ascii="Calibri" w:hAnsi="Calibri" w:eastAsia="Calibri" w:cs="Calibri"/>
                <w:color w:val="000000" w:themeColor="text1"/>
                <w:szCs w:val="22"/>
              </w:rPr>
              <w:t>F</w:t>
            </w:r>
            <w:r w:rsidRPr="70414F95" w:rsidR="259511C3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ocused on serum phosphate </w:t>
            </w:r>
            <w:r w:rsidRPr="70414F95" w:rsidR="0E80E84B">
              <w:rPr>
                <w:rFonts w:ascii="Calibri" w:hAnsi="Calibri" w:eastAsia="Calibri" w:cs="Calibri"/>
                <w:color w:val="000000" w:themeColor="text1"/>
                <w:szCs w:val="22"/>
              </w:rPr>
              <w:t>concentrations</w:t>
            </w:r>
            <w:r w:rsidRPr="70414F95" w:rsidR="259511C3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as</w:t>
            </w:r>
            <w:r w:rsidRPr="70414F95" w:rsidR="4F5117F5">
              <w:rPr>
                <w:rFonts w:ascii="Calibri" w:hAnsi="Calibri" w:eastAsia="Calibri" w:cs="Calibri"/>
                <w:color w:val="000000" w:themeColor="text1"/>
                <w:szCs w:val="22"/>
              </w:rPr>
              <w:t xml:space="preserve"> an indicator of impending </w:t>
            </w:r>
            <w:r w:rsidR="00EA6CEF">
              <w:rPr>
                <w:rFonts w:ascii="Calibri" w:hAnsi="Calibri" w:eastAsia="Calibri" w:cs="Calibri"/>
                <w:color w:val="000000" w:themeColor="text1"/>
                <w:szCs w:val="22"/>
              </w:rPr>
              <w:t>refeeding syndrome</w:t>
            </w:r>
          </w:p>
        </w:tc>
        <w:tc>
          <w:tcPr>
            <w:tcW w:w="1553" w:type="dxa"/>
            <w:tcMar/>
          </w:tcPr>
          <w:p w:rsidR="00081F72" w:rsidP="00776F91" w:rsidRDefault="00BA4BD7" w14:paraId="439DB7C9" w14:textId="77777777">
            <w:r w:rsidRPr="00BA4BD7">
              <w:t>Baseline 35.6kg (</w:t>
            </w:r>
            <w:r w:rsidR="00081F72">
              <w:rPr>
                <w:rFonts w:cstheme="minorHAnsi"/>
              </w:rPr>
              <w:t>±</w:t>
            </w:r>
            <w:r w:rsidRPr="00BA4BD7">
              <w:t xml:space="preserve"> 4.0</w:t>
            </w:r>
            <w:r w:rsidR="00081F72">
              <w:t>kg</w:t>
            </w:r>
            <w:r w:rsidRPr="00BA4BD7">
              <w:t xml:space="preserve">), </w:t>
            </w:r>
          </w:p>
          <w:p w:rsidR="00BA4BD7" w:rsidP="00776F91" w:rsidRDefault="00BA4BD7" w14:paraId="6B9A8037" w14:textId="6722F855">
            <w:r w:rsidRPr="00BA4BD7">
              <w:t>Day 28 38.6kg (</w:t>
            </w:r>
            <w:r w:rsidR="00081F72">
              <w:rPr>
                <w:rFonts w:cstheme="minorHAnsi"/>
              </w:rPr>
              <w:t>±</w:t>
            </w:r>
            <w:r w:rsidRPr="00BA4BD7">
              <w:t xml:space="preserve"> 4.2</w:t>
            </w:r>
            <w:r w:rsidR="00081F72">
              <w:t>kg</w:t>
            </w:r>
            <w:r w:rsidRPr="00BA4BD7">
              <w:t>)</w:t>
            </w:r>
          </w:p>
          <w:p w:rsidR="00BA4BD7" w:rsidP="00776F91" w:rsidRDefault="00BA4BD7" w14:paraId="50DEEDF2" w14:textId="77777777"/>
          <w:p w:rsidR="00FC19DD" w:rsidP="00776F91" w:rsidRDefault="004A4A0D" w14:paraId="556DF0B8" w14:textId="77777777">
            <w:r w:rsidRPr="004A4A0D">
              <w:t>Average of 3kg weight gain over 28 days</w:t>
            </w:r>
          </w:p>
          <w:p w:rsidR="00AF425E" w:rsidP="00776F91" w:rsidRDefault="00AF425E" w14:paraId="46FDD022" w14:textId="77777777"/>
          <w:p w:rsidR="00AF425E" w:rsidP="00776F91" w:rsidRDefault="00AF425E" w14:paraId="7F106552" w14:textId="77777777">
            <w:r>
              <w:t xml:space="preserve">LOS </w:t>
            </w:r>
            <w:r w:rsidRPr="00AF425E">
              <w:t xml:space="preserve">38.4 (SD </w:t>
            </w:r>
            <w:r w:rsidR="00EA6CEF">
              <w:rPr>
                <w:rFonts w:cstheme="minorHAnsi"/>
              </w:rPr>
              <w:t>±</w:t>
            </w:r>
            <w:r w:rsidRPr="00AF425E">
              <w:t xml:space="preserve"> 28.4) days</w:t>
            </w:r>
          </w:p>
          <w:p w:rsidR="009C468E" w:rsidP="00776F91" w:rsidRDefault="009C468E" w14:paraId="6C108662" w14:textId="77777777"/>
          <w:p w:rsidR="001A3823" w:rsidP="00776F91" w:rsidRDefault="007B51E2" w14:paraId="56EA499B" w14:textId="777321CF">
            <w:r>
              <w:t>Mean BMI at baseline 13.1</w:t>
            </w:r>
            <w:r>
              <w:rPr>
                <w:rFonts w:cstheme="minorHAnsi"/>
              </w:rPr>
              <w:t>±1.1</w:t>
            </w:r>
            <w:r w:rsidR="00B256A2">
              <w:rPr>
                <w:rFonts w:cstheme="minorHAnsi"/>
              </w:rPr>
              <w:t>kg/m</w:t>
            </w:r>
            <w:r w:rsidRPr="003833A3" w:rsidR="00B256A2">
              <w:rPr>
                <w:rFonts w:cstheme="minorHAnsi"/>
                <w:vertAlign w:val="superscript"/>
              </w:rPr>
              <w:t>2</w:t>
            </w:r>
            <w:r w:rsidR="006C4C18">
              <w:rPr>
                <w:rFonts w:cstheme="minorHAnsi"/>
              </w:rPr>
              <w:t xml:space="preserve"> to 16.7±1.8</w:t>
            </w:r>
            <w:r w:rsidR="00B256A2">
              <w:rPr>
                <w:rFonts w:cstheme="minorHAnsi"/>
              </w:rPr>
              <w:t>kg/m</w:t>
            </w:r>
            <w:r w:rsidRPr="003833A3" w:rsidR="00B256A2">
              <w:rPr>
                <w:rFonts w:cstheme="minorHAnsi"/>
                <w:vertAlign w:val="superscript"/>
              </w:rPr>
              <w:t>2</w:t>
            </w:r>
            <w:r w:rsidR="006C4C18">
              <w:rPr>
                <w:rFonts w:cstheme="minorHAnsi"/>
              </w:rPr>
              <w:t xml:space="preserve"> at discharge</w:t>
            </w:r>
            <w:r w:rsidR="00B579A6">
              <w:rPr>
                <w:rFonts w:cstheme="minorHAnsi"/>
              </w:rPr>
              <w:t>*</w:t>
            </w:r>
          </w:p>
          <w:p w:rsidR="009C468E" w:rsidP="00776F91" w:rsidRDefault="009C468E" w14:paraId="71777A87" w14:textId="68149369"/>
        </w:tc>
        <w:tc>
          <w:tcPr>
            <w:tcW w:w="2099" w:type="dxa"/>
            <w:tcMar/>
          </w:tcPr>
          <w:p w:rsidR="00FC19DD" w:rsidP="00776F91" w:rsidRDefault="00E54385" w14:paraId="0FA48E13" w14:textId="6F2C6C23">
            <w:r w:rsidRPr="00E54385">
              <w:t xml:space="preserve">HCR was not associated with refeeding even in </w:t>
            </w:r>
            <w:r w:rsidR="008F64D1">
              <w:t>severely</w:t>
            </w:r>
            <w:r w:rsidRPr="00E54385">
              <w:t xml:space="preserve"> malnourished adolescents with AN</w:t>
            </w:r>
          </w:p>
        </w:tc>
      </w:tr>
      <w:tr w:rsidR="000F5212" w:rsidTr="2CE3218F" w14:paraId="436E1816" w14:textId="77777777">
        <w:tc>
          <w:tcPr>
            <w:tcW w:w="1254" w:type="dxa"/>
            <w:tcMar/>
          </w:tcPr>
          <w:p w:rsidR="00FC1430" w:rsidP="00776F91" w:rsidRDefault="00FC1430" w14:paraId="26778B28" w14:textId="77777777">
            <w:r>
              <w:t>Gibson et al. (2020)</w:t>
            </w:r>
          </w:p>
          <w:p w:rsidR="00FC1430" w:rsidP="00776F91" w:rsidRDefault="00FC1430" w14:paraId="662E5850" w14:textId="77777777"/>
          <w:p w:rsidR="00FC1430" w:rsidP="00776F91" w:rsidRDefault="00FC1430" w14:paraId="7186C418" w14:textId="1AFEE442">
            <w:r>
              <w:t>USA</w:t>
            </w:r>
          </w:p>
        </w:tc>
        <w:tc>
          <w:tcPr>
            <w:tcW w:w="1437" w:type="dxa"/>
            <w:tcMar/>
          </w:tcPr>
          <w:p w:rsidR="00FC1430" w:rsidP="00776F91" w:rsidRDefault="00FC1430" w14:paraId="78F86CA7" w14:textId="7F979F08">
            <w:r>
              <w:t>Retrospective chart review</w:t>
            </w:r>
          </w:p>
          <w:p w:rsidR="003871C5" w:rsidP="00776F91" w:rsidRDefault="003871C5" w14:paraId="0A5E01FD" w14:textId="77777777"/>
          <w:p w:rsidR="003871C5" w:rsidP="00776F91" w:rsidRDefault="003871C5" w14:paraId="4AEAE788" w14:textId="73AEC095">
            <w:r w:rsidRPr="003871C5">
              <w:t>Inpatient eating disorder unit</w:t>
            </w:r>
          </w:p>
          <w:p w:rsidR="00FC1430" w:rsidP="00776F91" w:rsidRDefault="00FC1430" w14:paraId="5A1DD1B7" w14:textId="498B8F95"/>
        </w:tc>
        <w:tc>
          <w:tcPr>
            <w:tcW w:w="2084" w:type="dxa"/>
            <w:tcMar/>
          </w:tcPr>
          <w:p w:rsidR="00FC1430" w:rsidP="00776F91" w:rsidRDefault="00FC1430" w14:paraId="3EF2DD54" w14:textId="773CC94A">
            <w:r>
              <w:t>Evaluation of medical complications observed in patients with extreme AN</w:t>
            </w:r>
          </w:p>
        </w:tc>
        <w:tc>
          <w:tcPr>
            <w:tcW w:w="1511" w:type="dxa"/>
            <w:tcMar/>
          </w:tcPr>
          <w:p w:rsidR="00FC1430" w:rsidP="00776F91" w:rsidRDefault="00FC1430" w14:paraId="7E8BE24C" w14:textId="0F655ECF">
            <w:r>
              <w:t>N=281</w:t>
            </w:r>
          </w:p>
          <w:p w:rsidR="006B06C3" w:rsidP="00776F91" w:rsidRDefault="006B06C3" w14:paraId="0883500D" w14:textId="77777777"/>
          <w:p w:rsidR="006B06C3" w:rsidP="006B06C3" w:rsidRDefault="006B06C3" w14:paraId="3C0E160F" w14:textId="163F3082">
            <w:r>
              <w:t>Age</w:t>
            </w:r>
            <w:r w:rsidR="0E98F5EB">
              <w:t xml:space="preserve"> – R</w:t>
            </w:r>
            <w:r>
              <w:t>ange</w:t>
            </w:r>
            <w:r w:rsidR="7A21DD5D">
              <w:t>:</w:t>
            </w:r>
            <w:r>
              <w:t xml:space="preserve"> 18-66 years</w:t>
            </w:r>
            <w:r w:rsidR="796584CD">
              <w:t>.</w:t>
            </w:r>
            <w:r>
              <w:t xml:space="preserve">  </w:t>
            </w:r>
            <w:r w:rsidR="0434C34D">
              <w:t>M</w:t>
            </w:r>
            <w:r>
              <w:t>edian</w:t>
            </w:r>
            <w:r w:rsidR="3C97E045">
              <w:t xml:space="preserve">: </w:t>
            </w:r>
            <w:r>
              <w:t>28 years</w:t>
            </w:r>
          </w:p>
          <w:p w:rsidR="006B06C3" w:rsidP="00776F91" w:rsidRDefault="006B06C3" w14:paraId="2B7B80EF" w14:textId="77777777"/>
          <w:p w:rsidR="00FC1430" w:rsidP="00776F91" w:rsidRDefault="00FC1430" w14:paraId="5FB73CD4" w14:textId="18F40A0C">
            <w:r>
              <w:t>Weighed &lt; 65% I</w:t>
            </w:r>
            <w:r w:rsidR="006B06C3">
              <w:t xml:space="preserve">deal </w:t>
            </w:r>
            <w:r>
              <w:t>B</w:t>
            </w:r>
            <w:r w:rsidR="006B06C3">
              <w:t xml:space="preserve">ody </w:t>
            </w:r>
            <w:r>
              <w:t>W</w:t>
            </w:r>
            <w:r w:rsidR="006B06C3">
              <w:t>eight (IBW)</w:t>
            </w:r>
          </w:p>
          <w:p w:rsidR="00FC1430" w:rsidP="00776F91" w:rsidRDefault="00FC1430" w14:paraId="31CC21F7" w14:textId="77777777"/>
          <w:p w:rsidR="006B06C3" w:rsidP="006B06C3" w:rsidRDefault="00FC1430" w14:paraId="5C651BED" w14:textId="2FCC5D8E">
            <w:r>
              <w:br/>
            </w:r>
          </w:p>
          <w:p w:rsidR="00FC1430" w:rsidP="00776F91" w:rsidRDefault="00FC1430" w14:paraId="45034334" w14:textId="11593B7F"/>
        </w:tc>
        <w:tc>
          <w:tcPr>
            <w:tcW w:w="1577" w:type="dxa"/>
            <w:tcMar/>
          </w:tcPr>
          <w:p w:rsidR="007A24F5" w:rsidP="007A24F5" w:rsidRDefault="007A24F5" w14:paraId="5D840029" w14:textId="77777777">
            <w:r>
              <w:t>Hospitalised for &lt; 72 hours</w:t>
            </w:r>
          </w:p>
          <w:p w:rsidR="00FC1430" w:rsidP="007A24F5" w:rsidRDefault="007A24F5" w14:paraId="7E11FA18" w14:textId="2C070AF3">
            <w:r>
              <w:t>&gt;65% IBW on admission</w:t>
            </w:r>
          </w:p>
        </w:tc>
        <w:tc>
          <w:tcPr>
            <w:tcW w:w="1587" w:type="dxa"/>
            <w:tcMar/>
          </w:tcPr>
          <w:p w:rsidR="00FC1430" w:rsidP="00776F91" w:rsidRDefault="00FC1430" w14:paraId="493A95F6" w14:textId="0CF715F4">
            <w:r>
              <w:t xml:space="preserve">Initial caloric intake ranged 800-2450kcal/d, with an average 1431kcal/d for females and an average 1714kcal/d for males </w:t>
            </w:r>
          </w:p>
          <w:p w:rsidR="00FC1430" w:rsidP="00776F91" w:rsidRDefault="00FC1430" w14:paraId="46EF7632" w14:textId="77777777"/>
          <w:p w:rsidR="00FC1430" w:rsidP="00776F91" w:rsidRDefault="00FC1430" w14:paraId="0AEC44F5" w14:textId="71D1274F">
            <w:r>
              <w:t xml:space="preserve">The average caloric intake for females at the time of discharge was 3119 kcal/d (SD=733) and </w:t>
            </w:r>
            <w:r>
              <w:t xml:space="preserve">3744 kcal/d for males (SD=829). </w:t>
            </w:r>
          </w:p>
          <w:p w:rsidR="00FC1430" w:rsidP="00776F91" w:rsidRDefault="00FC1430" w14:paraId="1247468B" w14:textId="77777777"/>
          <w:p w:rsidR="00FC1430" w:rsidP="00776F91" w:rsidRDefault="00FC1430" w14:paraId="2936070C" w14:textId="147D42FB"/>
        </w:tc>
        <w:tc>
          <w:tcPr>
            <w:tcW w:w="3094" w:type="dxa"/>
            <w:tcMar/>
          </w:tcPr>
          <w:p w:rsidR="00FC1430" w:rsidP="00CC5DBE" w:rsidRDefault="00CC5DBE" w14:paraId="0464786E" w14:textId="13991388">
            <w:r>
              <w:t xml:space="preserve">No deaths during medical stabilisation, n=20 (7%) required ICU transfer </w:t>
            </w:r>
          </w:p>
          <w:p w:rsidR="473FE48D" w:rsidRDefault="473FE48D" w14:paraId="5E83082A" w14:textId="55736942"/>
          <w:p w:rsidR="65B78D4C" w:rsidRDefault="65B78D4C" w14:paraId="1BD96D96" w14:textId="0A911339">
            <w:r>
              <w:t>n=98 (35%) developed refeeding hypophosphatemia</w:t>
            </w:r>
            <w:r w:rsidR="1E22F79A">
              <w:t xml:space="preserve">, with n= 46 developing critical </w:t>
            </w:r>
            <w:proofErr w:type="spellStart"/>
            <w:r w:rsidR="1E22F79A">
              <w:t>hypophosphataemia</w:t>
            </w:r>
            <w:proofErr w:type="spellEnd"/>
          </w:p>
          <w:p w:rsidR="00CC5DBE" w:rsidP="006B06C3" w:rsidRDefault="00CC5DBE" w14:paraId="1A923708" w14:textId="77777777"/>
          <w:p w:rsidR="006B06C3" w:rsidP="006B06C3" w:rsidRDefault="006B06C3" w14:paraId="1D6CD753" w14:textId="666DBA55">
            <w:proofErr w:type="spellStart"/>
            <w:r>
              <w:t>Hypophosphataemia</w:t>
            </w:r>
            <w:proofErr w:type="spellEnd"/>
            <w:r>
              <w:t xml:space="preserve"> definitions:</w:t>
            </w:r>
          </w:p>
          <w:p w:rsidR="006B06C3" w:rsidP="006B06C3" w:rsidRDefault="006B06C3" w14:paraId="7EFC7C36" w14:textId="77777777">
            <w:r>
              <w:t xml:space="preserve">Mild: &lt;0.87mmol/L </w:t>
            </w:r>
          </w:p>
          <w:p w:rsidR="006B06C3" w:rsidP="006B06C3" w:rsidRDefault="006B06C3" w14:paraId="63EF417D" w14:textId="200871A5">
            <w:r>
              <w:t>Critical: &lt;0.71mmol/L</w:t>
            </w:r>
          </w:p>
        </w:tc>
        <w:tc>
          <w:tcPr>
            <w:tcW w:w="1553" w:type="dxa"/>
            <w:tcMar/>
          </w:tcPr>
          <w:p w:rsidR="00FC1430" w:rsidP="00776F91" w:rsidRDefault="00FC1430" w14:paraId="1811177F" w14:textId="7306B8DF">
            <w:r>
              <w:t>Admission BMI mean 12.1 (range 7.5-15.7)</w:t>
            </w:r>
          </w:p>
          <w:p w:rsidR="00FC1430" w:rsidP="00776F91" w:rsidRDefault="00FC1430" w14:paraId="21674521" w14:textId="77777777"/>
          <w:p w:rsidR="00FC1430" w:rsidP="00776F91" w:rsidRDefault="00FC1430" w14:paraId="04A3C708" w14:textId="4B1046B6">
            <w:r>
              <w:t>Patients gained 2kg/</w:t>
            </w:r>
            <w:proofErr w:type="spellStart"/>
            <w:r>
              <w:t>wk</w:t>
            </w:r>
            <w:proofErr w:type="spellEnd"/>
            <w:r>
              <w:t xml:space="preserve"> (SD =1.5) during acute admission.</w:t>
            </w:r>
          </w:p>
          <w:p w:rsidR="001E1DB9" w:rsidP="00776F91" w:rsidRDefault="001E1DB9" w14:paraId="6A08F3E4" w14:textId="77777777"/>
          <w:p w:rsidR="001E1DB9" w:rsidP="001E1DB9" w:rsidRDefault="001E1DB9" w14:paraId="26FB3D4D" w14:textId="4AC09724">
            <w:r>
              <w:t xml:space="preserve">Average per cent IBW increased by 12% (SD=8.4) and </w:t>
            </w:r>
            <w:r w:rsidR="6CCCF273">
              <w:t>a</w:t>
            </w:r>
            <w:r>
              <w:t xml:space="preserve">verage BMI increased by 2.5kg/m2 (SD= 1.5) by </w:t>
            </w:r>
            <w:r>
              <w:t>time of discharge</w:t>
            </w:r>
          </w:p>
          <w:p w:rsidR="001E1DB9" w:rsidP="00776F91" w:rsidRDefault="001E1DB9" w14:paraId="21E9F225" w14:textId="77777777"/>
          <w:p w:rsidR="00FC1430" w:rsidP="00776F91" w:rsidRDefault="00FC1430" w14:paraId="57C2177B" w14:textId="77777777"/>
          <w:p w:rsidR="00AB7E8A" w:rsidP="00776F91" w:rsidRDefault="00AB7E8A" w14:paraId="21F5BB0E" w14:textId="643ED540">
            <w:r>
              <w:t>Median LOS = 22 days</w:t>
            </w:r>
          </w:p>
          <w:p w:rsidR="00FC1430" w:rsidP="00776F91" w:rsidRDefault="00FC1430" w14:paraId="18B91314" w14:textId="2C29C9F0"/>
        </w:tc>
        <w:tc>
          <w:tcPr>
            <w:tcW w:w="2099" w:type="dxa"/>
            <w:tcMar/>
          </w:tcPr>
          <w:p w:rsidR="00FC1430" w:rsidP="00776F91" w:rsidRDefault="00FC1430" w14:paraId="61B155EB" w14:textId="6F78A7F2">
            <w:r>
              <w:t>No significant difference in weight gain/</w:t>
            </w:r>
            <w:proofErr w:type="spellStart"/>
            <w:r>
              <w:t>wk</w:t>
            </w:r>
            <w:proofErr w:type="spellEnd"/>
            <w:r>
              <w:t xml:space="preserve"> between genders (p = 0.84)</w:t>
            </w:r>
          </w:p>
          <w:p w:rsidR="00FC1430" w:rsidP="00776F91" w:rsidRDefault="00FC1430" w14:paraId="2ED92919" w14:textId="77777777"/>
          <w:p w:rsidR="00FC1430" w:rsidP="00776F91" w:rsidRDefault="00FC1430" w14:paraId="0F1DB731" w14:textId="31A6983A">
            <w:r>
              <w:t xml:space="preserve">Average nadir BMI between patients who developed RF </w:t>
            </w:r>
            <w:proofErr w:type="spellStart"/>
            <w:r>
              <w:t>hypophosphataemia</w:t>
            </w:r>
            <w:proofErr w:type="spellEnd"/>
            <w:r>
              <w:t xml:space="preserve"> (M= 11.8kg/m2, SD = 1.4) compared to those who did not (M = 12.4kg/m2, SD = 1.3)*</w:t>
            </w:r>
          </w:p>
        </w:tc>
      </w:tr>
      <w:tr w:rsidR="006F24AC" w:rsidTr="2CE3218F" w14:paraId="37450F7A" w14:textId="77777777">
        <w:tc>
          <w:tcPr>
            <w:tcW w:w="1254" w:type="dxa"/>
            <w:tcMar/>
          </w:tcPr>
          <w:p w:rsidR="003C1E73" w:rsidP="003C1E73" w:rsidRDefault="003C1E73" w14:paraId="343BC163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Gjoertz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et al. (2020)</w:t>
            </w:r>
          </w:p>
          <w:p w:rsidR="002C7A7D" w:rsidP="002C7A7D" w:rsidRDefault="002C7A7D" w14:paraId="651A4F4A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Switzerland</w:t>
            </w:r>
          </w:p>
          <w:p w:rsidR="006F24AC" w:rsidP="00776F91" w:rsidRDefault="006F24AC" w14:paraId="467DBCBA" w14:textId="77777777"/>
        </w:tc>
        <w:tc>
          <w:tcPr>
            <w:tcW w:w="1437" w:type="dxa"/>
            <w:tcMar/>
          </w:tcPr>
          <w:p w:rsidR="006E5CEA" w:rsidP="006E5CEA" w:rsidRDefault="006E5CEA" w14:paraId="68B6B12F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Retrospective chart review</w:t>
            </w:r>
          </w:p>
          <w:p w:rsidR="006F24AC" w:rsidP="008213B9" w:rsidRDefault="006F24AC" w14:paraId="01E84FE2" w14:textId="77777777"/>
          <w:p w:rsidR="006E5CEA" w:rsidP="008213B9" w:rsidRDefault="006E5CEA" w14:paraId="60BDF3B9" w14:textId="7191FC46">
            <w:r>
              <w:t xml:space="preserve">Inpatient </w:t>
            </w:r>
            <w:r w:rsidR="00A95BE5">
              <w:t>hospital</w:t>
            </w:r>
            <w:r w:rsidR="00F14914">
              <w:t xml:space="preserve"> setting</w:t>
            </w:r>
          </w:p>
        </w:tc>
        <w:tc>
          <w:tcPr>
            <w:tcW w:w="2084" w:type="dxa"/>
            <w:tcMar/>
          </w:tcPr>
          <w:p w:rsidR="006F24AC" w:rsidP="0014017E" w:rsidRDefault="002F67C8" w14:paraId="723BFD56" w14:textId="1BF1DABE">
            <w:r>
              <w:t>I</w:t>
            </w:r>
            <w:r w:rsidRPr="002F67C8">
              <w:t>mpact of introducing a clinical refeeding guideline for AN implemented in an inpatient setting</w:t>
            </w:r>
          </w:p>
        </w:tc>
        <w:tc>
          <w:tcPr>
            <w:tcW w:w="1511" w:type="dxa"/>
            <w:tcMar/>
          </w:tcPr>
          <w:p w:rsidR="004B6F17" w:rsidP="004B6F17" w:rsidRDefault="004B6F17" w14:paraId="17203EE1" w14:textId="77777777">
            <w:pPr>
              <w:rPr>
                <w:rFonts w:ascii="Calibri" w:hAnsi="Calibri" w:cs="Calibri"/>
                <w:color w:val="000000"/>
              </w:rPr>
            </w:pPr>
            <w:r w:rsidRPr="035B1CD3">
              <w:rPr>
                <w:rFonts w:ascii="Calibri" w:hAnsi="Calibri" w:cs="Calibri"/>
                <w:color w:val="000000" w:themeColor="text1"/>
              </w:rPr>
              <w:t xml:space="preserve">N=107 </w:t>
            </w:r>
          </w:p>
          <w:p w:rsidR="035B1CD3" w:rsidP="035B1CD3" w:rsidRDefault="035B1CD3" w14:paraId="2F9E00A0" w14:textId="64E35728">
            <w:pPr>
              <w:rPr>
                <w:rFonts w:ascii="Calibri" w:hAnsi="Calibri" w:cs="Calibri"/>
                <w:color w:val="000000" w:themeColor="text1"/>
              </w:rPr>
            </w:pPr>
          </w:p>
          <w:p w:rsidR="00A56366" w:rsidP="00A56366" w:rsidRDefault="186B85AB" w14:paraId="7D685D81" w14:textId="4A1B4710">
            <w:pPr>
              <w:rPr>
                <w:rFonts w:ascii="Calibri" w:hAnsi="Calibri" w:cs="Calibri"/>
                <w:color w:val="000000"/>
              </w:rPr>
            </w:pPr>
            <w:r w:rsidRPr="035B1CD3">
              <w:rPr>
                <w:rFonts w:ascii="Calibri" w:hAnsi="Calibri" w:cs="Calibri"/>
                <w:color w:val="000000" w:themeColor="text1"/>
              </w:rPr>
              <w:t>n</w:t>
            </w:r>
            <w:r w:rsidRPr="035B1CD3" w:rsidR="004B6F17">
              <w:rPr>
                <w:rFonts w:ascii="Calibri" w:hAnsi="Calibri" w:cs="Calibri"/>
                <w:color w:val="000000" w:themeColor="text1"/>
              </w:rPr>
              <w:t>=33 in the pre-guideline group</w:t>
            </w:r>
            <w:r w:rsidRPr="035B1CD3" w:rsidR="4F78645A">
              <w:rPr>
                <w:rFonts w:ascii="Calibri" w:hAnsi="Calibri" w:cs="Calibri"/>
                <w:color w:val="000000" w:themeColor="text1"/>
              </w:rPr>
              <w:t xml:space="preserve">; </w:t>
            </w:r>
            <w:r w:rsidRPr="035B1CD3" w:rsidR="00417602">
              <w:rPr>
                <w:rFonts w:ascii="Calibri" w:hAnsi="Calibri" w:cs="Calibri"/>
                <w:color w:val="000000" w:themeColor="text1"/>
              </w:rPr>
              <w:t>n=</w:t>
            </w:r>
            <w:r w:rsidRPr="035B1CD3" w:rsidR="004B6F17">
              <w:rPr>
                <w:rFonts w:ascii="Calibri" w:hAnsi="Calibri" w:cs="Calibri"/>
                <w:color w:val="000000" w:themeColor="text1"/>
              </w:rPr>
              <w:t>74 in the post-guideline group, aged 13</w:t>
            </w:r>
            <w:r w:rsidRPr="035B1CD3" w:rsidR="00417602">
              <w:rPr>
                <w:rFonts w:ascii="Calibri" w:hAnsi="Calibri" w:cs="Calibri"/>
                <w:color w:val="000000" w:themeColor="text1"/>
              </w:rPr>
              <w:t>-</w:t>
            </w:r>
            <w:r w:rsidRPr="035B1CD3" w:rsidR="004B6F17">
              <w:rPr>
                <w:rFonts w:ascii="Calibri" w:hAnsi="Calibri" w:cs="Calibri"/>
                <w:color w:val="000000" w:themeColor="text1"/>
              </w:rPr>
              <w:t>55 years, with a diagnosis of AN.</w:t>
            </w:r>
            <w:r w:rsidR="00A56366">
              <w:br/>
            </w:r>
            <w:r w:rsidR="00A56366">
              <w:br/>
            </w:r>
            <w:r w:rsidRPr="035B1CD3" w:rsidR="00A56366">
              <w:rPr>
                <w:rFonts w:ascii="Calibri" w:hAnsi="Calibri" w:cs="Calibri"/>
                <w:color w:val="000000" w:themeColor="text1"/>
              </w:rPr>
              <w:t>Mean age at admission 27.6 ± 10.5 years (range 16.2–</w:t>
            </w:r>
            <w:r w:rsidR="00A56366">
              <w:br/>
            </w:r>
            <w:r w:rsidRPr="035B1CD3" w:rsidR="00A56366">
              <w:rPr>
                <w:rFonts w:ascii="Calibri" w:hAnsi="Calibri" w:cs="Calibri"/>
                <w:color w:val="000000" w:themeColor="text1"/>
              </w:rPr>
              <w:t>53.3) in the first group</w:t>
            </w:r>
            <w:r w:rsidRPr="035B1CD3" w:rsidR="7A9FA5A5">
              <w:rPr>
                <w:rFonts w:ascii="Calibri" w:hAnsi="Calibri" w:cs="Calibri"/>
                <w:color w:val="000000" w:themeColor="text1"/>
              </w:rPr>
              <w:t>,</w:t>
            </w:r>
            <w:r w:rsidRPr="035B1CD3" w:rsidR="00A56366">
              <w:rPr>
                <w:rFonts w:ascii="Calibri" w:hAnsi="Calibri" w:cs="Calibri"/>
                <w:color w:val="000000" w:themeColor="text1"/>
              </w:rPr>
              <w:t xml:space="preserve"> and 26.6 ± 11.5 years (range 13.6–</w:t>
            </w:r>
            <w:r w:rsidR="00A56366">
              <w:br/>
            </w:r>
            <w:r w:rsidRPr="035B1CD3" w:rsidR="00A56366">
              <w:rPr>
                <w:rFonts w:ascii="Calibri" w:hAnsi="Calibri" w:cs="Calibri"/>
                <w:color w:val="000000" w:themeColor="text1"/>
              </w:rPr>
              <w:t>55.8) in the second group</w:t>
            </w:r>
          </w:p>
          <w:p w:rsidR="00A56366" w:rsidP="004B6F17" w:rsidRDefault="00A56366" w14:paraId="47959C1E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6F24AC" w:rsidP="00776F91" w:rsidRDefault="006F24AC" w14:paraId="0272B31F" w14:textId="77777777"/>
        </w:tc>
        <w:tc>
          <w:tcPr>
            <w:tcW w:w="1577" w:type="dxa"/>
            <w:tcMar/>
          </w:tcPr>
          <w:p w:rsidR="007B3334" w:rsidP="007B3334" w:rsidRDefault="007B3334" w14:paraId="661AA8FD" w14:textId="7DFED41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N=18 excluded.</w:t>
            </w:r>
          </w:p>
          <w:p w:rsidR="007B3334" w:rsidP="007B3334" w:rsidRDefault="007B3334" w14:paraId="166F87A8" w14:textId="156BDD6F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Diagnosis of bulimia (n = 10), hospitalisation shorter than 7 days (n = 3), and a “respite” or “observation” type hospitalisation (n = 5).</w:t>
            </w:r>
          </w:p>
          <w:p w:rsidR="006F24AC" w:rsidP="00C91C85" w:rsidRDefault="006F24AC" w14:paraId="054E6EE0" w14:textId="77777777"/>
        </w:tc>
        <w:tc>
          <w:tcPr>
            <w:tcW w:w="1587" w:type="dxa"/>
            <w:tcMar/>
          </w:tcPr>
          <w:p w:rsidR="007E0A7A" w:rsidP="007E0A7A" w:rsidRDefault="007E0A7A" w14:paraId="5657671A" w14:textId="7C29EE9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Prior to Guideline: 75% of basic energy needs, energy added to ensure weight gain 500g/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>Refeeding guideline: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>Stepwise approach. Energy needs defined as 35kcal/kg/d for adults and 40-50kcal/kg/d for adolescents depending on age and sex.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In the first week, patients receive 50% of </w:t>
            </w:r>
            <w:r w:rsidR="004506AF">
              <w:rPr>
                <w:rFonts w:ascii="Calibri" w:hAnsi="Calibri" w:cs="Calibri"/>
                <w:color w:val="000000"/>
                <w:szCs w:val="22"/>
              </w:rPr>
              <w:t xml:space="preserve">their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individual basic energy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needs at day 1, 75% at day 3, and 100% at day 6. During the second week, the basic energy needs are reached, and 300 kcal is added respectively every 3 days up to 1000 kcal, thus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equaling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7000 kcal/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, which corresponds to a gain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>of 1 kg/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wk</w:t>
            </w:r>
            <w:proofErr w:type="spellEnd"/>
          </w:p>
          <w:p w:rsidR="007E2915" w:rsidP="007E0A7A" w:rsidRDefault="007E2915" w14:paraId="6F6D0C1A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Pr="007E2915" w:rsidR="007E2915" w:rsidP="007E2915" w:rsidRDefault="007E2915" w14:paraId="36F4173F" w14:textId="45895F02">
            <w:pPr>
              <w:rPr>
                <w:rFonts w:ascii="Calibri" w:hAnsi="Calibri" w:cs="Calibri"/>
                <w:color w:val="000000"/>
              </w:rPr>
            </w:pPr>
            <w:r w:rsidRPr="035B1CD3">
              <w:rPr>
                <w:rFonts w:ascii="Calibri" w:hAnsi="Calibri" w:cs="Calibri"/>
                <w:color w:val="000000" w:themeColor="text1"/>
              </w:rPr>
              <w:t xml:space="preserve">The aim was a systematic </w:t>
            </w:r>
            <w:proofErr w:type="spellStart"/>
            <w:r w:rsidRPr="035B1CD3">
              <w:rPr>
                <w:rFonts w:ascii="Calibri" w:hAnsi="Calibri" w:cs="Calibri"/>
                <w:color w:val="000000" w:themeColor="text1"/>
              </w:rPr>
              <w:t>wt</w:t>
            </w:r>
            <w:proofErr w:type="spellEnd"/>
            <w:r w:rsidRPr="035B1CD3">
              <w:rPr>
                <w:rFonts w:ascii="Calibri" w:hAnsi="Calibri" w:cs="Calibri"/>
                <w:color w:val="000000" w:themeColor="text1"/>
              </w:rPr>
              <w:t xml:space="preserve"> increase of &gt;1 kg every</w:t>
            </w:r>
          </w:p>
          <w:p w:rsidRPr="007E2915" w:rsidR="007E2915" w:rsidP="007E2915" w:rsidRDefault="007E2915" w14:paraId="4D2CA80C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 w:rsidRPr="007E2915">
              <w:rPr>
                <w:rFonts w:ascii="Calibri" w:hAnsi="Calibri" w:cs="Calibri"/>
                <w:color w:val="000000"/>
                <w:szCs w:val="22"/>
              </w:rPr>
              <w:t>week</w:t>
            </w:r>
          </w:p>
          <w:p w:rsidR="007E2915" w:rsidP="007E0A7A" w:rsidRDefault="007E2915" w14:paraId="3FA84F39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6F24AC" w:rsidP="00776F91" w:rsidRDefault="006F24AC" w14:paraId="2D004D36" w14:textId="77777777"/>
        </w:tc>
        <w:tc>
          <w:tcPr>
            <w:tcW w:w="3094" w:type="dxa"/>
            <w:tcMar/>
          </w:tcPr>
          <w:p w:rsidR="0040393D" w:rsidP="0040393D" w:rsidRDefault="0040393D" w14:paraId="16ABAE90" w14:textId="22CB2EE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473FE48D">
              <w:rPr>
                <w:rFonts w:ascii="Calibri" w:hAnsi="Calibri" w:cs="Calibri"/>
                <w:color w:val="000000" w:themeColor="text1"/>
              </w:rPr>
              <w:t>Hypophosphataemia</w:t>
            </w:r>
            <w:proofErr w:type="spellEnd"/>
            <w:r w:rsidRPr="473FE48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473FE48D" w:rsidR="00EE195E">
              <w:rPr>
                <w:rFonts w:ascii="Calibri" w:hAnsi="Calibri" w:cs="Calibri"/>
                <w:color w:val="000000" w:themeColor="text1"/>
              </w:rPr>
              <w:t>a</w:t>
            </w:r>
            <w:r w:rsidRPr="473FE48D" w:rsidR="72F8982D">
              <w:rPr>
                <w:rFonts w:ascii="Calibri" w:hAnsi="Calibri" w:cs="Calibri"/>
                <w:color w:val="000000" w:themeColor="text1"/>
              </w:rPr>
              <w:t>s</w:t>
            </w:r>
            <w:r w:rsidR="00FA242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473FE48D" w:rsidR="00EE195E">
              <w:rPr>
                <w:rFonts w:ascii="Calibri" w:hAnsi="Calibri" w:cs="Calibri"/>
                <w:color w:val="000000" w:themeColor="text1"/>
              </w:rPr>
              <w:t xml:space="preserve">per NICE Guidelines, </w:t>
            </w:r>
            <w:r w:rsidRPr="473FE48D">
              <w:rPr>
                <w:rFonts w:ascii="Calibri" w:hAnsi="Calibri" w:cs="Calibri"/>
                <w:color w:val="000000" w:themeColor="text1"/>
              </w:rPr>
              <w:t>defined as &lt;0.8mmol/L</w:t>
            </w:r>
            <w:r>
              <w:br/>
            </w:r>
            <w:r>
              <w:br/>
            </w:r>
            <w:r w:rsidRPr="473FE48D">
              <w:rPr>
                <w:rFonts w:ascii="Calibri" w:hAnsi="Calibri" w:cs="Calibri"/>
                <w:color w:val="000000" w:themeColor="text1"/>
              </w:rPr>
              <w:t xml:space="preserve">Every patient received supplemental B1, folic acid, </w:t>
            </w:r>
            <w:r w:rsidRPr="473FE48D" w:rsidR="00EE195E">
              <w:rPr>
                <w:rFonts w:ascii="Calibri" w:hAnsi="Calibri" w:cs="Calibri"/>
                <w:color w:val="000000" w:themeColor="text1"/>
              </w:rPr>
              <w:t>multivitamin,</w:t>
            </w:r>
            <w:r w:rsidRPr="473FE48D">
              <w:rPr>
                <w:rFonts w:ascii="Calibri" w:hAnsi="Calibri" w:cs="Calibri"/>
                <w:color w:val="000000" w:themeColor="text1"/>
              </w:rPr>
              <w:t xml:space="preserve"> and Ca with </w:t>
            </w:r>
            <w:proofErr w:type="spellStart"/>
            <w:r w:rsidRPr="473FE48D">
              <w:rPr>
                <w:rFonts w:ascii="Calibri" w:hAnsi="Calibri" w:cs="Calibri"/>
                <w:color w:val="000000" w:themeColor="text1"/>
              </w:rPr>
              <w:t>Vit.D</w:t>
            </w:r>
            <w:proofErr w:type="spellEnd"/>
            <w:r w:rsidRPr="473FE48D">
              <w:rPr>
                <w:rFonts w:ascii="Calibri" w:hAnsi="Calibri" w:cs="Calibri"/>
                <w:color w:val="000000" w:themeColor="text1"/>
              </w:rPr>
              <w:t xml:space="preserve"> for 2-4weeks</w:t>
            </w:r>
            <w:r>
              <w:br/>
            </w:r>
            <w:r>
              <w:br/>
            </w:r>
            <w:r w:rsidRPr="473FE48D">
              <w:rPr>
                <w:rFonts w:ascii="Calibri" w:hAnsi="Calibri" w:cs="Calibri"/>
                <w:color w:val="000000" w:themeColor="text1"/>
              </w:rPr>
              <w:t>Oral replacement introduced if there are electrolyte deficiencies</w:t>
            </w:r>
          </w:p>
          <w:p w:rsidR="006F24AC" w:rsidP="00E10112" w:rsidRDefault="006F24AC" w14:paraId="51322D39" w14:textId="77777777"/>
          <w:p w:rsidR="000C5654" w:rsidP="000C5654" w:rsidRDefault="000C5654" w14:paraId="031E7817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 incidence of refeeding syndrome</w:t>
            </w:r>
          </w:p>
          <w:p w:rsidR="000C5654" w:rsidP="00E10112" w:rsidRDefault="000C5654" w14:paraId="7F9EE62C" w14:textId="77777777"/>
        </w:tc>
        <w:tc>
          <w:tcPr>
            <w:tcW w:w="1553" w:type="dxa"/>
            <w:tcMar/>
          </w:tcPr>
          <w:p w:rsidRPr="007E2915" w:rsidR="007E2915" w:rsidP="007E2915" w:rsidRDefault="007E2915" w14:paraId="3BEEF2CA" w14:textId="4EBD71FC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</w:t>
            </w:r>
            <w:r w:rsidRPr="007E2915">
              <w:rPr>
                <w:rFonts w:ascii="Calibri" w:hAnsi="Calibri" w:cs="Calibri"/>
                <w:color w:val="000000"/>
                <w:szCs w:val="22"/>
              </w:rPr>
              <w:t>ean weight gain of 7</w:t>
            </w:r>
          </w:p>
          <w:p w:rsidR="007E2915" w:rsidP="007E2915" w:rsidRDefault="007E2915" w14:paraId="211B4079" w14:textId="05B44F36">
            <w:pPr>
              <w:rPr>
                <w:rFonts w:ascii="Calibri" w:hAnsi="Calibri" w:cs="Calibri"/>
                <w:color w:val="000000"/>
                <w:szCs w:val="22"/>
              </w:rPr>
            </w:pPr>
            <w:r w:rsidRPr="007E2915">
              <w:rPr>
                <w:rFonts w:ascii="Calibri" w:hAnsi="Calibri" w:cs="Calibri"/>
                <w:color w:val="000000"/>
                <w:szCs w:val="22"/>
              </w:rPr>
              <w:t>± 4.8 kg (range −1 to 17.3) vs 5.8 ± 4.5 kg (range −1.7 to 2</w:t>
            </w:r>
            <w:r w:rsidR="00A41B71">
              <w:rPr>
                <w:rFonts w:ascii="Calibri" w:hAnsi="Calibri" w:cs="Calibri"/>
                <w:color w:val="000000"/>
                <w:szCs w:val="22"/>
              </w:rPr>
              <w:t>.</w:t>
            </w:r>
            <w:r w:rsidRPr="007E2915">
              <w:rPr>
                <w:rFonts w:ascii="Calibri" w:hAnsi="Calibri" w:cs="Calibri"/>
                <w:color w:val="000000"/>
                <w:szCs w:val="22"/>
              </w:rPr>
              <w:t>0</w:t>
            </w:r>
            <w:r w:rsidR="00AD6CC4">
              <w:rPr>
                <w:rFonts w:ascii="Calibri" w:hAnsi="Calibri" w:cs="Calibri"/>
                <w:color w:val="000000"/>
                <w:szCs w:val="22"/>
              </w:rPr>
              <w:t>kg</w:t>
            </w:r>
            <w:r w:rsidRPr="007E2915">
              <w:rPr>
                <w:rFonts w:ascii="Calibri" w:hAnsi="Calibri" w:cs="Calibri"/>
                <w:color w:val="000000"/>
                <w:szCs w:val="22"/>
              </w:rPr>
              <w:t>)</w:t>
            </w:r>
          </w:p>
          <w:p w:rsidR="00A91EE3" w:rsidP="007E2915" w:rsidRDefault="00A91EE3" w14:paraId="32F0FE97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Pr="00A91EE3" w:rsidR="00A91EE3" w:rsidP="00A91EE3" w:rsidRDefault="00A91EE3" w14:paraId="681E58F9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 w:rsidRPr="00A91EE3">
              <w:rPr>
                <w:rFonts w:ascii="Calibri" w:hAnsi="Calibri" w:cs="Calibri"/>
                <w:color w:val="000000"/>
                <w:szCs w:val="22"/>
              </w:rPr>
              <w:t>Mean BMI at admission was</w:t>
            </w:r>
          </w:p>
          <w:p w:rsidRPr="00A91EE3" w:rsidR="00A91EE3" w:rsidP="00A91EE3" w:rsidRDefault="00A91EE3" w14:paraId="6F483759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 w:rsidRPr="00A91EE3">
              <w:rPr>
                <w:rFonts w:ascii="Calibri" w:hAnsi="Calibri" w:cs="Calibri"/>
                <w:color w:val="000000"/>
                <w:szCs w:val="22"/>
              </w:rPr>
              <w:t>14.3 ± 1.9 kg/m2 (range 11–19.8) before and 15 ± 1.8 kg/m2</w:t>
            </w:r>
          </w:p>
          <w:p w:rsidRPr="00A91EE3" w:rsidR="00A91EE3" w:rsidP="00A91EE3" w:rsidRDefault="00A91EE3" w14:paraId="40804AF1" w14:textId="1D4D43FB">
            <w:pPr>
              <w:rPr>
                <w:rFonts w:ascii="Calibri" w:hAnsi="Calibri" w:cs="Calibri"/>
                <w:color w:val="000000"/>
                <w:szCs w:val="22"/>
              </w:rPr>
            </w:pPr>
            <w:r w:rsidRPr="00A91EE3">
              <w:rPr>
                <w:rFonts w:ascii="Calibri" w:hAnsi="Calibri" w:cs="Calibri"/>
                <w:color w:val="000000"/>
                <w:szCs w:val="22"/>
              </w:rPr>
              <w:t>(range 9.3–20.4)</w:t>
            </w:r>
          </w:p>
          <w:p w:rsidRPr="00A91EE3" w:rsidR="00A91EE3" w:rsidP="00A91EE3" w:rsidRDefault="00A91EE3" w14:paraId="14C7D1E6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Pr="00A91EE3" w:rsidR="00A91EE3" w:rsidP="00A91EE3" w:rsidRDefault="00A91EE3" w14:paraId="50CC2FEF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 w:rsidRPr="00A91EE3">
              <w:rPr>
                <w:rFonts w:ascii="Calibri" w:hAnsi="Calibri" w:cs="Calibri"/>
                <w:color w:val="000000"/>
                <w:szCs w:val="22"/>
              </w:rPr>
              <w:t>BMI at discharge was 17 ±</w:t>
            </w:r>
          </w:p>
          <w:p w:rsidRPr="00A91EE3" w:rsidR="00A91EE3" w:rsidP="00A91EE3" w:rsidRDefault="00A91EE3" w14:paraId="4457B353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 w:rsidRPr="00A91EE3">
              <w:rPr>
                <w:rFonts w:ascii="Calibri" w:hAnsi="Calibri" w:cs="Calibri"/>
                <w:color w:val="000000"/>
                <w:szCs w:val="22"/>
              </w:rPr>
              <w:t>1.5 kg/m2 (range 13.7–20.7) before vs 17.2 ± 1.6 kg/m2</w:t>
            </w:r>
          </w:p>
          <w:p w:rsidR="00A91EE3" w:rsidP="00A91EE3" w:rsidRDefault="00A91EE3" w14:paraId="1FF20A29" w14:textId="01150290">
            <w:pPr>
              <w:rPr>
                <w:rFonts w:ascii="Calibri" w:hAnsi="Calibri" w:cs="Calibri"/>
                <w:color w:val="000000"/>
                <w:szCs w:val="22"/>
              </w:rPr>
            </w:pPr>
            <w:r w:rsidRPr="00A91EE3">
              <w:rPr>
                <w:rFonts w:ascii="Calibri" w:hAnsi="Calibri" w:cs="Calibri"/>
                <w:color w:val="000000"/>
                <w:szCs w:val="22"/>
              </w:rPr>
              <w:t>(range 11.9–20)</w:t>
            </w:r>
          </w:p>
          <w:p w:rsidR="007E2915" w:rsidP="007E2915" w:rsidRDefault="007E2915" w14:paraId="480395AF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25028C" w:rsidP="0025028C" w:rsidRDefault="0025028C" w14:paraId="648F3F25" w14:textId="2A9E3784">
            <w:pPr>
              <w:rPr>
                <w:rFonts w:ascii="Calibri" w:hAnsi="Calibri" w:cs="Calibri"/>
                <w:color w:val="000000"/>
              </w:rPr>
            </w:pPr>
            <w:r w:rsidRPr="035B1CD3">
              <w:rPr>
                <w:rFonts w:ascii="Calibri" w:hAnsi="Calibri" w:cs="Calibri"/>
                <w:color w:val="000000" w:themeColor="text1"/>
              </w:rPr>
              <w:t>The mean length of hospitali</w:t>
            </w:r>
            <w:r w:rsidRPr="035B1CD3" w:rsidR="2999C2B4">
              <w:rPr>
                <w:rFonts w:ascii="Calibri" w:hAnsi="Calibri" w:cs="Calibri"/>
                <w:color w:val="000000" w:themeColor="text1"/>
              </w:rPr>
              <w:t>s</w:t>
            </w:r>
            <w:r w:rsidRPr="035B1CD3">
              <w:rPr>
                <w:rFonts w:ascii="Calibri" w:hAnsi="Calibri" w:cs="Calibri"/>
                <w:color w:val="000000" w:themeColor="text1"/>
              </w:rPr>
              <w:t>ation decreased from 96.7 ± 48.3 days (range 9–180) to 62.2 ± 45.5 days (range 7–264</w:t>
            </w:r>
            <w:r w:rsidRPr="035B1CD3" w:rsidR="00D67814">
              <w:rPr>
                <w:rFonts w:ascii="Calibri" w:hAnsi="Calibri" w:cs="Calibri"/>
                <w:color w:val="000000" w:themeColor="text1"/>
              </w:rPr>
              <w:t>)*</w:t>
            </w:r>
          </w:p>
          <w:p w:rsidR="006F24AC" w:rsidP="00776F91" w:rsidRDefault="006F24AC" w14:paraId="0DF12794" w14:textId="77777777"/>
        </w:tc>
        <w:tc>
          <w:tcPr>
            <w:tcW w:w="2099" w:type="dxa"/>
            <w:tcMar/>
          </w:tcPr>
          <w:p w:rsidR="00F34475" w:rsidP="00776F91" w:rsidRDefault="00F34475" w14:paraId="0F1991D6" w14:textId="77777777">
            <w:r>
              <w:t>O</w:t>
            </w:r>
            <w:r w:rsidRPr="00F34475">
              <w:t xml:space="preserve">nly 6.3% of patients demonstrated optimal weight gain </w:t>
            </w:r>
            <w:r>
              <w:t xml:space="preserve">after the first 2 weeks </w:t>
            </w:r>
            <w:r w:rsidRPr="00F34475">
              <w:t>prior to introduction compared with 41.8% after the guideline</w:t>
            </w:r>
            <w:r>
              <w:t>*</w:t>
            </w:r>
          </w:p>
          <w:p w:rsidR="00F34475" w:rsidP="00776F91" w:rsidRDefault="00F34475" w14:paraId="4C5699CF" w14:textId="77777777"/>
          <w:p w:rsidR="006F24AC" w:rsidP="00776F91" w:rsidRDefault="00F34475" w14:paraId="7787FEC0" w14:textId="6A05E54D">
            <w:r w:rsidRPr="00F34475">
              <w:t>In the first 2 weeks, 36.4% gained weight in the first group as opposed to 64.9% in the second group</w:t>
            </w:r>
            <w:r w:rsidR="00C16208">
              <w:t>*</w:t>
            </w:r>
            <w:r w:rsidR="00D806FF">
              <w:t xml:space="preserve">, </w:t>
            </w:r>
            <w:r w:rsidRPr="00F34475">
              <w:t xml:space="preserve">even though one-fifth in both groups demonstrated </w:t>
            </w:r>
            <w:proofErr w:type="spellStart"/>
            <w:r w:rsidR="503ABABD">
              <w:t>w</w:t>
            </w:r>
            <w:r w:rsidRPr="00F34475">
              <w:t>t</w:t>
            </w:r>
            <w:proofErr w:type="spellEnd"/>
            <w:r w:rsidRPr="00F34475">
              <w:t xml:space="preserve"> loss.</w:t>
            </w:r>
          </w:p>
        </w:tc>
      </w:tr>
      <w:tr w:rsidR="000F5212" w:rsidTr="2CE3218F" w14:paraId="5D903113" w14:textId="77777777">
        <w:tc>
          <w:tcPr>
            <w:tcW w:w="1254" w:type="dxa"/>
            <w:tcMar/>
          </w:tcPr>
          <w:p w:rsidR="00FC1430" w:rsidP="00776F91" w:rsidRDefault="00FC1430" w14:paraId="227F7D64" w14:textId="77777777">
            <w:r>
              <w:t>Koerner et al. (2020)</w:t>
            </w:r>
          </w:p>
          <w:p w:rsidR="00FC1430" w:rsidP="00776F91" w:rsidRDefault="00FC1430" w14:paraId="3E33AB79" w14:textId="77777777"/>
          <w:p w:rsidR="00FC1430" w:rsidP="00776F91" w:rsidRDefault="00FC1430" w14:paraId="1F5C5756" w14:textId="72A72784">
            <w:r>
              <w:t>Germany</w:t>
            </w:r>
          </w:p>
          <w:p w:rsidR="00FC1430" w:rsidP="00776F91" w:rsidRDefault="00FC1430" w14:paraId="719ECBFF" w14:textId="66DB49BB"/>
        </w:tc>
        <w:tc>
          <w:tcPr>
            <w:tcW w:w="1437" w:type="dxa"/>
            <w:tcMar/>
          </w:tcPr>
          <w:p w:rsidR="008213B9" w:rsidP="008213B9" w:rsidRDefault="008213B9" w14:paraId="48A23E63" w14:textId="77777777">
            <w:r>
              <w:t>Retrospective</w:t>
            </w:r>
          </w:p>
          <w:p w:rsidR="008213B9" w:rsidP="008213B9" w:rsidRDefault="008213B9" w14:paraId="134041A5" w14:textId="77777777">
            <w:r>
              <w:t>naturalistic observation study</w:t>
            </w:r>
          </w:p>
          <w:p w:rsidR="008213B9" w:rsidP="008213B9" w:rsidRDefault="008213B9" w14:paraId="23231D14" w14:textId="77777777"/>
          <w:p w:rsidR="00FC1430" w:rsidP="008213B9" w:rsidRDefault="008213B9" w14:paraId="7404FBD5" w14:textId="151F3C58">
            <w:r>
              <w:t>Inpatient eating disorder unit</w:t>
            </w:r>
          </w:p>
        </w:tc>
        <w:tc>
          <w:tcPr>
            <w:tcW w:w="2084" w:type="dxa"/>
            <w:tcMar/>
          </w:tcPr>
          <w:p w:rsidR="00FC1430" w:rsidP="0014017E" w:rsidRDefault="00FC1430" w14:paraId="2904904C" w14:textId="37EEF71C">
            <w:r>
              <w:t xml:space="preserve">Impact of implementing </w:t>
            </w:r>
            <w:r w:rsidR="002931BF">
              <w:t>an</w:t>
            </w:r>
            <w:r>
              <w:t xml:space="preserve"> HCR protocol for adult AN </w:t>
            </w:r>
            <w:r w:rsidR="008213B9">
              <w:t>ED consumers</w:t>
            </w:r>
            <w:r>
              <w:t xml:space="preserve"> on </w:t>
            </w:r>
            <w:r>
              <w:t xml:space="preserve">medical parameters such as changes in </w:t>
            </w:r>
            <w:proofErr w:type="spellStart"/>
            <w:r>
              <w:t>wt</w:t>
            </w:r>
            <w:proofErr w:type="spellEnd"/>
            <w:r>
              <w:t>, blood phosphate levels and risk of RFS</w:t>
            </w:r>
          </w:p>
        </w:tc>
        <w:tc>
          <w:tcPr>
            <w:tcW w:w="1511" w:type="dxa"/>
            <w:tcMar/>
          </w:tcPr>
          <w:p w:rsidR="00FC1430" w:rsidP="00776F91" w:rsidRDefault="00FC1430" w14:paraId="0564CBB3" w14:textId="381C1954">
            <w:r>
              <w:t>N=103</w:t>
            </w:r>
          </w:p>
          <w:p w:rsidR="00C91C85" w:rsidP="00776F91" w:rsidRDefault="00C91C85" w14:paraId="7321A7FD" w14:textId="77777777"/>
          <w:p w:rsidRPr="0018075B" w:rsidR="00FC1430" w:rsidP="00776F91" w:rsidRDefault="00FC1430" w14:paraId="617485F9" w14:textId="54C171D4">
            <w:pPr>
              <w:rPr>
                <w:rFonts w:ascii="Calibri" w:hAnsi="Calibri" w:cs="Calibri"/>
                <w:kern w:val="0"/>
                <w:szCs w:val="22"/>
                <w:lang w:bidi="ar-SA"/>
              </w:rPr>
            </w:pPr>
            <w:r>
              <w:t>Females aged 23.8</w:t>
            </w:r>
            <w:r w:rsidRPr="00DD320B">
              <w:rPr>
                <w:rFonts w:ascii="Calibri" w:hAnsi="Calibri" w:cs="Calibri"/>
                <w:kern w:val="0"/>
                <w:szCs w:val="22"/>
                <w:lang w:bidi="ar-SA"/>
              </w:rPr>
              <w:t>±</w:t>
            </w:r>
            <w:r>
              <w:rPr>
                <w:rFonts w:ascii="Calibri" w:hAnsi="Calibri" w:cs="Calibri"/>
                <w:kern w:val="0"/>
                <w:szCs w:val="22"/>
                <w:lang w:bidi="ar-SA"/>
              </w:rPr>
              <w:t>5.3 (range = 18-</w:t>
            </w:r>
            <w:r>
              <w:rPr>
                <w:rFonts w:ascii="Calibri" w:hAnsi="Calibri" w:cs="Calibri"/>
                <w:kern w:val="0"/>
                <w:szCs w:val="22"/>
                <w:lang w:bidi="ar-SA"/>
              </w:rPr>
              <w:t>47) years</w:t>
            </w:r>
            <w:r w:rsidR="00C91C85">
              <w:rPr>
                <w:rFonts w:ascii="Calibri" w:hAnsi="Calibri" w:cs="Calibri"/>
                <w:kern w:val="0"/>
                <w:szCs w:val="22"/>
                <w:lang w:bidi="ar-SA"/>
              </w:rPr>
              <w:t xml:space="preserve"> with AN</w:t>
            </w:r>
            <w:r w:rsidR="0041104C">
              <w:rPr>
                <w:rFonts w:ascii="Calibri" w:hAnsi="Calibri" w:cs="Calibri"/>
                <w:kern w:val="0"/>
                <w:szCs w:val="22"/>
                <w:lang w:bidi="ar-SA"/>
              </w:rPr>
              <w:t xml:space="preserve">, BMI </w:t>
            </w:r>
            <w:r w:rsidR="0041104C">
              <w:rPr>
                <w:rFonts w:cstheme="minorHAnsi"/>
              </w:rPr>
              <w:t>≤</w:t>
            </w:r>
            <w:r w:rsidR="0041104C">
              <w:t xml:space="preserve">13kg/m2 and retention period </w:t>
            </w:r>
            <w:r w:rsidR="0041104C">
              <w:rPr>
                <w:rFonts w:cstheme="minorHAnsi"/>
              </w:rPr>
              <w:t>≥</w:t>
            </w:r>
            <w:r w:rsidR="0041104C">
              <w:t>28 days</w:t>
            </w:r>
          </w:p>
          <w:p w:rsidR="00FC1430" w:rsidP="00776F91" w:rsidRDefault="00FC1430" w14:paraId="1F19CE25" w14:textId="77777777"/>
          <w:p w:rsidR="00FC1430" w:rsidP="00776F91" w:rsidRDefault="00FC1430" w14:paraId="7E3E0081" w14:textId="4C8CC1C8"/>
        </w:tc>
        <w:tc>
          <w:tcPr>
            <w:tcW w:w="1577" w:type="dxa"/>
            <w:tcMar/>
          </w:tcPr>
          <w:p w:rsidR="00C91C85" w:rsidP="00C91C85" w:rsidRDefault="00C91C85" w14:paraId="379A6D51" w14:textId="77777777">
            <w:r>
              <w:t xml:space="preserve">&lt;18 years old </w:t>
            </w:r>
          </w:p>
          <w:p w:rsidR="00C91C85" w:rsidP="00C91C85" w:rsidRDefault="00C91C85" w14:paraId="3A609478" w14:textId="42300160">
            <w:r>
              <w:t>BMI &gt; 13kg/m2</w:t>
            </w:r>
          </w:p>
          <w:p w:rsidR="00FC1430" w:rsidP="00C91C85" w:rsidRDefault="00C91C85" w14:paraId="5F57D14A" w14:textId="24D34521">
            <w:r>
              <w:t>Other ED diagnoses</w:t>
            </w:r>
          </w:p>
        </w:tc>
        <w:tc>
          <w:tcPr>
            <w:tcW w:w="1587" w:type="dxa"/>
            <w:tcMar/>
          </w:tcPr>
          <w:p w:rsidR="00FC1430" w:rsidP="00776F91" w:rsidRDefault="00FC1430" w14:paraId="62D6DCEF" w14:textId="22BD9DB4">
            <w:r>
              <w:t>Initial oral meal plan 2000kcal/d</w:t>
            </w:r>
          </w:p>
          <w:p w:rsidR="00FC1430" w:rsidP="00776F91" w:rsidRDefault="00FC1430" w14:paraId="42563BA4" w14:textId="6F2668CA">
            <w:r>
              <w:t xml:space="preserve">Up to </w:t>
            </w:r>
            <w:r w:rsidR="001D204B">
              <w:t>&gt;</w:t>
            </w:r>
            <w:r>
              <w:t>4000kcal</w:t>
            </w:r>
            <w:r w:rsidR="001D204B">
              <w:t>/d</w:t>
            </w:r>
          </w:p>
          <w:p w:rsidR="007008CE" w:rsidP="00776F91" w:rsidRDefault="007008CE" w14:paraId="0E8A4D8B" w14:textId="77777777"/>
          <w:p w:rsidR="007008CE" w:rsidP="00776F91" w:rsidRDefault="00126566" w14:paraId="68B723AE" w14:textId="35405C3A">
            <w:r>
              <w:t>Calorie</w:t>
            </w:r>
            <w:r w:rsidR="001D204B">
              <w:t>s adjust</w:t>
            </w:r>
            <w:r w:rsidR="004E7068">
              <w:t xml:space="preserve">ment individualised </w:t>
            </w:r>
            <w:r w:rsidR="00F403E9">
              <w:t>based</w:t>
            </w:r>
            <w:r w:rsidR="004E7068">
              <w:t xml:space="preserve"> on not meeting weight gain aim</w:t>
            </w:r>
          </w:p>
          <w:p w:rsidR="00FC1430" w:rsidP="00776F91" w:rsidRDefault="00FC1430" w14:paraId="4B51B918" w14:textId="77777777"/>
          <w:p w:rsidR="00FC1430" w:rsidP="00776F91" w:rsidRDefault="00FC1430" w14:paraId="4229D4DE" w14:textId="77777777"/>
          <w:p w:rsidR="00FC1430" w:rsidP="00776F91" w:rsidRDefault="00FC1430" w14:paraId="2BA644E2" w14:textId="567F1D38"/>
        </w:tc>
        <w:tc>
          <w:tcPr>
            <w:tcW w:w="3094" w:type="dxa"/>
            <w:tcMar/>
          </w:tcPr>
          <w:p w:rsidR="00E10112" w:rsidP="00E10112" w:rsidRDefault="00E10112" w14:paraId="3F573AF8" w14:textId="77777777">
            <w:r>
              <w:t>Own criteria for RFS;</w:t>
            </w:r>
          </w:p>
          <w:p w:rsidR="00FC1430" w:rsidP="00E10112" w:rsidRDefault="00E10112" w14:paraId="3CD190D9" w14:textId="5C97FE30">
            <w:r>
              <w:t>Critical drop serum phosphate defined as &lt;0.75mmol/L</w:t>
            </w:r>
            <w:r w:rsidR="00F5796F">
              <w:t xml:space="preserve"> </w:t>
            </w:r>
            <w:r w:rsidR="005713FC">
              <w:t>and</w:t>
            </w:r>
            <w:r>
              <w:br/>
            </w:r>
            <w:r w:rsidR="009B52D9">
              <w:t>c</w:t>
            </w:r>
            <w:r>
              <w:t xml:space="preserve">ritical deterioration of general </w:t>
            </w:r>
            <w:r>
              <w:t>condition (e.g. severe oedema, pericardial effusion, weakness)</w:t>
            </w:r>
          </w:p>
          <w:p w:rsidR="005713FC" w:rsidP="00E10112" w:rsidRDefault="005713FC" w14:paraId="1C3F4761" w14:textId="77777777"/>
          <w:p w:rsidR="005713FC" w:rsidP="005713FC" w:rsidRDefault="005713FC" w14:paraId="4F16FDF4" w14:textId="166AB72C">
            <w:r>
              <w:t>N</w:t>
            </w:r>
            <w:r w:rsidR="0CBC3836">
              <w:t>o</w:t>
            </w:r>
            <w:r>
              <w:t xml:space="preserve"> patients experienced critical deterioration. No case of RFS reported.</w:t>
            </w:r>
          </w:p>
          <w:p w:rsidR="005713FC" w:rsidP="005713FC" w:rsidRDefault="005713FC" w14:paraId="40196730" w14:textId="77777777"/>
          <w:p w:rsidR="005713FC" w:rsidP="005713FC" w:rsidRDefault="005713FC" w14:paraId="3C2CD94B" w14:textId="77777777">
            <w:r>
              <w:t>N=7 (6.2%) hypophosphatemia &lt;0.75mmol/L, one person critical &lt;0.5mmol/L on admission, 0 pathologic after 4 weeks</w:t>
            </w:r>
          </w:p>
          <w:p w:rsidR="00F20AD3" w:rsidP="005713FC" w:rsidRDefault="00F20AD3" w14:paraId="461F16C3" w14:textId="77777777"/>
          <w:p w:rsidR="00F20AD3" w:rsidP="005713FC" w:rsidRDefault="00F20AD3" w14:paraId="0CA7B5DC" w14:textId="153A220F">
            <w:r>
              <w:t>4-week</w:t>
            </w:r>
            <w:r w:rsidRPr="00F20AD3">
              <w:t xml:space="preserve"> admission, changes in LOS </w:t>
            </w:r>
            <w:r w:rsidR="00B46A95">
              <w:t xml:space="preserve">were </w:t>
            </w:r>
            <w:r w:rsidRPr="00F20AD3">
              <w:t xml:space="preserve">not measured in </w:t>
            </w:r>
            <w:r>
              <w:t xml:space="preserve">the </w:t>
            </w:r>
            <w:r w:rsidRPr="00F20AD3">
              <w:t>study</w:t>
            </w:r>
          </w:p>
        </w:tc>
        <w:tc>
          <w:tcPr>
            <w:tcW w:w="1553" w:type="dxa"/>
            <w:tcMar/>
          </w:tcPr>
          <w:p w:rsidR="00FC1430" w:rsidP="00776F91" w:rsidRDefault="00FC1430" w14:paraId="42FCF9C4" w14:textId="64D64F29">
            <w:r>
              <w:t xml:space="preserve">Aimed for </w:t>
            </w:r>
            <w:proofErr w:type="spellStart"/>
            <w:r>
              <w:t>wt</w:t>
            </w:r>
            <w:proofErr w:type="spellEnd"/>
            <w:r>
              <w:t xml:space="preserve"> increase 0.7-1.0kg/</w:t>
            </w:r>
            <w:proofErr w:type="spellStart"/>
            <w:r>
              <w:t>wk</w:t>
            </w:r>
            <w:proofErr w:type="spellEnd"/>
          </w:p>
          <w:p w:rsidR="00FC1430" w:rsidP="00776F91" w:rsidRDefault="00FC1430" w14:paraId="6E475572" w14:textId="77777777"/>
          <w:p w:rsidR="00FC1430" w:rsidP="00776F91" w:rsidRDefault="00FC1430" w14:paraId="15383110" w14:textId="0B8E86A9">
            <w:pPr>
              <w:rPr>
                <w:rFonts w:ascii="Calibri" w:hAnsi="Calibri" w:cs="Calibri"/>
                <w:kern w:val="0"/>
                <w:szCs w:val="22"/>
                <w:lang w:bidi="ar-SA"/>
              </w:rPr>
            </w:pPr>
            <w:proofErr w:type="spellStart"/>
            <w:r>
              <w:t>Wt</w:t>
            </w:r>
            <w:proofErr w:type="spellEnd"/>
            <w:r>
              <w:t xml:space="preserve"> increased on average 1.0</w:t>
            </w:r>
            <w:r w:rsidRPr="00DD320B">
              <w:rPr>
                <w:rFonts w:ascii="Calibri" w:hAnsi="Calibri" w:cs="Calibri"/>
                <w:kern w:val="0"/>
                <w:szCs w:val="22"/>
                <w:lang w:bidi="ar-SA"/>
              </w:rPr>
              <w:t>±</w:t>
            </w:r>
            <w:r>
              <w:rPr>
                <w:rFonts w:ascii="Calibri" w:hAnsi="Calibri" w:cs="Calibri"/>
                <w:kern w:val="0"/>
                <w:szCs w:val="22"/>
                <w:lang w:bidi="ar-SA"/>
              </w:rPr>
              <w:t>0.5kg/</w:t>
            </w:r>
            <w:proofErr w:type="spellStart"/>
            <w:r>
              <w:rPr>
                <w:rFonts w:ascii="Calibri" w:hAnsi="Calibri" w:cs="Calibri"/>
                <w:kern w:val="0"/>
                <w:szCs w:val="22"/>
                <w:lang w:bidi="ar-SA"/>
              </w:rPr>
              <w:t>wk</w:t>
            </w:r>
            <w:proofErr w:type="spellEnd"/>
            <w:r>
              <w:rPr>
                <w:rFonts w:ascii="Calibri" w:hAnsi="Calibri" w:cs="Calibri"/>
                <w:kern w:val="0"/>
                <w:szCs w:val="22"/>
                <w:lang w:bidi="ar-SA"/>
              </w:rPr>
              <w:t xml:space="preserve"> and by a total of 4.2</w:t>
            </w:r>
            <w:r w:rsidRPr="00DD320B">
              <w:rPr>
                <w:rFonts w:ascii="Calibri" w:hAnsi="Calibri" w:cs="Calibri"/>
                <w:kern w:val="0"/>
                <w:szCs w:val="22"/>
                <w:lang w:bidi="ar-SA"/>
              </w:rPr>
              <w:t>±</w:t>
            </w:r>
            <w:r>
              <w:rPr>
                <w:rFonts w:ascii="Calibri" w:hAnsi="Calibri" w:cs="Calibri"/>
                <w:kern w:val="0"/>
                <w:szCs w:val="22"/>
                <w:lang w:bidi="ar-SA"/>
              </w:rPr>
              <w:t xml:space="preserve">2.0kg over four weeks* </w:t>
            </w:r>
          </w:p>
          <w:p w:rsidR="00FC1430" w:rsidP="00776F91" w:rsidRDefault="00FC1430" w14:paraId="26D38CC4" w14:textId="77777777">
            <w:pPr>
              <w:rPr>
                <w:rFonts w:ascii="Calibri" w:hAnsi="Calibri" w:cs="Calibri"/>
                <w:kern w:val="0"/>
                <w:szCs w:val="22"/>
                <w:lang w:bidi="ar-SA"/>
              </w:rPr>
            </w:pPr>
          </w:p>
          <w:p w:rsidR="00FC1430" w:rsidP="00776F91" w:rsidRDefault="00FC1430" w14:paraId="58DDA05F" w14:textId="7DA9CA76">
            <w:r>
              <w:rPr>
                <w:rFonts w:ascii="Calibri" w:hAnsi="Calibri" w:cs="Calibri"/>
                <w:kern w:val="0"/>
                <w:szCs w:val="22"/>
                <w:lang w:bidi="ar-SA"/>
              </w:rPr>
              <w:t>Total increase 1.4</w:t>
            </w:r>
            <w:r w:rsidRPr="00DD320B">
              <w:rPr>
                <w:rFonts w:ascii="Calibri" w:hAnsi="Calibri" w:cs="Calibri"/>
                <w:kern w:val="0"/>
                <w:szCs w:val="22"/>
                <w:lang w:bidi="ar-SA"/>
              </w:rPr>
              <w:t>±</w:t>
            </w:r>
            <w:r>
              <w:rPr>
                <w:rFonts w:ascii="Calibri" w:hAnsi="Calibri" w:cs="Calibri"/>
                <w:kern w:val="0"/>
                <w:szCs w:val="22"/>
                <w:lang w:bidi="ar-SA"/>
              </w:rPr>
              <w:t xml:space="preserve">0.8 BMI units in four weeks# </w:t>
            </w:r>
          </w:p>
          <w:p w:rsidR="00FC1430" w:rsidP="00776F91" w:rsidRDefault="00FC1430" w14:paraId="6272009B" w14:textId="77777777"/>
          <w:p w:rsidR="00FC1430" w:rsidP="00776F91" w:rsidRDefault="00FC1430" w14:paraId="24AD5ADC" w14:textId="4214A81F"/>
        </w:tc>
        <w:tc>
          <w:tcPr>
            <w:tcW w:w="2099" w:type="dxa"/>
            <w:tcMar/>
          </w:tcPr>
          <w:p w:rsidR="009F4D56" w:rsidP="00776F91" w:rsidRDefault="009F4D56" w14:paraId="17BA24F8" w14:textId="496D977C">
            <w:r>
              <w:t>Indi</w:t>
            </w:r>
            <w:r w:rsidR="00867270">
              <w:t xml:space="preserve">vidual energy intake </w:t>
            </w:r>
            <w:r w:rsidR="007F295B">
              <w:t xml:space="preserve">and </w:t>
            </w:r>
            <w:r w:rsidR="00681F19">
              <w:t xml:space="preserve">adherence to dietary recommendations </w:t>
            </w:r>
            <w:r w:rsidR="00B46A95">
              <w:t xml:space="preserve">were </w:t>
            </w:r>
            <w:r w:rsidR="00681F19">
              <w:t>not recorded</w:t>
            </w:r>
          </w:p>
          <w:p w:rsidR="00FC1430" w:rsidP="00776F91" w:rsidRDefault="00FC1430" w14:paraId="6FD68000" w14:textId="77777777"/>
          <w:p w:rsidR="00FC1430" w:rsidP="00776F91" w:rsidRDefault="00FC1430" w14:paraId="29836BB6" w14:textId="30020B55"/>
        </w:tc>
      </w:tr>
      <w:tr w:rsidR="004E2FC9" w:rsidTr="2CE3218F" w14:paraId="5089A767" w14:textId="77777777">
        <w:tc>
          <w:tcPr>
            <w:tcW w:w="1254" w:type="dxa"/>
            <w:tcMar/>
          </w:tcPr>
          <w:p w:rsidR="00AE1ED9" w:rsidP="00AE1ED9" w:rsidRDefault="00AE1ED9" w14:paraId="065EA07E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Richardson et al. (2021)</w:t>
            </w:r>
          </w:p>
          <w:p w:rsidR="00354BFC" w:rsidP="00AE1ED9" w:rsidRDefault="00354BFC" w14:paraId="272429D7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354BFC" w:rsidP="00354BFC" w:rsidRDefault="00354BFC" w14:paraId="0543AED9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Canada</w:t>
            </w:r>
          </w:p>
          <w:p w:rsidR="00354BFC" w:rsidP="00AE1ED9" w:rsidRDefault="00354BFC" w14:paraId="1B2D5E72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E2FC9" w:rsidP="00776F91" w:rsidRDefault="004E2FC9" w14:paraId="6E444167" w14:textId="77777777"/>
        </w:tc>
        <w:tc>
          <w:tcPr>
            <w:tcW w:w="1437" w:type="dxa"/>
            <w:tcMar/>
          </w:tcPr>
          <w:p w:rsidR="0077615D" w:rsidP="0077615D" w:rsidRDefault="0077615D" w14:paraId="326F9272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Retrospective chart review</w:t>
            </w:r>
          </w:p>
          <w:p w:rsidR="001B4AD1" w:rsidP="0077615D" w:rsidRDefault="001B4AD1" w14:paraId="68874B86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1B4AD1" w:rsidP="0077615D" w:rsidRDefault="001B4AD1" w14:paraId="1C6D3FFC" w14:textId="6DD87A0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Inpatient eating disorder unit</w:t>
            </w:r>
          </w:p>
          <w:p w:rsidR="004E2FC9" w:rsidP="00776F91" w:rsidRDefault="004E2FC9" w14:paraId="4B8E0CD8" w14:textId="77777777"/>
        </w:tc>
        <w:tc>
          <w:tcPr>
            <w:tcW w:w="2084" w:type="dxa"/>
            <w:tcMar/>
          </w:tcPr>
          <w:p w:rsidR="004E2FC9" w:rsidP="0085334C" w:rsidRDefault="000F5212" w14:paraId="238FA133" w14:textId="0A51D2E7">
            <w:pPr>
              <w:rPr>
                <w:rFonts w:ascii="Calibri" w:hAnsi="Calibri" w:cs="Calibri"/>
                <w:color w:val="000000"/>
                <w:szCs w:val="22"/>
              </w:rPr>
            </w:pPr>
            <w:r w:rsidRPr="000F5212">
              <w:rPr>
                <w:rFonts w:ascii="Calibri" w:hAnsi="Calibri" w:cs="Calibri"/>
                <w:color w:val="000000"/>
                <w:szCs w:val="22"/>
              </w:rPr>
              <w:t xml:space="preserve">Review charts of all inpatients with an ED </w:t>
            </w:r>
            <w:r w:rsidR="00F806C6">
              <w:rPr>
                <w:rFonts w:ascii="Calibri" w:hAnsi="Calibri" w:cs="Calibri"/>
                <w:color w:val="000000"/>
                <w:szCs w:val="22"/>
              </w:rPr>
              <w:t>admitted to the program</w:t>
            </w:r>
            <w:r w:rsidRPr="000F5212">
              <w:rPr>
                <w:rFonts w:ascii="Calibri" w:hAnsi="Calibri" w:cs="Calibri"/>
                <w:color w:val="000000"/>
                <w:szCs w:val="22"/>
              </w:rPr>
              <w:t xml:space="preserve">. Primary objective = assess if medical parameters </w:t>
            </w:r>
            <w:r w:rsidR="00C4621E">
              <w:rPr>
                <w:rFonts w:ascii="Calibri" w:hAnsi="Calibri" w:cs="Calibri"/>
                <w:color w:val="000000"/>
                <w:szCs w:val="22"/>
              </w:rPr>
              <w:t>i.e.</w:t>
            </w:r>
            <w:r w:rsidRPr="000F5212">
              <w:rPr>
                <w:rFonts w:ascii="Calibri" w:hAnsi="Calibri" w:cs="Calibri"/>
                <w:color w:val="000000"/>
                <w:szCs w:val="22"/>
              </w:rPr>
              <w:t xml:space="preserve"> presence </w:t>
            </w:r>
            <w:r w:rsidR="00826ECD">
              <w:rPr>
                <w:rFonts w:ascii="Calibri" w:hAnsi="Calibri" w:cs="Calibri"/>
                <w:color w:val="000000"/>
                <w:szCs w:val="22"/>
              </w:rPr>
              <w:t xml:space="preserve">of </w:t>
            </w:r>
            <w:proofErr w:type="spellStart"/>
            <w:r w:rsidRPr="000F5212">
              <w:rPr>
                <w:rFonts w:ascii="Calibri" w:hAnsi="Calibri" w:cs="Calibri"/>
                <w:color w:val="000000"/>
                <w:szCs w:val="22"/>
              </w:rPr>
              <w:t>hypophosphataemia</w:t>
            </w:r>
            <w:proofErr w:type="spellEnd"/>
            <w:r w:rsidRPr="000F5212">
              <w:rPr>
                <w:rFonts w:ascii="Calibri" w:hAnsi="Calibri" w:cs="Calibri"/>
                <w:color w:val="000000"/>
                <w:szCs w:val="22"/>
              </w:rPr>
              <w:t xml:space="preserve"> at admission were related to clinical outcome</w:t>
            </w:r>
          </w:p>
        </w:tc>
        <w:tc>
          <w:tcPr>
            <w:tcW w:w="1511" w:type="dxa"/>
            <w:tcMar/>
          </w:tcPr>
          <w:p w:rsidR="00F43E9F" w:rsidP="00F43E9F" w:rsidRDefault="00E24D08" w14:paraId="7225CD0E" w14:textId="22430F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N</w:t>
            </w:r>
            <w:commentRangeStart w:id="0"/>
            <w:r w:rsidRPr="035B1CD3" w:rsidR="00F43E9F">
              <w:rPr>
                <w:rFonts w:ascii="Calibri" w:hAnsi="Calibri" w:cs="Calibri"/>
                <w:color w:val="000000" w:themeColor="text1"/>
              </w:rPr>
              <w:t>=288</w:t>
            </w:r>
            <w:commentRangeEnd w:id="0"/>
            <w:r w:rsidRPr="035B1CD3" w:rsidR="00F43E9F">
              <w:rPr>
                <w:rStyle w:val="CommentReference"/>
                <w:rFonts w:ascii="Calibri" w:hAnsi="Calibri" w:cs="Calibri"/>
                <w:color w:val="000000" w:themeColor="text1"/>
                <w:sz w:val="22"/>
                <w:szCs w:val="28"/>
              </w:rPr>
              <w:commentReference w:id="0"/>
            </w:r>
            <w:r w:rsidRPr="035B1CD3" w:rsidR="00F43E9F">
              <w:rPr>
                <w:rFonts w:ascii="Calibri" w:hAnsi="Calibri" w:cs="Calibri"/>
                <w:color w:val="000000" w:themeColor="text1"/>
              </w:rPr>
              <w:t xml:space="preserve"> admissions</w:t>
            </w:r>
            <w:r w:rsidR="00F43E9F">
              <w:br/>
            </w:r>
            <w:r w:rsidRPr="035B1CD3" w:rsidR="00C4621E">
              <w:rPr>
                <w:rFonts w:ascii="Calibri" w:hAnsi="Calibri" w:cs="Calibri"/>
                <w:color w:val="000000" w:themeColor="text1"/>
              </w:rPr>
              <w:t>n=</w:t>
            </w:r>
            <w:r w:rsidRPr="035B1CD3" w:rsidR="00F43E9F">
              <w:rPr>
                <w:rFonts w:ascii="Calibri" w:hAnsi="Calibri" w:cs="Calibri"/>
                <w:color w:val="000000" w:themeColor="text1"/>
              </w:rPr>
              <w:t xml:space="preserve">235 admissions met </w:t>
            </w:r>
            <w:r w:rsidRPr="035B1CD3" w:rsidR="00F806C6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Pr="035B1CD3" w:rsidR="00F43E9F">
              <w:rPr>
                <w:rFonts w:ascii="Calibri" w:hAnsi="Calibri" w:cs="Calibri"/>
                <w:color w:val="000000" w:themeColor="text1"/>
              </w:rPr>
              <w:t>'significant</w:t>
            </w:r>
            <w:r w:rsidRPr="035B1CD3" w:rsidR="00F806C6">
              <w:rPr>
                <w:rFonts w:ascii="Calibri" w:hAnsi="Calibri" w:cs="Calibri"/>
                <w:color w:val="000000" w:themeColor="text1"/>
              </w:rPr>
              <w:t>ly</w:t>
            </w:r>
            <w:r w:rsidRPr="035B1CD3" w:rsidR="00F43E9F">
              <w:rPr>
                <w:rFonts w:ascii="Calibri" w:hAnsi="Calibri" w:cs="Calibri"/>
                <w:color w:val="000000" w:themeColor="text1"/>
              </w:rPr>
              <w:t>' medically compromised group</w:t>
            </w:r>
            <w:r w:rsidR="00F43E9F">
              <w:br/>
            </w:r>
            <w:r w:rsidRPr="035B1CD3" w:rsidR="00C4621E">
              <w:rPr>
                <w:rFonts w:ascii="Calibri" w:hAnsi="Calibri" w:cs="Calibri"/>
                <w:color w:val="000000" w:themeColor="text1"/>
              </w:rPr>
              <w:t>n=</w:t>
            </w:r>
            <w:r w:rsidRPr="035B1CD3" w:rsidR="00F43E9F">
              <w:rPr>
                <w:rFonts w:ascii="Calibri" w:hAnsi="Calibri" w:cs="Calibri"/>
                <w:color w:val="000000" w:themeColor="text1"/>
              </w:rPr>
              <w:t>17 met 'moderately' compromised</w:t>
            </w:r>
            <w:r w:rsidRPr="035B1CD3" w:rsidR="00C4621E">
              <w:rPr>
                <w:rFonts w:ascii="Calibri" w:hAnsi="Calibri" w:cs="Calibri"/>
                <w:color w:val="000000" w:themeColor="text1"/>
              </w:rPr>
              <w:t xml:space="preserve"> group</w:t>
            </w:r>
            <w:r w:rsidR="00F43E9F">
              <w:br/>
            </w:r>
            <w:r w:rsidR="00F43E9F">
              <w:br/>
            </w:r>
            <w:r w:rsidRPr="035B1CD3" w:rsidR="00F43E9F">
              <w:rPr>
                <w:rFonts w:ascii="Calibri" w:hAnsi="Calibri" w:cs="Calibri"/>
                <w:color w:val="000000" w:themeColor="text1"/>
              </w:rPr>
              <w:t>32.5 (SD = 11.4) years</w:t>
            </w:r>
          </w:p>
          <w:p w:rsidR="004E2FC9" w:rsidP="00630473" w:rsidRDefault="004E2FC9" w14:paraId="5827D620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77" w:type="dxa"/>
            <w:tcMar/>
          </w:tcPr>
          <w:p w:rsidR="0035040E" w:rsidP="0035040E" w:rsidRDefault="0035040E" w14:paraId="40D7E396" w14:textId="22CEFCF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None. Those who didn’t </w:t>
            </w:r>
            <w:r w:rsidR="00364A55">
              <w:rPr>
                <w:rFonts w:ascii="Calibri" w:hAnsi="Calibri" w:cs="Calibri"/>
                <w:color w:val="000000"/>
                <w:szCs w:val="22"/>
              </w:rPr>
              <w:t>fit significant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or moderate groups </w:t>
            </w:r>
            <w:r w:rsidR="00364A55">
              <w:rPr>
                <w:rFonts w:ascii="Calibri" w:hAnsi="Calibri" w:cs="Calibri"/>
                <w:color w:val="000000"/>
                <w:szCs w:val="22"/>
              </w:rPr>
              <w:t xml:space="preserve">were </w:t>
            </w:r>
            <w:r>
              <w:rPr>
                <w:rFonts w:ascii="Calibri" w:hAnsi="Calibri" w:cs="Calibri"/>
                <w:color w:val="000000"/>
                <w:szCs w:val="22"/>
              </w:rPr>
              <w:t>assigned to 'other'</w:t>
            </w:r>
            <w:r w:rsidR="00C4621E">
              <w:rPr>
                <w:rFonts w:ascii="Calibri" w:hAnsi="Calibri" w:cs="Calibri"/>
                <w:color w:val="000000"/>
                <w:szCs w:val="22"/>
              </w:rPr>
              <w:t xml:space="preserve"> (n=36)</w:t>
            </w:r>
          </w:p>
          <w:p w:rsidR="004E2FC9" w:rsidP="00461E38" w:rsidRDefault="004E2FC9" w14:paraId="0B4E7719" w14:textId="77777777"/>
        </w:tc>
        <w:tc>
          <w:tcPr>
            <w:tcW w:w="1587" w:type="dxa"/>
            <w:tcMar/>
          </w:tcPr>
          <w:p w:rsidR="004B5D34" w:rsidP="004B5D34" w:rsidRDefault="004B5D34" w14:paraId="1E75C8C4" w14:textId="245B07E3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Changes in increases per week of treatment from an additional 200-300kcal/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to ~600kcal/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in 2019. </w:t>
            </w:r>
          </w:p>
          <w:p w:rsidR="004B5D34" w:rsidP="004B5D34" w:rsidRDefault="004B5D34" w14:paraId="29B00698" w14:textId="01B21A1B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Week 1 prescribed 1682 (SD = </w:t>
            </w:r>
            <w:r w:rsidR="00CB7C19">
              <w:rPr>
                <w:rFonts w:ascii="Calibri" w:hAnsi="Calibri" w:cs="Calibri"/>
                <w:color w:val="000000"/>
                <w:szCs w:val="22"/>
              </w:rPr>
              <w:t>352) kcal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in the significant group, </w:t>
            </w:r>
            <w:r w:rsidR="0001255F">
              <w:rPr>
                <w:rFonts w:ascii="Calibri" w:hAnsi="Calibri" w:cs="Calibri"/>
                <w:color w:val="000000"/>
                <w:szCs w:val="22"/>
              </w:rPr>
              <w:t xml:space="preserve">and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weekly </w:t>
            </w:r>
            <w:r>
              <w:rPr>
                <w:rFonts w:ascii="Calibri" w:hAnsi="Calibri" w:cs="Calibri"/>
                <w:color w:val="000000"/>
                <w:szCs w:val="22"/>
              </w:rPr>
              <w:t>increases up to Week 4 2538 (SD = 502)kcal in the significant group</w:t>
            </w:r>
          </w:p>
          <w:p w:rsidR="004E2FC9" w:rsidP="00776F91" w:rsidRDefault="004E2FC9" w14:paraId="5C3BBC04" w14:textId="77777777"/>
        </w:tc>
        <w:tc>
          <w:tcPr>
            <w:tcW w:w="3094" w:type="dxa"/>
            <w:tcMar/>
          </w:tcPr>
          <w:p w:rsidR="00930E5B" w:rsidP="00930E5B" w:rsidRDefault="00930E5B" w14:paraId="6FF5CC8C" w14:textId="39C39B3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Hypophosphataemia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defined as &lt;0.80mmol/L</w:t>
            </w:r>
          </w:p>
          <w:p w:rsidR="00001DD5" w:rsidP="00930E5B" w:rsidRDefault="00001DD5" w14:paraId="212FCE75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Pr="00001DD5" w:rsidR="00001DD5" w:rsidP="00001DD5" w:rsidRDefault="00001DD5" w14:paraId="4B149437" w14:textId="78035466">
            <w:pPr>
              <w:rPr>
                <w:rFonts w:ascii="Calibri" w:hAnsi="Calibri" w:cs="Calibri"/>
                <w:color w:val="000000"/>
                <w:szCs w:val="22"/>
              </w:rPr>
            </w:pPr>
            <w:r w:rsidRPr="00001DD5">
              <w:rPr>
                <w:rFonts w:ascii="Calibri" w:hAnsi="Calibri" w:cs="Calibri"/>
                <w:color w:val="000000"/>
                <w:szCs w:val="22"/>
              </w:rPr>
              <w:t xml:space="preserve">Those who developed </w:t>
            </w:r>
            <w:proofErr w:type="spellStart"/>
            <w:r w:rsidRPr="00001DD5">
              <w:rPr>
                <w:rFonts w:ascii="Calibri" w:hAnsi="Calibri" w:cs="Calibri"/>
                <w:color w:val="000000"/>
                <w:szCs w:val="22"/>
              </w:rPr>
              <w:t>hypophosphataemia</w:t>
            </w:r>
            <w:proofErr w:type="spellEnd"/>
            <w:r w:rsidRPr="00001DD5">
              <w:rPr>
                <w:rFonts w:ascii="Calibri" w:hAnsi="Calibri" w:cs="Calibri"/>
                <w:color w:val="000000"/>
                <w:szCs w:val="22"/>
              </w:rPr>
              <w:t xml:space="preserve"> ha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d </w:t>
            </w:r>
            <w:r w:rsidRPr="00001DD5">
              <w:rPr>
                <w:rFonts w:ascii="Calibri" w:hAnsi="Calibri" w:cs="Calibri"/>
                <w:color w:val="000000"/>
                <w:szCs w:val="22"/>
              </w:rPr>
              <w:t>lower admission BMI (BMI 14.1 SD = 3.58 vs 16.4, SD = 3.51)</w:t>
            </w:r>
            <w:r w:rsidR="002964C6">
              <w:rPr>
                <w:rFonts w:ascii="Calibri" w:hAnsi="Calibri" w:cs="Calibri"/>
                <w:color w:val="000000"/>
                <w:szCs w:val="22"/>
              </w:rPr>
              <w:t>*</w:t>
            </w:r>
          </w:p>
          <w:p w:rsidRPr="00001DD5" w:rsidR="00001DD5" w:rsidP="00001DD5" w:rsidRDefault="00001DD5" w14:paraId="6F86DBD1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001DD5" w:rsidP="00001DD5" w:rsidRDefault="00001DD5" w14:paraId="6666C8E6" w14:textId="33E90131">
            <w:pPr>
              <w:rPr>
                <w:rFonts w:ascii="Calibri" w:hAnsi="Calibri" w:cs="Calibri"/>
                <w:color w:val="000000"/>
                <w:szCs w:val="22"/>
              </w:rPr>
            </w:pPr>
            <w:r w:rsidRPr="00001DD5">
              <w:rPr>
                <w:rFonts w:ascii="Calibri" w:hAnsi="Calibri" w:cs="Calibri"/>
                <w:color w:val="000000"/>
                <w:szCs w:val="22"/>
              </w:rPr>
              <w:t xml:space="preserve">Only </w:t>
            </w:r>
            <w:proofErr w:type="spellStart"/>
            <w:r w:rsidRPr="00001DD5">
              <w:rPr>
                <w:rFonts w:ascii="Calibri" w:hAnsi="Calibri" w:cs="Calibri"/>
                <w:color w:val="000000"/>
                <w:szCs w:val="22"/>
              </w:rPr>
              <w:t>hypophosphataemia</w:t>
            </w:r>
            <w:proofErr w:type="spellEnd"/>
            <w:r w:rsidRPr="00001DD5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01255F">
              <w:rPr>
                <w:rFonts w:ascii="Calibri" w:hAnsi="Calibri" w:cs="Calibri"/>
                <w:color w:val="000000"/>
                <w:szCs w:val="22"/>
              </w:rPr>
              <w:t xml:space="preserve">was found to be a </w:t>
            </w:r>
            <w:r w:rsidRPr="00001DD5">
              <w:rPr>
                <w:rFonts w:ascii="Calibri" w:hAnsi="Calibri" w:cs="Calibri"/>
                <w:color w:val="000000"/>
                <w:szCs w:val="22"/>
              </w:rPr>
              <w:t>statistically significant predictor of ICU admission. However</w:t>
            </w:r>
            <w:r w:rsidR="0001255F"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001DD5">
              <w:rPr>
                <w:rFonts w:ascii="Calibri" w:hAnsi="Calibri" w:cs="Calibri"/>
                <w:color w:val="000000"/>
                <w:szCs w:val="22"/>
              </w:rPr>
              <w:t xml:space="preserve"> no patients </w:t>
            </w:r>
            <w:r w:rsidR="002964C6">
              <w:rPr>
                <w:rFonts w:ascii="Calibri" w:hAnsi="Calibri" w:cs="Calibri"/>
                <w:color w:val="000000"/>
                <w:szCs w:val="22"/>
              </w:rPr>
              <w:t xml:space="preserve">were </w:t>
            </w:r>
            <w:r w:rsidRPr="00001DD5" w:rsidR="0001255F">
              <w:rPr>
                <w:rFonts w:ascii="Calibri" w:hAnsi="Calibri" w:cs="Calibri"/>
                <w:color w:val="000000"/>
                <w:szCs w:val="22"/>
              </w:rPr>
              <w:t>transferred</w:t>
            </w:r>
            <w:r w:rsidRPr="00001DD5">
              <w:rPr>
                <w:rFonts w:ascii="Calibri" w:hAnsi="Calibri" w:cs="Calibri"/>
                <w:color w:val="000000"/>
                <w:szCs w:val="22"/>
              </w:rPr>
              <w:t xml:space="preserve"> ICU due to this</w:t>
            </w:r>
            <w:r w:rsidR="002964C6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4E2FC9" w:rsidP="006156E9" w:rsidRDefault="004E2FC9" w14:paraId="7AA8DFA8" w14:textId="77777777"/>
        </w:tc>
        <w:tc>
          <w:tcPr>
            <w:tcW w:w="1553" w:type="dxa"/>
            <w:tcMar/>
          </w:tcPr>
          <w:p w:rsidR="000F7F6D" w:rsidP="000F7F6D" w:rsidRDefault="0B718C10" w14:paraId="3550EBE0" w14:textId="114C747E">
            <w:r>
              <w:t xml:space="preserve">Mean </w:t>
            </w:r>
            <w:r w:rsidR="000F7F6D">
              <w:t>BMI at admission = 14.8 (SD = 1.8), range = 10.2-18.4kg/m2</w:t>
            </w:r>
          </w:p>
          <w:p w:rsidR="000F7F6D" w:rsidP="000F7F6D" w:rsidRDefault="000F7F6D" w14:paraId="7C75CAF6" w14:textId="77777777"/>
          <w:p w:rsidR="000F7F6D" w:rsidP="000F7F6D" w:rsidRDefault="2F6AA66A" w14:paraId="4DF8305C" w14:textId="3D134338">
            <w:r>
              <w:t xml:space="preserve">Mean </w:t>
            </w:r>
            <w:r w:rsidR="000F7F6D">
              <w:t>BMI at 4 weeks = 16.1 (SD=1.9), range = 11.2-21.3kg/m2</w:t>
            </w:r>
          </w:p>
          <w:p w:rsidR="000F7F6D" w:rsidP="000F7F6D" w:rsidRDefault="000F7F6D" w14:paraId="45640FF7" w14:textId="77777777"/>
          <w:p w:rsidR="00012025" w:rsidP="000F7F6D" w:rsidRDefault="00012025" w14:paraId="51E8E8E8" w14:textId="77777777"/>
          <w:p w:rsidR="00012025" w:rsidP="00012025" w:rsidRDefault="00012025" w14:paraId="3B102074" w14:textId="037F6D19">
            <w:r w:rsidRPr="00E53710">
              <w:t xml:space="preserve">Rate of weight gain </w:t>
            </w:r>
            <w:r w:rsidR="00826ECD">
              <w:t xml:space="preserve">was </w:t>
            </w:r>
            <w:r w:rsidRPr="00E53710">
              <w:t xml:space="preserve">not </w:t>
            </w:r>
            <w:r w:rsidRPr="00E53710">
              <w:t>commented on.</w:t>
            </w:r>
          </w:p>
          <w:p w:rsidR="00012025" w:rsidP="000F7F6D" w:rsidRDefault="00012025" w14:paraId="07935AD4" w14:textId="77777777"/>
          <w:p w:rsidR="00E3101A" w:rsidP="000F7F6D" w:rsidRDefault="00E3101A" w14:paraId="5262F65C" w14:textId="77777777"/>
          <w:p w:rsidR="004E2FC9" w:rsidP="00776F91" w:rsidRDefault="7DD7C10D" w14:paraId="3B993A0D" w14:textId="60798351">
            <w:r>
              <w:t>Mean</w:t>
            </w:r>
            <w:r w:rsidRPr="00DC20CA" w:rsidR="00DC20CA">
              <w:t xml:space="preserve"> LOS = 38.4 (SD = 28.4) days, (</w:t>
            </w:r>
            <w:r w:rsidR="00DC20CA">
              <w:t>range</w:t>
            </w:r>
            <w:r w:rsidRPr="00DC20CA" w:rsidR="00DC20CA">
              <w:t xml:space="preserve"> = 1-126 days, 1 outlier 253 days). No data on changes in LOS</w:t>
            </w:r>
          </w:p>
        </w:tc>
        <w:tc>
          <w:tcPr>
            <w:tcW w:w="2099" w:type="dxa"/>
            <w:tcMar/>
          </w:tcPr>
          <w:p w:rsidR="004E2FC9" w:rsidP="00776F91" w:rsidRDefault="00426BB4" w14:paraId="6BDA8F07" w14:textId="4786424F">
            <w:r w:rsidRPr="00426BB4">
              <w:t xml:space="preserve">Refeeding syndrome </w:t>
            </w:r>
            <w:r w:rsidR="00826ECD">
              <w:t xml:space="preserve">was </w:t>
            </w:r>
            <w:r w:rsidRPr="00426BB4">
              <w:t xml:space="preserve">not discussed. </w:t>
            </w:r>
            <w:r w:rsidR="00826ECD">
              <w:t xml:space="preserve"> </w:t>
            </w:r>
            <w:r w:rsidR="5C39C0CB">
              <w:t>I</w:t>
            </w:r>
            <w:r w:rsidRPr="00426BB4">
              <w:t xml:space="preserve">ncidence of hypophosphatemia </w:t>
            </w:r>
            <w:r w:rsidR="6F55DE3D">
              <w:t>w</w:t>
            </w:r>
            <w:r>
              <w:t>as</w:t>
            </w:r>
            <w:r w:rsidRPr="00426BB4">
              <w:t xml:space="preserve"> key measure</w:t>
            </w:r>
            <w:r w:rsidR="30357F6F">
              <w:t>.</w:t>
            </w:r>
          </w:p>
          <w:p w:rsidR="00012025" w:rsidP="00776F91" w:rsidRDefault="00012025" w14:paraId="497957B4" w14:textId="77777777"/>
          <w:p w:rsidR="00826ECD" w:rsidP="00826ECD" w:rsidRDefault="00826ECD" w14:paraId="78BF89F9" w14:textId="77777777">
            <w:r>
              <w:t>BMI at admission was associated with BMI at 4 weeks*</w:t>
            </w:r>
          </w:p>
          <w:p w:rsidR="00826ECD" w:rsidP="00776F91" w:rsidRDefault="00826ECD" w14:paraId="0054CEAE" w14:textId="39066EC1"/>
        </w:tc>
      </w:tr>
      <w:tr w:rsidR="000F5212" w:rsidTr="2CE3218F" w14:paraId="43D859A9" w14:textId="77777777">
        <w:tc>
          <w:tcPr>
            <w:tcW w:w="1254" w:type="dxa"/>
            <w:tcMar/>
          </w:tcPr>
          <w:p w:rsidR="00FC1430" w:rsidP="00776F91" w:rsidRDefault="00FC1430" w14:paraId="1BAACC64" w14:textId="77777777">
            <w:proofErr w:type="spellStart"/>
            <w:r>
              <w:t>Cuntz</w:t>
            </w:r>
            <w:proofErr w:type="spellEnd"/>
            <w:r>
              <w:t xml:space="preserve"> et al. (2022)</w:t>
            </w:r>
          </w:p>
          <w:p w:rsidR="00FC1430" w:rsidP="00776F91" w:rsidRDefault="00FC1430" w14:paraId="5A4EDAB5" w14:textId="77777777"/>
          <w:p w:rsidR="00FC1430" w:rsidP="00776F91" w:rsidRDefault="00FC1430" w14:paraId="310383A5" w14:textId="6EDE1B0B">
            <w:r>
              <w:t>Germany</w:t>
            </w:r>
          </w:p>
          <w:p w:rsidR="00FC1430" w:rsidP="00776F91" w:rsidRDefault="00FC1430" w14:paraId="19CFE2A2" w14:textId="77777777"/>
          <w:p w:rsidR="00FC1430" w:rsidP="00776F91" w:rsidRDefault="00FC1430" w14:paraId="7FB79551" w14:textId="384D1F9C"/>
        </w:tc>
        <w:tc>
          <w:tcPr>
            <w:tcW w:w="1437" w:type="dxa"/>
            <w:tcMar/>
          </w:tcPr>
          <w:p w:rsidR="00FC1430" w:rsidP="00776F91" w:rsidRDefault="00FC1430" w14:paraId="557C9726" w14:textId="2D3B37F8">
            <w:r>
              <w:t>Retrospective</w:t>
            </w:r>
          </w:p>
          <w:p w:rsidR="00FC1430" w:rsidP="00776F91" w:rsidRDefault="00FC1430" w14:paraId="6B4BE8BE" w14:textId="0DF5F4F4">
            <w:r>
              <w:t>observational study</w:t>
            </w:r>
          </w:p>
          <w:p w:rsidR="00196EB7" w:rsidP="00776F91" w:rsidRDefault="00196EB7" w14:paraId="62239DA3" w14:textId="77777777"/>
          <w:p w:rsidR="00196EB7" w:rsidP="00776F91" w:rsidRDefault="00196EB7" w14:paraId="007DE729" w14:textId="143D826D">
            <w:r>
              <w:t>Inpatient eating disorder unit</w:t>
            </w:r>
          </w:p>
          <w:p w:rsidR="00FC1430" w:rsidP="00776F91" w:rsidRDefault="00FC1430" w14:paraId="40E84873" w14:textId="68CBEFEE"/>
        </w:tc>
        <w:tc>
          <w:tcPr>
            <w:tcW w:w="2084" w:type="dxa"/>
            <w:tcMar/>
          </w:tcPr>
          <w:p w:rsidR="0085334C" w:rsidP="0085334C" w:rsidRDefault="0085334C" w14:paraId="4F1DB8C0" w14:textId="793BC388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1) Risk estimation based on labs to judge </w:t>
            </w:r>
            <w:r w:rsidR="00293383">
              <w:rPr>
                <w:rFonts w:ascii="Calibri" w:hAnsi="Calibri" w:cs="Calibri"/>
                <w:color w:val="000000"/>
                <w:szCs w:val="22"/>
              </w:rPr>
              <w:t xml:space="preserve">the </w:t>
            </w:r>
            <w:r>
              <w:rPr>
                <w:rFonts w:ascii="Calibri" w:hAnsi="Calibri" w:cs="Calibri"/>
                <w:color w:val="000000"/>
                <w:szCs w:val="22"/>
              </w:rPr>
              <w:t>overall health status in AN and RFS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2) Use risk estimation to evaluate health status during RFS using </w:t>
            </w:r>
            <w:r w:rsidR="00293383">
              <w:rPr>
                <w:rFonts w:ascii="Calibri" w:hAnsi="Calibri" w:cs="Calibri"/>
                <w:color w:val="000000"/>
                <w:szCs w:val="22"/>
              </w:rPr>
              <w:t>a HCR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protocol</w:t>
            </w:r>
          </w:p>
          <w:p w:rsidR="00FC1430" w:rsidP="00776F91" w:rsidRDefault="00FC1430" w14:paraId="17479EDE" w14:textId="7E2CEA52"/>
        </w:tc>
        <w:tc>
          <w:tcPr>
            <w:tcW w:w="1511" w:type="dxa"/>
            <w:tcMar/>
          </w:tcPr>
          <w:p w:rsidR="00630473" w:rsidP="00630473" w:rsidRDefault="00630473" w14:paraId="125440F0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Sample 1 n=3230</w:t>
            </w:r>
          </w:p>
          <w:p w:rsidR="00630473" w:rsidP="00630473" w:rsidRDefault="00630473" w14:paraId="53856543" w14:textId="16067F74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>Sample 2 n = 520</w:t>
            </w:r>
          </w:p>
          <w:p w:rsidR="00FC1430" w:rsidP="00776F91" w:rsidRDefault="00FC1430" w14:paraId="7AB00087" w14:textId="4523C387">
            <w:r>
              <w:br/>
            </w:r>
            <w:r>
              <w:t>Mean age 22.5 years, range 12-73 years old</w:t>
            </w:r>
            <w:r w:rsidR="006B1075">
              <w:t>, with AN and BMI &lt;13kg/m2</w:t>
            </w:r>
          </w:p>
          <w:p w:rsidR="00FC1430" w:rsidP="00776F91" w:rsidRDefault="00FC1430" w14:paraId="01806A8A" w14:textId="77777777"/>
          <w:p w:rsidR="00FC1430" w:rsidP="00776F91" w:rsidRDefault="00FC1430" w14:paraId="7D07861C" w14:textId="24B0D117">
            <w:r>
              <w:t xml:space="preserve">Retention period </w:t>
            </w:r>
            <w:r>
              <w:rPr>
                <w:rFonts w:cstheme="minorHAnsi"/>
              </w:rPr>
              <w:t>≥</w:t>
            </w:r>
            <w:r>
              <w:t>28 days</w:t>
            </w:r>
          </w:p>
          <w:p w:rsidR="00FC1430" w:rsidP="00776F91" w:rsidRDefault="00FC1430" w14:paraId="1F5E0EE8" w14:textId="77777777"/>
          <w:p w:rsidR="00FC1430" w:rsidP="00776F91" w:rsidRDefault="00FC1430" w14:paraId="2A303FB7" w14:textId="0F656C26"/>
        </w:tc>
        <w:tc>
          <w:tcPr>
            <w:tcW w:w="1577" w:type="dxa"/>
            <w:tcMar/>
          </w:tcPr>
          <w:p w:rsidR="00461E38" w:rsidP="00461E38" w:rsidRDefault="00461E38" w14:paraId="45212D5A" w14:textId="77777777">
            <w:r>
              <w:t>Adm &lt;28d, missing complete data set</w:t>
            </w:r>
          </w:p>
          <w:p w:rsidR="00FC1430" w:rsidP="00461E38" w:rsidRDefault="00461E38" w14:paraId="35D003FE" w14:textId="24D5B096">
            <w:r>
              <w:t>&lt;18yrs</w:t>
            </w:r>
          </w:p>
        </w:tc>
        <w:tc>
          <w:tcPr>
            <w:tcW w:w="1587" w:type="dxa"/>
            <w:tcMar/>
          </w:tcPr>
          <w:p w:rsidR="00FC1430" w:rsidP="00776F91" w:rsidRDefault="00FC1430" w14:paraId="0A861A6C" w14:textId="3E0DE326">
            <w:r>
              <w:t>Initial 2000kcal Up to 4000kcal</w:t>
            </w:r>
          </w:p>
          <w:p w:rsidR="00FC1430" w:rsidP="00776F91" w:rsidRDefault="00FC1430" w14:paraId="6689947D" w14:textId="77777777"/>
          <w:p w:rsidR="00FC1430" w:rsidP="00776F91" w:rsidRDefault="00FC1430" w14:paraId="5A014E37" w14:textId="3D11B7AA">
            <w:r>
              <w:t xml:space="preserve">Calories adjusted according to </w:t>
            </w:r>
            <w:proofErr w:type="spellStart"/>
            <w:r>
              <w:t>wt</w:t>
            </w:r>
            <w:proofErr w:type="spellEnd"/>
            <w:r>
              <w:t xml:space="preserve"> development to aim for an increase in BW 0.7-1.0kg/wk.</w:t>
            </w:r>
          </w:p>
          <w:p w:rsidR="00BE66D2" w:rsidP="00776F91" w:rsidRDefault="00BE66D2" w14:paraId="2EB772A4" w14:textId="77777777"/>
          <w:p w:rsidR="00BE66D2" w:rsidP="00BE66D2" w:rsidRDefault="00BE66D2" w14:paraId="5C3D18D4" w14:textId="77777777">
            <w:r>
              <w:t>Aim for 700-1000g/</w:t>
            </w:r>
            <w:proofErr w:type="spellStart"/>
            <w:r>
              <w:t>wk</w:t>
            </w:r>
            <w:proofErr w:type="spellEnd"/>
            <w:r>
              <w:t xml:space="preserve"> gain. 100g per day</w:t>
            </w:r>
          </w:p>
          <w:p w:rsidR="00BE66D2" w:rsidP="00776F91" w:rsidRDefault="00BE66D2" w14:paraId="2EA071DE" w14:textId="77777777"/>
          <w:p w:rsidR="00FC1430" w:rsidP="00776F91" w:rsidRDefault="00FC1430" w14:paraId="6809B561" w14:textId="77777777"/>
          <w:p w:rsidR="00FC1430" w:rsidP="00776F91" w:rsidRDefault="00FC1430" w14:paraId="18092474" w14:textId="4F3EF94D"/>
        </w:tc>
        <w:tc>
          <w:tcPr>
            <w:tcW w:w="3094" w:type="dxa"/>
            <w:tcMar/>
          </w:tcPr>
          <w:p w:rsidR="006156E9" w:rsidP="006156E9" w:rsidRDefault="006156E9" w14:paraId="1F3F695E" w14:textId="77777777">
            <w:proofErr w:type="spellStart"/>
            <w:r>
              <w:t>Hypophosphataemia</w:t>
            </w:r>
            <w:proofErr w:type="spellEnd"/>
            <w:r>
              <w:t xml:space="preserve"> definition  </w:t>
            </w:r>
          </w:p>
          <w:p w:rsidR="00FC1430" w:rsidP="006156E9" w:rsidRDefault="006156E9" w14:paraId="27FDA396" w14:textId="77777777">
            <w:r>
              <w:t>Critical: &lt;0.5mmol/L</w:t>
            </w:r>
          </w:p>
          <w:p w:rsidR="003D1FCD" w:rsidP="006156E9" w:rsidRDefault="003D1FCD" w14:paraId="037CC186" w14:textId="77777777"/>
          <w:p w:rsidR="003D1FCD" w:rsidP="006156E9" w:rsidRDefault="003D1FCD" w14:paraId="2A21C0F2" w14:textId="6BF3D50F">
            <w:r>
              <w:t xml:space="preserve">N=16 </w:t>
            </w:r>
            <w:proofErr w:type="spellStart"/>
            <w:r>
              <w:t>hypophosphataemia</w:t>
            </w:r>
            <w:proofErr w:type="spellEnd"/>
            <w:r>
              <w:t xml:space="preserve"> (11 &lt;0.75mmol/L, 5 &lt;0.5mmol/L) at start of admission with mean BMI 11.5kg/m2</w:t>
            </w:r>
          </w:p>
          <w:p w:rsidR="003C6E88" w:rsidP="006156E9" w:rsidRDefault="003C6E88" w14:paraId="75768081" w14:textId="77777777"/>
          <w:p w:rsidR="003C6E88" w:rsidP="006156E9" w:rsidRDefault="003C6E88" w14:paraId="653BC610" w14:textId="1AEC2777">
            <w:r w:rsidRPr="003C6E88">
              <w:t>Serum PO</w:t>
            </w:r>
            <w:r>
              <w:t>4</w:t>
            </w:r>
            <w:r w:rsidRPr="003C6E88">
              <w:t xml:space="preserve"> increased under supplementation. </w:t>
            </w:r>
            <w:r>
              <w:t xml:space="preserve">No cases of </w:t>
            </w:r>
            <w:proofErr w:type="spellStart"/>
            <w:r>
              <w:t>hypophosphataemia</w:t>
            </w:r>
            <w:proofErr w:type="spellEnd"/>
            <w:r>
              <w:t xml:space="preserve"> occurred, except for those with low PO4</w:t>
            </w:r>
            <w:r w:rsidRPr="003C6E88">
              <w:t xml:space="preserve"> at admission. After 2 weeks</w:t>
            </w:r>
            <w:r>
              <w:t xml:space="preserve">, all but n=1 </w:t>
            </w:r>
            <w:r w:rsidR="00FF12D2">
              <w:t>was</w:t>
            </w:r>
            <w:r>
              <w:t xml:space="preserve"> </w:t>
            </w:r>
            <w:r w:rsidRPr="003C6E88">
              <w:t>within normal range.</w:t>
            </w:r>
          </w:p>
          <w:p w:rsidR="00F95A60" w:rsidP="006156E9" w:rsidRDefault="00F95A60" w14:paraId="0B0C26FF" w14:textId="77777777"/>
          <w:p w:rsidR="0058335A" w:rsidP="006156E9" w:rsidRDefault="0058335A" w14:paraId="2DDA0FB7" w14:textId="77777777"/>
          <w:p w:rsidR="0058335A" w:rsidP="0058335A" w:rsidRDefault="0058335A" w14:paraId="6FAC7507" w14:textId="77777777"/>
          <w:p w:rsidR="0058335A" w:rsidP="0058335A" w:rsidRDefault="0058335A" w14:paraId="0FCD527B" w14:textId="6A5A1A29"/>
        </w:tc>
        <w:tc>
          <w:tcPr>
            <w:tcW w:w="1553" w:type="dxa"/>
            <w:tcMar/>
          </w:tcPr>
          <w:p w:rsidR="00FC1430" w:rsidP="00776F91" w:rsidRDefault="00BE66D2" w14:paraId="3DFAA10C" w14:textId="1FEF8062">
            <w:r>
              <w:t xml:space="preserve">Mean weight gain first week 2.1kg, followed by min. 700g in the next 3 weeks. Mean total weight gain was 4.15kg </w:t>
            </w:r>
            <w:r w:rsidRPr="00DD320B" w:rsidR="00A50DF0">
              <w:rPr>
                <w:rFonts w:ascii="Calibri" w:hAnsi="Calibri" w:cs="Calibri"/>
                <w:kern w:val="0"/>
                <w:szCs w:val="22"/>
                <w:lang w:bidi="ar-SA"/>
              </w:rPr>
              <w:t>±</w:t>
            </w:r>
            <w:r>
              <w:t xml:space="preserve"> 1.96kg</w:t>
            </w:r>
          </w:p>
          <w:p w:rsidR="00BE66D2" w:rsidP="00776F91" w:rsidRDefault="00BE66D2" w14:paraId="32477763" w14:textId="77777777"/>
          <w:p w:rsidRPr="00A50DF0" w:rsidR="00FC1430" w:rsidP="00776F91" w:rsidRDefault="00FC1430" w14:paraId="212A46DC" w14:textId="4F33ED37">
            <w:r>
              <w:t>Mean BMI 15.4 kg/m2 (range 9.4-26.8) – some had been in remission</w:t>
            </w:r>
            <w:r w:rsidR="000056CC">
              <w:t xml:space="preserve">. Mean </w:t>
            </w:r>
            <w:r w:rsidR="00A50DF0">
              <w:t xml:space="preserve">BMI admission to </w:t>
            </w:r>
            <w:r w:rsidR="00A50DF0">
              <w:t>28 days 1.7</w:t>
            </w:r>
            <w:r w:rsidRPr="00DD320B" w:rsidR="00A50DF0">
              <w:rPr>
                <w:rFonts w:ascii="Calibri" w:hAnsi="Calibri" w:cs="Calibri"/>
                <w:kern w:val="0"/>
                <w:szCs w:val="22"/>
                <w:lang w:bidi="ar-SA"/>
              </w:rPr>
              <w:t>±</w:t>
            </w:r>
            <w:r w:rsidR="00A50DF0">
              <w:rPr>
                <w:rFonts w:ascii="Calibri" w:hAnsi="Calibri" w:cs="Calibri"/>
                <w:kern w:val="0"/>
                <w:szCs w:val="22"/>
                <w:lang w:bidi="ar-SA"/>
              </w:rPr>
              <w:t>0.9kg/m</w:t>
            </w:r>
            <w:r w:rsidRPr="00FF12D2" w:rsidR="00A50DF0">
              <w:rPr>
                <w:rFonts w:ascii="Calibri" w:hAnsi="Calibri" w:cs="Calibri"/>
                <w:kern w:val="0"/>
                <w:szCs w:val="22"/>
                <w:vertAlign w:val="superscript"/>
                <w:lang w:bidi="ar-SA"/>
              </w:rPr>
              <w:t>2</w:t>
            </w:r>
            <w:r w:rsidR="00A50DF0">
              <w:rPr>
                <w:rFonts w:ascii="Calibri" w:hAnsi="Calibri" w:cs="Calibri"/>
                <w:kern w:val="0"/>
                <w:szCs w:val="22"/>
                <w:lang w:bidi="ar-SA"/>
              </w:rPr>
              <w:t>*</w:t>
            </w:r>
          </w:p>
          <w:p w:rsidR="00BE66D2" w:rsidP="00776F91" w:rsidRDefault="00BE66D2" w14:paraId="3DEE18F7" w14:textId="77777777"/>
          <w:p w:rsidR="00BE66D2" w:rsidP="00BE66D2" w:rsidRDefault="00BE66D2" w14:paraId="724098DD" w14:textId="77777777">
            <w:r w:rsidRPr="00F95A60">
              <w:t>No data on LOS</w:t>
            </w:r>
          </w:p>
          <w:p w:rsidR="00BE66D2" w:rsidP="00776F91" w:rsidRDefault="00BE66D2" w14:paraId="31C828DE" w14:textId="40F29CB6"/>
        </w:tc>
        <w:tc>
          <w:tcPr>
            <w:tcW w:w="2099" w:type="dxa"/>
            <w:tcMar/>
          </w:tcPr>
          <w:p w:rsidR="00FC1430" w:rsidP="00776F91" w:rsidRDefault="00FC1430" w14:paraId="56EFA1D8" w14:textId="28D92C99">
            <w:r>
              <w:t xml:space="preserve">Negative correlation with </w:t>
            </w:r>
            <w:r w:rsidR="003D1FCD">
              <w:t xml:space="preserve">RFS </w:t>
            </w:r>
            <w:r>
              <w:t>risk and BMI*</w:t>
            </w:r>
            <w:r w:rsidRPr="00935BAC" w:rsidR="00935BAC">
              <w:rPr>
                <w:vertAlign w:val="superscript"/>
              </w:rPr>
              <w:t>+</w:t>
            </w:r>
          </w:p>
          <w:p w:rsidR="00FC1430" w:rsidP="00776F91" w:rsidRDefault="00FC1430" w14:paraId="0A6B7C95" w14:textId="77777777"/>
          <w:p w:rsidR="00FC1430" w:rsidP="00776F91" w:rsidRDefault="00FC1430" w14:paraId="6090A75A" w14:textId="77777777"/>
          <w:p w:rsidR="00FC1430" w:rsidP="00776F91" w:rsidRDefault="00FC1430" w14:paraId="66D4A55D" w14:textId="2269390C"/>
        </w:tc>
      </w:tr>
      <w:tr w:rsidR="00086812" w:rsidTr="2CE3218F" w14:paraId="0220A908" w14:textId="77777777">
        <w:tc>
          <w:tcPr>
            <w:tcW w:w="1254" w:type="dxa"/>
            <w:tcMar/>
          </w:tcPr>
          <w:p w:rsidR="00086812" w:rsidP="00086812" w:rsidRDefault="00086812" w14:paraId="7DE49FFB" w14:textId="035205C5">
            <w:r>
              <w:rPr>
                <w:rFonts w:ascii="Calibri" w:hAnsi="Calibri" w:cs="Calibri"/>
                <w:color w:val="000000"/>
                <w:szCs w:val="22"/>
              </w:rPr>
              <w:t>Kells et al. (2022)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>USA</w:t>
            </w:r>
          </w:p>
        </w:tc>
        <w:tc>
          <w:tcPr>
            <w:tcW w:w="1437" w:type="dxa"/>
            <w:tcMar/>
          </w:tcPr>
          <w:p w:rsidR="00082AA2" w:rsidP="00086812" w:rsidRDefault="00082AA2" w14:paraId="26C8FBAB" w14:textId="460D036E">
            <w:pPr>
              <w:rPr>
                <w:rFonts w:ascii="Aptos Narrow" w:hAnsi="Aptos Narrow" w:cs="Calibri"/>
                <w:color w:val="242424"/>
                <w:szCs w:val="22"/>
              </w:rPr>
            </w:pPr>
            <w:r w:rsidRPr="00082AA2">
              <w:rPr>
                <w:rFonts w:ascii="Aptos Narrow" w:hAnsi="Aptos Narrow" w:cs="Calibri"/>
                <w:color w:val="242424"/>
                <w:szCs w:val="22"/>
              </w:rPr>
              <w:t>Retrospective chart review</w:t>
            </w:r>
          </w:p>
          <w:p w:rsidR="00082AA2" w:rsidP="00086812" w:rsidRDefault="00082AA2" w14:paraId="26618E5A" w14:textId="77777777">
            <w:pPr>
              <w:rPr>
                <w:rFonts w:ascii="Aptos Narrow" w:hAnsi="Aptos Narrow" w:cs="Calibri"/>
                <w:color w:val="242424"/>
                <w:szCs w:val="22"/>
              </w:rPr>
            </w:pPr>
          </w:p>
          <w:p w:rsidR="00086812" w:rsidP="00086812" w:rsidRDefault="00086812" w14:paraId="46DA4B1B" w14:textId="40480A89">
            <w:r>
              <w:rPr>
                <w:rFonts w:ascii="Aptos Narrow" w:hAnsi="Aptos Narrow" w:cs="Calibri"/>
                <w:color w:val="242424"/>
                <w:szCs w:val="22"/>
              </w:rPr>
              <w:t>Inpatient eating disorder unit</w:t>
            </w:r>
          </w:p>
        </w:tc>
        <w:tc>
          <w:tcPr>
            <w:tcW w:w="2084" w:type="dxa"/>
            <w:tcMar/>
          </w:tcPr>
          <w:p w:rsidR="00086812" w:rsidP="00086812" w:rsidRDefault="006A0147" w14:paraId="3F802C71" w14:textId="64336B08">
            <w:r w:rsidRPr="006A0147">
              <w:t xml:space="preserve">Identify individual factors and clinical interventions that contribute to the development </w:t>
            </w:r>
            <w:r w:rsidRPr="006A0147" w:rsidR="00FF12D2">
              <w:t xml:space="preserve">of </w:t>
            </w:r>
            <w:r w:rsidRPr="035B1CD3" w:rsidR="00FF12D2">
              <w:rPr>
                <w:rFonts w:ascii="Calibri" w:hAnsi="Calibri" w:cs="Calibri"/>
                <w:color w:val="000000" w:themeColor="text1"/>
              </w:rPr>
              <w:t>RH</w:t>
            </w:r>
            <w:r w:rsidRPr="035B1CD3" w:rsidR="29DE17DE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6A0147">
              <w:t>for adolescents and young adults admitted to a general medical unit with AN</w:t>
            </w:r>
          </w:p>
        </w:tc>
        <w:tc>
          <w:tcPr>
            <w:tcW w:w="1511" w:type="dxa"/>
            <w:tcMar/>
          </w:tcPr>
          <w:p w:rsidR="000A28ED" w:rsidP="000A28ED" w:rsidRDefault="006E225F" w14:paraId="12DF212A" w14:textId="30DD13FC">
            <w:r>
              <w:t>N</w:t>
            </w:r>
            <w:r w:rsidR="000A28ED">
              <w:t>=300</w:t>
            </w:r>
          </w:p>
          <w:p w:rsidR="000A28ED" w:rsidP="000A28ED" w:rsidRDefault="000A28ED" w14:paraId="1507F332" w14:textId="77777777"/>
          <w:p w:rsidR="00086812" w:rsidP="000A28ED" w:rsidRDefault="000A28ED" w14:paraId="3335B887" w14:textId="2F3E18C5">
            <w:r>
              <w:t xml:space="preserve">10-24 years. Mean age = 15.5 years with an </w:t>
            </w:r>
            <w:proofErr w:type="spellStart"/>
            <w:r>
              <w:t>AN</w:t>
            </w:r>
            <w:proofErr w:type="spellEnd"/>
            <w:r>
              <w:t xml:space="preserve"> diagnosis (any)</w:t>
            </w:r>
          </w:p>
        </w:tc>
        <w:tc>
          <w:tcPr>
            <w:tcW w:w="1577" w:type="dxa"/>
            <w:tcMar/>
          </w:tcPr>
          <w:p w:rsidR="000A28ED" w:rsidP="000A28ED" w:rsidRDefault="000A28ED" w14:paraId="5A4816DC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BN, BED, Severe Mental Illness (schizophrenia, schizoaffective disorder)</w:t>
            </w:r>
          </w:p>
          <w:p w:rsidR="000A28ED" w:rsidP="000A28ED" w:rsidRDefault="000A28ED" w14:paraId="104970FE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0A28ED" w:rsidP="000A28ED" w:rsidRDefault="000A28ED" w14:paraId="467F5BEC" w14:textId="02D3BEC0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Other feeding methods besides oral and NG</w:t>
            </w:r>
          </w:p>
          <w:p w:rsidR="000A28ED" w:rsidP="000A28ED" w:rsidRDefault="000A28ED" w14:paraId="2A1C3C3E" w14:textId="6C807E50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>Medical or psychiatric hospitalisation within the last 14 days</w:t>
            </w:r>
          </w:p>
          <w:p w:rsidR="00086812" w:rsidP="00086812" w:rsidRDefault="00086812" w14:paraId="2EF4E5D7" w14:textId="77777777"/>
        </w:tc>
        <w:tc>
          <w:tcPr>
            <w:tcW w:w="1587" w:type="dxa"/>
            <w:tcMar/>
          </w:tcPr>
          <w:p w:rsidR="00DC7214" w:rsidP="00DC7214" w:rsidRDefault="00DC7214" w14:paraId="39978CC2" w14:textId="7450C958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1000-3000kcal/d, </w:t>
            </w:r>
            <w:r w:rsidR="00A131C8">
              <w:rPr>
                <w:rFonts w:ascii="Calibri" w:hAnsi="Calibri" w:cs="Calibri"/>
                <w:color w:val="000000"/>
                <w:szCs w:val="22"/>
              </w:rPr>
              <w:t>most increased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by 250kcal/d</w:t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Initial calorie </w:t>
            </w:r>
            <w:r w:rsidR="00A22550">
              <w:rPr>
                <w:rFonts w:ascii="Calibri" w:hAnsi="Calibri" w:cs="Calibri"/>
                <w:color w:val="000000"/>
                <w:szCs w:val="22"/>
              </w:rPr>
              <w:t>prescription</w:t>
            </w:r>
            <w:r>
              <w:rPr>
                <w:rFonts w:ascii="Calibri" w:hAnsi="Calibri" w:cs="Calibri"/>
                <w:color w:val="000000"/>
                <w:szCs w:val="22"/>
              </w:rPr>
              <w:t>: mea</w:t>
            </w:r>
            <w:r w:rsidR="00A22550">
              <w:rPr>
                <w:rFonts w:ascii="Calibri" w:hAnsi="Calibri" w:cs="Calibri"/>
                <w:color w:val="000000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1714kcal/d (SD = 324.2kcal/d)</w:t>
            </w:r>
          </w:p>
          <w:p w:rsidR="00A22550" w:rsidP="00DC7214" w:rsidRDefault="00A22550" w14:paraId="0C5891BF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Pr="0055677F" w:rsidR="0055677F" w:rsidP="0055677F" w:rsidRDefault="0055677F" w14:paraId="56651E62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 w:rsidRPr="0055677F">
              <w:rPr>
                <w:rFonts w:ascii="Calibri" w:hAnsi="Calibri" w:cs="Calibri"/>
                <w:color w:val="000000"/>
                <w:szCs w:val="22"/>
              </w:rPr>
              <w:t xml:space="preserve">Aim for 0.2kg/d </w:t>
            </w:r>
            <w:proofErr w:type="spellStart"/>
            <w:r w:rsidRPr="0055677F">
              <w:rPr>
                <w:rFonts w:ascii="Calibri" w:hAnsi="Calibri" w:cs="Calibri"/>
                <w:color w:val="000000"/>
                <w:szCs w:val="22"/>
              </w:rPr>
              <w:t>wt</w:t>
            </w:r>
            <w:proofErr w:type="spellEnd"/>
            <w:r w:rsidRPr="0055677F">
              <w:rPr>
                <w:rFonts w:ascii="Calibri" w:hAnsi="Calibri" w:cs="Calibri"/>
                <w:color w:val="000000"/>
                <w:szCs w:val="22"/>
              </w:rPr>
              <w:t xml:space="preserve"> gain</w:t>
            </w:r>
          </w:p>
          <w:p w:rsidR="00A22550" w:rsidP="0055677F" w:rsidRDefault="00A22550" w14:paraId="187EA52C" w14:textId="1121316D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br/>
            </w:r>
          </w:p>
          <w:p w:rsidR="00A22550" w:rsidP="00DC7214" w:rsidRDefault="00A22550" w14:paraId="622C8DD7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086812" w:rsidP="00086812" w:rsidRDefault="00086812" w14:paraId="042237EF" w14:textId="77777777"/>
        </w:tc>
        <w:tc>
          <w:tcPr>
            <w:tcW w:w="3094" w:type="dxa"/>
            <w:tcMar/>
          </w:tcPr>
          <w:p w:rsidR="007F2582" w:rsidP="473FE48D" w:rsidRDefault="00595A26" w14:paraId="1C3C6638" w14:textId="01D0F4CE">
            <w:pPr>
              <w:rPr>
                <w:rFonts w:ascii="Calibri" w:hAnsi="Calibri" w:cs="Calibri"/>
                <w:color w:val="000000"/>
              </w:rPr>
            </w:pPr>
            <w:r w:rsidRPr="473FE48D">
              <w:rPr>
                <w:rFonts w:ascii="Calibri" w:hAnsi="Calibri" w:cs="Calibri"/>
                <w:color w:val="000000" w:themeColor="text1"/>
              </w:rPr>
              <w:t xml:space="preserve">RH </w:t>
            </w:r>
            <w:r w:rsidRPr="473FE48D" w:rsidR="005D4C93">
              <w:rPr>
                <w:rFonts w:ascii="Calibri" w:hAnsi="Calibri" w:cs="Calibri"/>
                <w:color w:val="000000" w:themeColor="text1"/>
              </w:rPr>
              <w:t>defined as</w:t>
            </w:r>
            <w:r w:rsidRPr="473FE48D" w:rsidR="002C2CBF">
              <w:rPr>
                <w:rFonts w:ascii="Calibri" w:hAnsi="Calibri" w:cs="Calibri"/>
                <w:color w:val="000000" w:themeColor="text1"/>
              </w:rPr>
              <w:t xml:space="preserve"> serum phosphate &lt;</w:t>
            </w:r>
            <w:r w:rsidRPr="473FE48D" w:rsidR="295B9318">
              <w:rPr>
                <w:rFonts w:ascii="Calibri" w:hAnsi="Calibri" w:cs="Calibri"/>
                <w:color w:val="000000" w:themeColor="text1"/>
              </w:rPr>
              <w:t>0</w:t>
            </w:r>
            <w:r w:rsidRPr="473FE48D" w:rsidR="002C2CBF">
              <w:rPr>
                <w:rFonts w:ascii="Calibri" w:hAnsi="Calibri" w:cs="Calibri"/>
                <w:color w:val="000000" w:themeColor="text1"/>
              </w:rPr>
              <w:t>.</w:t>
            </w:r>
            <w:r w:rsidRPr="473FE48D" w:rsidR="46686201">
              <w:rPr>
                <w:rFonts w:ascii="Calibri" w:hAnsi="Calibri" w:cs="Calibri"/>
                <w:color w:val="000000" w:themeColor="text1"/>
              </w:rPr>
              <w:t>90</w:t>
            </w:r>
            <w:r w:rsidRPr="473FE48D" w:rsidR="4A9E1EC3">
              <w:rPr>
                <w:rFonts w:ascii="Calibri" w:hAnsi="Calibri" w:cs="Calibri"/>
                <w:color w:val="000000" w:themeColor="text1"/>
              </w:rPr>
              <w:t>mmol/L</w:t>
            </w:r>
            <w:r>
              <w:br/>
            </w:r>
          </w:p>
          <w:p w:rsidR="005D4C93" w:rsidP="002C2CBF" w:rsidRDefault="007F2582" w14:paraId="1D719DEE" w14:textId="7943C9B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N=86 (28.7%) reported </w:t>
            </w:r>
            <w:proofErr w:type="spellStart"/>
            <w:r w:rsidR="002C2CBF">
              <w:rPr>
                <w:rFonts w:ascii="Calibri" w:hAnsi="Calibri" w:cs="Calibri"/>
                <w:color w:val="000000"/>
                <w:szCs w:val="22"/>
              </w:rPr>
              <w:t>hypophosphataemia</w:t>
            </w:r>
            <w:proofErr w:type="spellEnd"/>
            <w:r w:rsidR="002C2CBF">
              <w:rPr>
                <w:rFonts w:ascii="Calibri" w:hAnsi="Calibri" w:cs="Calibri"/>
                <w:color w:val="000000"/>
                <w:szCs w:val="22"/>
              </w:rPr>
              <w:t xml:space="preserve"> at some point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during hospital stay.</w:t>
            </w:r>
            <w:r w:rsidR="002C2CBF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2C2CBF" w:rsidP="002C2CBF" w:rsidRDefault="002C2CBF" w14:paraId="45B04AE2" w14:textId="5B88780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Mean day occurrence = 3.9 (SD = 3.4)</w:t>
            </w:r>
          </w:p>
          <w:p w:rsidR="00086812" w:rsidP="00086812" w:rsidRDefault="00086812" w14:paraId="14247C76" w14:textId="77777777"/>
          <w:p w:rsidR="004522FF" w:rsidP="004522FF" w:rsidRDefault="004522FF" w14:paraId="31CE5E19" w14:textId="77777777">
            <w:r>
              <w:t>Phosphorous Prophylaxis 250mg BD + MV</w:t>
            </w:r>
          </w:p>
          <w:p w:rsidR="004522FF" w:rsidP="004522FF" w:rsidRDefault="004522FF" w14:paraId="54FCBD32" w14:textId="77777777"/>
          <w:p w:rsidR="004522FF" w:rsidP="004522FF" w:rsidRDefault="004522FF" w14:paraId="7EF31861" w14:textId="28B3D905">
            <w:r>
              <w:t xml:space="preserve">Predictors of RH = Serum Mg, K, NG feeding, </w:t>
            </w:r>
            <w:proofErr w:type="spellStart"/>
            <w:r>
              <w:t>wt</w:t>
            </w:r>
            <w:proofErr w:type="spellEnd"/>
            <w:r>
              <w:t xml:space="preserve"> gain during </w:t>
            </w:r>
            <w:proofErr w:type="spellStart"/>
            <w:r>
              <w:t>adx</w:t>
            </w:r>
            <w:proofErr w:type="spellEnd"/>
            <w:r>
              <w:t xml:space="preserve">, age on </w:t>
            </w:r>
            <w:proofErr w:type="spellStart"/>
            <w:r>
              <w:t>adx</w:t>
            </w:r>
            <w:proofErr w:type="spellEnd"/>
          </w:p>
          <w:p w:rsidR="004522FF" w:rsidP="004522FF" w:rsidRDefault="004522FF" w14:paraId="2FC88299" w14:textId="159067B8">
            <w:r>
              <w:t xml:space="preserve">Mg nadir and BMI on </w:t>
            </w:r>
            <w:proofErr w:type="spellStart"/>
            <w:r>
              <w:t>adx</w:t>
            </w:r>
            <w:proofErr w:type="spellEnd"/>
            <w:r>
              <w:t xml:space="preserve"> predictors of PO4 nadir despite standardised PO4 supplementation</w:t>
            </w:r>
          </w:p>
        </w:tc>
        <w:tc>
          <w:tcPr>
            <w:tcW w:w="1553" w:type="dxa"/>
            <w:tcMar/>
          </w:tcPr>
          <w:p w:rsidR="00086812" w:rsidP="00086812" w:rsidRDefault="00A22550" w14:paraId="181B0E7D" w14:textId="77777777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Average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wt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gain during hospitalisation = 1.8kg (SD = 1.5kg) </w:t>
            </w:r>
          </w:p>
          <w:p w:rsidR="00FB221B" w:rsidP="00086812" w:rsidRDefault="00FB221B" w14:paraId="7CBA9982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FB221B" w:rsidP="00086812" w:rsidRDefault="683F46C7" w14:paraId="3A46F8F4" w14:textId="44A706DE">
            <w:r>
              <w:t>M</w:t>
            </w:r>
            <w:r w:rsidR="00FB221B">
              <w:t>ean</w:t>
            </w:r>
            <w:r w:rsidRPr="00FB221B" w:rsidR="00FB221B">
              <w:t xml:space="preserve"> LOS = 7.4 days (SD = 5.9 days)</w:t>
            </w:r>
          </w:p>
        </w:tc>
        <w:tc>
          <w:tcPr>
            <w:tcW w:w="2099" w:type="dxa"/>
            <w:tcMar/>
          </w:tcPr>
          <w:p w:rsidR="00745F69" w:rsidP="00086812" w:rsidRDefault="00745F69" w14:paraId="0DFBFA30" w14:textId="0A76BB81">
            <w:r>
              <w:t>Mean BMI on admission 16.</w:t>
            </w:r>
            <w:r w:rsidR="0004218E">
              <w:t>3 (SD = 2.6), did not measure discharge BMI.</w:t>
            </w:r>
          </w:p>
          <w:p w:rsidR="0004218E" w:rsidP="00086812" w:rsidRDefault="0004218E" w14:paraId="1C14CC31" w14:textId="77777777"/>
          <w:p w:rsidR="00086812" w:rsidP="00086812" w:rsidRDefault="00100525" w14:paraId="121701EB" w14:textId="7AE3BDF9">
            <w:r w:rsidRPr="00100525">
              <w:t>Supportive of prophylactic PO4 supplementation</w:t>
            </w:r>
          </w:p>
          <w:p w:rsidR="007F2582" w:rsidP="00086812" w:rsidRDefault="007F2582" w14:paraId="0A1D9EFA" w14:textId="77777777"/>
          <w:p w:rsidR="007F2582" w:rsidP="00086812" w:rsidRDefault="0FD9DE20" w14:paraId="4FC98C85" w14:textId="2B18F52A">
            <w:r>
              <w:t>Measured</w:t>
            </w:r>
            <w:r w:rsidR="00FF12D2">
              <w:t xml:space="preserve"> </w:t>
            </w:r>
            <w:r w:rsidR="4A760935">
              <w:t>RH</w:t>
            </w:r>
            <w:r w:rsidR="6CBB93F6">
              <w:t>,</w:t>
            </w:r>
            <w:r>
              <w:t xml:space="preserve"> not refeeding syndrome</w:t>
            </w:r>
          </w:p>
        </w:tc>
      </w:tr>
      <w:tr w:rsidR="000F5212" w:rsidTr="2CE3218F" w14:paraId="62B69FEE" w14:textId="77777777">
        <w:tc>
          <w:tcPr>
            <w:tcW w:w="1254" w:type="dxa"/>
            <w:tcMar/>
          </w:tcPr>
          <w:p w:rsidR="00FC1430" w:rsidP="00776F91" w:rsidRDefault="00FC1430" w14:paraId="1DA6F8C9" w14:textId="77777777">
            <w:r>
              <w:t>Staab et al. (2022)</w:t>
            </w:r>
          </w:p>
          <w:p w:rsidR="00FC1430" w:rsidP="00776F91" w:rsidRDefault="00FC1430" w14:paraId="52DA4DC7" w14:textId="77777777"/>
          <w:p w:rsidR="00FC1430" w:rsidP="00776F91" w:rsidRDefault="00FC1430" w14:paraId="4D1A0403" w14:textId="1BE6A057">
            <w:r>
              <w:t>Canada</w:t>
            </w:r>
          </w:p>
        </w:tc>
        <w:tc>
          <w:tcPr>
            <w:tcW w:w="1437" w:type="dxa"/>
            <w:tcMar/>
          </w:tcPr>
          <w:p w:rsidR="00FC1430" w:rsidP="00776F91" w:rsidRDefault="00FC1430" w14:paraId="7A96C4EB" w14:textId="1CF78F53">
            <w:r>
              <w:t xml:space="preserve">Cohort </w:t>
            </w:r>
          </w:p>
          <w:p w:rsidR="00FC1430" w:rsidP="00776F91" w:rsidRDefault="00FC1430" w14:paraId="669588C5" w14:textId="2CB610E4">
            <w:r>
              <w:t xml:space="preserve">natural </w:t>
            </w:r>
            <w:r w:rsidR="007D074F">
              <w:t>quasi-experimental</w:t>
            </w:r>
            <w:r>
              <w:t xml:space="preserve"> design</w:t>
            </w:r>
          </w:p>
          <w:p w:rsidR="00D715DE" w:rsidP="00776F91" w:rsidRDefault="00D715DE" w14:paraId="2B83BA5F" w14:textId="77777777"/>
          <w:p w:rsidR="00D715DE" w:rsidP="00D715DE" w:rsidRDefault="00D715DE" w14:paraId="2A47B29E" w14:textId="7086CF67">
            <w:r>
              <w:t xml:space="preserve">Inpatient and day hospital </w:t>
            </w:r>
            <w:r>
              <w:t>eating disorder unit</w:t>
            </w:r>
          </w:p>
          <w:p w:rsidR="00FC1430" w:rsidP="00776F91" w:rsidRDefault="00FC1430" w14:paraId="7A18D6A8" w14:textId="3844E9DA"/>
        </w:tc>
        <w:tc>
          <w:tcPr>
            <w:tcW w:w="2084" w:type="dxa"/>
            <w:tcMar/>
          </w:tcPr>
          <w:p w:rsidR="00FC1430" w:rsidP="00776F91" w:rsidRDefault="00FC1430" w14:paraId="4AFC3215" w14:textId="5AAC0DBC">
            <w:r>
              <w:t xml:space="preserve">Change of refeeding protocol and impact on </w:t>
            </w:r>
            <w:proofErr w:type="spellStart"/>
            <w:r>
              <w:t>wt</w:t>
            </w:r>
            <w:proofErr w:type="spellEnd"/>
            <w:r>
              <w:t xml:space="preserve"> gain, LOS and RFS occurrence</w:t>
            </w:r>
            <w:r w:rsidR="003F2A27">
              <w:t xml:space="preserve"> in inpatient and day program</w:t>
            </w:r>
          </w:p>
          <w:p w:rsidR="003F2A27" w:rsidP="00776F91" w:rsidRDefault="003F2A27" w14:paraId="3042606B" w14:textId="77777777"/>
          <w:p w:rsidR="00EF4448" w:rsidP="00EF4448" w:rsidRDefault="003F2A27" w14:paraId="51057923" w14:textId="20BCAA87">
            <w:r>
              <w:t>Secondary aims</w:t>
            </w:r>
            <w:r w:rsidR="004A2F1B">
              <w:t xml:space="preserve"> to look at safety</w:t>
            </w:r>
            <w:r w:rsidR="00EF4448">
              <w:t xml:space="preserve"> indicators i.e. electrolyte disturbances and supplementation, RFS, transfer to internal medical ward, completion of program</w:t>
            </w:r>
          </w:p>
        </w:tc>
        <w:tc>
          <w:tcPr>
            <w:tcW w:w="1511" w:type="dxa"/>
            <w:tcMar/>
          </w:tcPr>
          <w:p w:rsidR="00FC1430" w:rsidP="00776F91" w:rsidRDefault="00FC1430" w14:paraId="076534B8" w14:textId="2BE6D1A5">
            <w:r>
              <w:t>N=326 inpatients</w:t>
            </w:r>
          </w:p>
          <w:p w:rsidR="00FC1430" w:rsidP="00776F91" w:rsidRDefault="00FC1430" w14:paraId="7DF7EFCD" w14:textId="569AB02B">
            <w:r>
              <w:t>BMI &lt;18kg/m2</w:t>
            </w:r>
          </w:p>
          <w:p w:rsidR="00FC1430" w:rsidP="00776F91" w:rsidRDefault="00FC1430" w14:paraId="1A2C3B78" w14:textId="77777777"/>
          <w:p w:rsidR="00FC1430" w:rsidP="00776F91" w:rsidRDefault="00FC1430" w14:paraId="42D3754B" w14:textId="20A305C8">
            <w:r>
              <w:t xml:space="preserve">Mean age HCR 28.83 (SD 11.01) years </w:t>
            </w:r>
            <w:r>
              <w:t>old</w:t>
            </w:r>
            <w:r w:rsidR="00820BFA">
              <w:t xml:space="preserve"> and LCR 29.27</w:t>
            </w:r>
            <w:r w:rsidR="002C3C64">
              <w:t xml:space="preserve"> (SD 11.8) years old</w:t>
            </w:r>
          </w:p>
          <w:p w:rsidR="00FC1430" w:rsidP="00776F91" w:rsidRDefault="00FC1430" w14:paraId="2A171458" w14:textId="77777777"/>
          <w:p w:rsidR="00FC1430" w:rsidP="00776F91" w:rsidRDefault="00FC1430" w14:paraId="25EFD6A1" w14:textId="0745814D">
            <w:r>
              <w:t xml:space="preserve">Admissions </w:t>
            </w:r>
            <w:r w:rsidR="00F6574F">
              <w:t xml:space="preserve">were </w:t>
            </w:r>
            <w:r>
              <w:t xml:space="preserve">treated independently for patients admitted more than once during </w:t>
            </w:r>
            <w:r w:rsidR="00AA4B38">
              <w:t xml:space="preserve">the </w:t>
            </w:r>
            <w:r w:rsidR="00F6574F">
              <w:t>study</w:t>
            </w:r>
            <w:r>
              <w:t xml:space="preserve"> period</w:t>
            </w:r>
          </w:p>
        </w:tc>
        <w:tc>
          <w:tcPr>
            <w:tcW w:w="1577" w:type="dxa"/>
            <w:tcMar/>
          </w:tcPr>
          <w:p w:rsidR="00AA4B38" w:rsidP="00AA4B38" w:rsidRDefault="00AA4B38" w14:paraId="005E29B6" w14:textId="77777777">
            <w:r>
              <w:t>Other ED Dx (ARFID, EDNOS, BN)</w:t>
            </w:r>
          </w:p>
          <w:p w:rsidR="00AA4B38" w:rsidP="00AA4B38" w:rsidRDefault="00AA4B38" w14:paraId="06104CA8" w14:textId="08AD6DE9">
            <w:r>
              <w:br/>
            </w:r>
            <w:r>
              <w:t>Inpatient stay &lt;7 days</w:t>
            </w:r>
          </w:p>
          <w:p w:rsidR="00AA4B38" w:rsidP="00AA4B38" w:rsidRDefault="00AA4B38" w14:paraId="4E64ACC9" w14:textId="77777777"/>
          <w:p w:rsidR="00AA4B38" w:rsidP="00AA4B38" w:rsidRDefault="00AA4B38" w14:paraId="3A597158" w14:textId="67AD9156">
            <w:r>
              <w:t>Required NGT/modified meal plan based on other medical diagnoses</w:t>
            </w:r>
          </w:p>
          <w:p w:rsidR="00FC1430" w:rsidP="00776F91" w:rsidRDefault="00FC1430" w14:paraId="56A5FF0C" w14:textId="77777777"/>
        </w:tc>
        <w:tc>
          <w:tcPr>
            <w:tcW w:w="1587" w:type="dxa"/>
            <w:tcMar/>
          </w:tcPr>
          <w:p w:rsidR="00FC1430" w:rsidP="00776F91" w:rsidRDefault="00FC1430" w14:paraId="576FADCF" w14:textId="0AAAD47A">
            <w:r>
              <w:t xml:space="preserve">LCR: initially 1500-1600kcal/d and gradually increased by 300kcal each week up to maintenance </w:t>
            </w:r>
            <w:r>
              <w:t>level 2100-2300kcal/d.</w:t>
            </w:r>
          </w:p>
          <w:p w:rsidR="00FC1430" w:rsidP="00776F91" w:rsidRDefault="00FC1430" w14:paraId="2B157712" w14:textId="77777777"/>
          <w:p w:rsidR="00FC1430" w:rsidP="00776F91" w:rsidRDefault="00FC1430" w14:paraId="4DF798E6" w14:textId="77777777">
            <w:r>
              <w:t>Calorie level maintained as long as pt gaining &gt;1kg/week. If not, further increased by 300kcal/week.</w:t>
            </w:r>
          </w:p>
          <w:p w:rsidR="00FC1430" w:rsidP="00776F91" w:rsidRDefault="00FC1430" w14:paraId="6B3E8161" w14:textId="77777777"/>
          <w:p w:rsidR="00FC1430" w:rsidP="00776F91" w:rsidRDefault="00FC1430" w14:paraId="51D7D566" w14:textId="365F38EE">
            <w:r>
              <w:t xml:space="preserve">HCR: Initially 1600-1800kcal/day and increased by 600kcal/week to 2800kcal/day by day 21, regardless of </w:t>
            </w:r>
            <w:proofErr w:type="spellStart"/>
            <w:r>
              <w:t>wt</w:t>
            </w:r>
            <w:proofErr w:type="spellEnd"/>
            <w:r>
              <w:t xml:space="preserve"> gain. If patients failed to gain 1kg/week, further increase 300-400kcal/day</w:t>
            </w:r>
          </w:p>
          <w:p w:rsidR="00FC1430" w:rsidP="00776F91" w:rsidRDefault="00FC1430" w14:paraId="299A7DCD" w14:textId="77777777"/>
          <w:p w:rsidR="00FC1430" w:rsidP="00776F91" w:rsidRDefault="00FC1430" w14:paraId="7D09B208" w14:textId="3782E197"/>
        </w:tc>
        <w:tc>
          <w:tcPr>
            <w:tcW w:w="3094" w:type="dxa"/>
            <w:tcMar/>
          </w:tcPr>
          <w:p w:rsidR="00EB71C9" w:rsidP="00EB71C9" w:rsidRDefault="00EB71C9" w14:paraId="16CB35F1" w14:textId="520480A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35B1CD3">
              <w:rPr>
                <w:rFonts w:ascii="Calibri" w:hAnsi="Calibri" w:cs="Calibri"/>
                <w:color w:val="000000" w:themeColor="text1"/>
              </w:rPr>
              <w:t>Hypophosphataemia</w:t>
            </w:r>
            <w:proofErr w:type="spellEnd"/>
            <w:r w:rsidRPr="035B1CD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35B1CD3" w:rsidR="00DE1ACA">
              <w:rPr>
                <w:rFonts w:ascii="Calibri" w:hAnsi="Calibri" w:cs="Calibri"/>
                <w:color w:val="000000" w:themeColor="text1"/>
              </w:rPr>
              <w:t>defined as present if below the reference</w:t>
            </w:r>
            <w:r w:rsidRPr="035B1CD3">
              <w:rPr>
                <w:rFonts w:ascii="Calibri" w:hAnsi="Calibri" w:cs="Calibri"/>
                <w:color w:val="000000" w:themeColor="text1"/>
              </w:rPr>
              <w:t xml:space="preserve"> range </w:t>
            </w:r>
            <w:r w:rsidRPr="035B1CD3" w:rsidR="00DE1ACA">
              <w:rPr>
                <w:rFonts w:ascii="Calibri" w:hAnsi="Calibri" w:cs="Calibri"/>
                <w:color w:val="000000" w:themeColor="text1"/>
              </w:rPr>
              <w:t>0.87-1.52mmol/L</w:t>
            </w:r>
            <w:r w:rsidRPr="035B1CD3">
              <w:rPr>
                <w:rFonts w:ascii="Calibri" w:hAnsi="Calibri" w:cs="Calibri"/>
                <w:color w:val="000000" w:themeColor="text1"/>
              </w:rPr>
              <w:t>.</w:t>
            </w:r>
            <w:r>
              <w:br/>
            </w:r>
            <w:r w:rsidRPr="035B1CD3">
              <w:rPr>
                <w:rFonts w:ascii="Calibri" w:hAnsi="Calibri" w:cs="Calibri"/>
                <w:color w:val="000000" w:themeColor="text1"/>
              </w:rPr>
              <w:t>Mild = 0.65-0.91mmol/L</w:t>
            </w:r>
            <w:r>
              <w:br/>
            </w:r>
            <w:r w:rsidRPr="035B1CD3">
              <w:rPr>
                <w:rFonts w:ascii="Calibri" w:hAnsi="Calibri" w:cs="Calibri"/>
                <w:color w:val="000000" w:themeColor="text1"/>
              </w:rPr>
              <w:t>Mod = 0.32-0.64mmol/L</w:t>
            </w:r>
            <w:r>
              <w:br/>
            </w:r>
            <w:r w:rsidRPr="035B1CD3">
              <w:rPr>
                <w:rFonts w:ascii="Calibri" w:hAnsi="Calibri" w:cs="Calibri"/>
                <w:color w:val="000000" w:themeColor="text1"/>
              </w:rPr>
              <w:t>Severe = &lt;0.31mmol/L</w:t>
            </w:r>
            <w:r>
              <w:br/>
            </w:r>
            <w:r>
              <w:br/>
            </w:r>
            <w:r w:rsidRPr="035B1CD3">
              <w:rPr>
                <w:rFonts w:ascii="Calibri" w:hAnsi="Calibri" w:cs="Calibri"/>
                <w:color w:val="000000" w:themeColor="text1"/>
              </w:rPr>
              <w:t xml:space="preserve">Severe Hypokalaemia = </w:t>
            </w:r>
            <w:r w:rsidRPr="035B1CD3">
              <w:rPr>
                <w:rFonts w:ascii="Calibri" w:hAnsi="Calibri" w:cs="Calibri"/>
                <w:color w:val="000000" w:themeColor="text1"/>
              </w:rPr>
              <w:t>&lt;2.5mmol/L</w:t>
            </w:r>
            <w:r>
              <w:br/>
            </w:r>
            <w:r w:rsidRPr="035B1CD3">
              <w:rPr>
                <w:rFonts w:ascii="Calibri" w:hAnsi="Calibri" w:cs="Calibri"/>
                <w:color w:val="000000" w:themeColor="text1"/>
              </w:rPr>
              <w:t xml:space="preserve">Severe </w:t>
            </w:r>
            <w:r w:rsidRPr="035B1CD3" w:rsidR="00196EAF">
              <w:rPr>
                <w:rFonts w:ascii="Calibri" w:hAnsi="Calibri" w:cs="Calibri"/>
                <w:color w:val="000000" w:themeColor="text1"/>
              </w:rPr>
              <w:t>Hypomagnesaemia</w:t>
            </w:r>
            <w:r w:rsidRPr="035B1CD3">
              <w:rPr>
                <w:rFonts w:ascii="Calibri" w:hAnsi="Calibri" w:cs="Calibri"/>
                <w:color w:val="000000" w:themeColor="text1"/>
              </w:rPr>
              <w:t xml:space="preserve"> = &lt;0.50mmol/L</w:t>
            </w:r>
          </w:p>
          <w:p w:rsidR="005F3323" w:rsidP="00EB71C9" w:rsidRDefault="005F3323" w14:paraId="5F74699C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340466" w:rsidP="00340466" w:rsidRDefault="005F3323" w14:paraId="3A17FC1E" w14:textId="3D503D2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5F3323">
              <w:rPr>
                <w:rFonts w:ascii="Calibri" w:hAnsi="Calibri" w:cs="Calibri"/>
                <w:color w:val="000000"/>
                <w:szCs w:val="22"/>
              </w:rPr>
              <w:t>Hypophosphataemia</w:t>
            </w:r>
            <w:proofErr w:type="spellEnd"/>
            <w:r w:rsidRPr="005F3323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4502A3">
              <w:rPr>
                <w:rFonts w:ascii="Calibri" w:hAnsi="Calibri" w:cs="Calibri"/>
                <w:color w:val="000000"/>
                <w:szCs w:val="22"/>
              </w:rPr>
              <w:t xml:space="preserve">was </w:t>
            </w:r>
            <w:r w:rsidRPr="005F3323">
              <w:rPr>
                <w:rFonts w:ascii="Calibri" w:hAnsi="Calibri" w:cs="Calibri"/>
                <w:color w:val="000000"/>
                <w:szCs w:val="22"/>
              </w:rPr>
              <w:t>not significantly diff</w:t>
            </w:r>
            <w:r>
              <w:rPr>
                <w:rFonts w:ascii="Calibri" w:hAnsi="Calibri" w:cs="Calibri"/>
                <w:color w:val="000000"/>
                <w:szCs w:val="22"/>
              </w:rPr>
              <w:t>erent</w:t>
            </w:r>
            <w:r w:rsidRPr="005F3323">
              <w:rPr>
                <w:rFonts w:ascii="Calibri" w:hAnsi="Calibri" w:cs="Calibri"/>
                <w:color w:val="000000"/>
                <w:szCs w:val="22"/>
              </w:rPr>
              <w:t xml:space="preserve"> between slow and rapid RF protocols after </w:t>
            </w:r>
            <w:r>
              <w:rPr>
                <w:rFonts w:ascii="Calibri" w:hAnsi="Calibri" w:cs="Calibri"/>
                <w:color w:val="000000"/>
                <w:szCs w:val="22"/>
              </w:rPr>
              <w:t>a</w:t>
            </w:r>
            <w:r w:rsidRPr="005F3323">
              <w:rPr>
                <w:rFonts w:ascii="Calibri" w:hAnsi="Calibri" w:cs="Calibri"/>
                <w:color w:val="000000"/>
                <w:szCs w:val="22"/>
              </w:rPr>
              <w:t>d</w:t>
            </w:r>
            <w:r w:rsidR="00340466">
              <w:rPr>
                <w:rFonts w:ascii="Calibri" w:hAnsi="Calibri" w:cs="Calibri"/>
                <w:color w:val="000000"/>
                <w:szCs w:val="22"/>
              </w:rPr>
              <w:t>mission</w:t>
            </w:r>
            <w:r w:rsidRPr="005F3323">
              <w:rPr>
                <w:rFonts w:ascii="Calibri" w:hAnsi="Calibri" w:cs="Calibri"/>
                <w:color w:val="000000"/>
                <w:szCs w:val="22"/>
              </w:rPr>
              <w:t>.</w:t>
            </w:r>
            <w:r w:rsidR="00340466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5F3323" w:rsidR="00340466">
              <w:rPr>
                <w:rFonts w:ascii="Calibri" w:hAnsi="Calibri" w:cs="Calibri"/>
                <w:color w:val="000000"/>
                <w:szCs w:val="22"/>
              </w:rPr>
              <w:t xml:space="preserve">No cases </w:t>
            </w:r>
            <w:r w:rsidR="004502A3">
              <w:rPr>
                <w:rFonts w:ascii="Calibri" w:hAnsi="Calibri" w:cs="Calibri"/>
                <w:color w:val="000000"/>
                <w:szCs w:val="22"/>
              </w:rPr>
              <w:t xml:space="preserve">of severe </w:t>
            </w:r>
            <w:proofErr w:type="spellStart"/>
            <w:r w:rsidR="004502A3">
              <w:rPr>
                <w:rFonts w:ascii="Calibri" w:hAnsi="Calibri" w:cs="Calibri"/>
                <w:color w:val="000000"/>
                <w:szCs w:val="22"/>
              </w:rPr>
              <w:t>hypophosphataemia</w:t>
            </w:r>
            <w:proofErr w:type="spellEnd"/>
            <w:r w:rsidRPr="005F3323" w:rsidR="00340466">
              <w:rPr>
                <w:rFonts w:ascii="Calibri" w:hAnsi="Calibri" w:cs="Calibri"/>
                <w:color w:val="000000"/>
                <w:szCs w:val="22"/>
              </w:rPr>
              <w:t xml:space="preserve"> in either group. Total </w:t>
            </w:r>
            <w:r w:rsidR="00340466">
              <w:rPr>
                <w:rFonts w:ascii="Calibri" w:hAnsi="Calibri" w:cs="Calibri"/>
                <w:color w:val="000000"/>
                <w:szCs w:val="22"/>
              </w:rPr>
              <w:t>c</w:t>
            </w:r>
            <w:r w:rsidRPr="005F3323" w:rsidR="00340466">
              <w:rPr>
                <w:rFonts w:ascii="Calibri" w:hAnsi="Calibri" w:cs="Calibri"/>
                <w:color w:val="000000"/>
                <w:szCs w:val="22"/>
              </w:rPr>
              <w:t xml:space="preserve">ases mild and </w:t>
            </w:r>
            <w:r w:rsidR="004502A3">
              <w:rPr>
                <w:rFonts w:ascii="Calibri" w:hAnsi="Calibri" w:cs="Calibri"/>
                <w:color w:val="000000"/>
                <w:szCs w:val="22"/>
              </w:rPr>
              <w:t>moderate</w:t>
            </w:r>
            <w:r w:rsidRPr="005F3323" w:rsidR="00340466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5F3323" w:rsidR="00340466">
              <w:rPr>
                <w:rFonts w:ascii="Calibri" w:hAnsi="Calibri" w:cs="Calibri"/>
                <w:color w:val="000000"/>
                <w:szCs w:val="22"/>
              </w:rPr>
              <w:t>hypophosphataemia</w:t>
            </w:r>
            <w:proofErr w:type="spellEnd"/>
            <w:r w:rsidRPr="005F3323" w:rsidR="00340466">
              <w:rPr>
                <w:rFonts w:ascii="Calibri" w:hAnsi="Calibri" w:cs="Calibri"/>
                <w:color w:val="000000"/>
                <w:szCs w:val="22"/>
              </w:rPr>
              <w:t xml:space="preserve"> not sig. between groups</w:t>
            </w:r>
          </w:p>
          <w:p w:rsidR="00DE1ACA" w:rsidP="00340466" w:rsidRDefault="00DE1ACA" w14:paraId="77382C6D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DE1ACA" w:rsidP="00340466" w:rsidRDefault="00DE1ACA" w14:paraId="383009F9" w14:textId="25FB7A50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t>No deaths or cases RFS with either protocol over the 14-year period</w:t>
            </w:r>
          </w:p>
          <w:p w:rsidRPr="005F3323" w:rsidR="005F3323" w:rsidP="005F3323" w:rsidRDefault="005F3323" w14:paraId="3893384B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Pr="005F3323" w:rsidR="005F3323" w:rsidP="005F3323" w:rsidRDefault="005F3323" w14:paraId="02E36054" w14:textId="6FC500DA">
            <w:pPr>
              <w:rPr>
                <w:rFonts w:ascii="Calibri" w:hAnsi="Calibri" w:cs="Calibri"/>
                <w:color w:val="000000"/>
              </w:rPr>
            </w:pPr>
            <w:r w:rsidRPr="035B1CD3">
              <w:rPr>
                <w:rFonts w:ascii="Calibri" w:hAnsi="Calibri" w:cs="Calibri"/>
                <w:color w:val="000000" w:themeColor="text1"/>
              </w:rPr>
              <w:t xml:space="preserve">Amount PO4 supplements used to treat PO4 deficiencies </w:t>
            </w:r>
            <w:r w:rsidRPr="035B1CD3" w:rsidR="278329A6">
              <w:rPr>
                <w:rFonts w:ascii="Calibri" w:hAnsi="Calibri" w:cs="Calibri"/>
                <w:color w:val="000000" w:themeColor="text1"/>
              </w:rPr>
              <w:t>wa</w:t>
            </w:r>
            <w:r w:rsidRPr="035B1CD3" w:rsidR="00DE1ACA">
              <w:rPr>
                <w:rFonts w:ascii="Calibri" w:hAnsi="Calibri" w:cs="Calibri"/>
                <w:color w:val="000000" w:themeColor="text1"/>
              </w:rPr>
              <w:t xml:space="preserve">s </w:t>
            </w:r>
            <w:r w:rsidRPr="035B1CD3" w:rsidR="00340466">
              <w:rPr>
                <w:rFonts w:ascii="Calibri" w:hAnsi="Calibri" w:cs="Calibri"/>
                <w:color w:val="000000" w:themeColor="text1"/>
              </w:rPr>
              <w:t>h</w:t>
            </w:r>
            <w:r w:rsidRPr="035B1CD3">
              <w:rPr>
                <w:rFonts w:ascii="Calibri" w:hAnsi="Calibri" w:cs="Calibri"/>
                <w:color w:val="000000" w:themeColor="text1"/>
              </w:rPr>
              <w:t xml:space="preserve">igher in </w:t>
            </w:r>
            <w:r w:rsidRPr="035B1CD3" w:rsidR="00DE1ACA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Pr="035B1CD3">
              <w:rPr>
                <w:rFonts w:ascii="Calibri" w:hAnsi="Calibri" w:cs="Calibri"/>
                <w:color w:val="000000" w:themeColor="text1"/>
              </w:rPr>
              <w:t xml:space="preserve">slow protocol </w:t>
            </w:r>
            <w:r w:rsidRPr="035B1CD3" w:rsidR="00340466">
              <w:rPr>
                <w:rFonts w:ascii="Calibri" w:hAnsi="Calibri" w:cs="Calibri"/>
                <w:color w:val="000000" w:themeColor="text1"/>
              </w:rPr>
              <w:t>compared</w:t>
            </w:r>
            <w:r w:rsidRPr="035B1CD3">
              <w:rPr>
                <w:rFonts w:ascii="Calibri" w:hAnsi="Calibri" w:cs="Calibri"/>
                <w:color w:val="000000" w:themeColor="text1"/>
              </w:rPr>
              <w:t xml:space="preserve"> to </w:t>
            </w:r>
            <w:r w:rsidRPr="035B1CD3" w:rsidR="00DE1ACA">
              <w:rPr>
                <w:rFonts w:ascii="Calibri" w:hAnsi="Calibri" w:cs="Calibri"/>
                <w:color w:val="000000" w:themeColor="text1"/>
              </w:rPr>
              <w:t xml:space="preserve">the </w:t>
            </w:r>
            <w:r w:rsidRPr="035B1CD3">
              <w:rPr>
                <w:rFonts w:ascii="Calibri" w:hAnsi="Calibri" w:cs="Calibri"/>
                <w:color w:val="000000" w:themeColor="text1"/>
              </w:rPr>
              <w:t>rapid protocol</w:t>
            </w:r>
          </w:p>
          <w:p w:rsidRPr="005F3323" w:rsidR="005F3323" w:rsidP="005F3323" w:rsidRDefault="005F3323" w14:paraId="20CFF617" w14:textId="7777777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FC1430" w:rsidP="00776F91" w:rsidRDefault="00FC1430" w14:paraId="2BC98A8A" w14:textId="77777777"/>
        </w:tc>
        <w:tc>
          <w:tcPr>
            <w:tcW w:w="1553" w:type="dxa"/>
            <w:tcMar/>
          </w:tcPr>
          <w:p w:rsidR="00FC1430" w:rsidP="00776F91" w:rsidRDefault="00FC1430" w14:paraId="14BD10B0" w14:textId="3DE8EC99">
            <w:r>
              <w:t>Mean admission weight 39.88kg (SD 5.79)</w:t>
            </w:r>
          </w:p>
          <w:p w:rsidR="00FC1430" w:rsidP="00776F91" w:rsidRDefault="00FC1430" w14:paraId="15F16230" w14:textId="77777777"/>
          <w:p w:rsidR="00FC1430" w:rsidP="00776F91" w:rsidRDefault="00FC1430" w14:paraId="5DD6548F" w14:textId="09CDEC7A">
            <w:r>
              <w:t xml:space="preserve">Mean admission BMI </w:t>
            </w:r>
            <w:r>
              <w:t>14.88 (SD 1.38)</w:t>
            </w:r>
          </w:p>
          <w:p w:rsidR="00DE1ACA" w:rsidP="00776F91" w:rsidRDefault="00DE1ACA" w14:paraId="5E609706" w14:textId="77777777"/>
          <w:p w:rsidR="00DE1ACA" w:rsidP="00DE1ACA" w:rsidRDefault="00DE1ACA" w14:paraId="2C0D72E6" w14:textId="094A6584">
            <w:pPr>
              <w:rPr>
                <w:vertAlign w:val="superscript"/>
              </w:rPr>
            </w:pPr>
            <w:r>
              <w:t>HCR gained 0.21kg/</w:t>
            </w:r>
            <w:proofErr w:type="spellStart"/>
            <w:r>
              <w:t>wk</w:t>
            </w:r>
            <w:proofErr w:type="spellEnd"/>
            <w:r>
              <w:t xml:space="preserve"> more compared to LCR.  Higher rate of </w:t>
            </w:r>
            <w:proofErr w:type="spellStart"/>
            <w:r>
              <w:t>wt</w:t>
            </w:r>
            <w:proofErr w:type="spellEnd"/>
            <w:r>
              <w:t xml:space="preserve"> gain in IPU setting (1.30kg/week compared to 1.08kg/week)</w:t>
            </w:r>
            <w:r w:rsidRPr="00DB58B5">
              <w:rPr>
                <w:vertAlign w:val="superscript"/>
              </w:rPr>
              <w:t>#</w:t>
            </w:r>
          </w:p>
          <w:p w:rsidR="004502A3" w:rsidP="00776F91" w:rsidRDefault="004502A3" w14:paraId="26D8C37D" w14:textId="77777777"/>
          <w:p w:rsidR="004502A3" w:rsidP="004502A3" w:rsidRDefault="004502A3" w14:paraId="6FD25AC7" w14:textId="3B83720B">
            <w:r>
              <w:t>Average LOS = 40 days in Rapid RF Protocol compared to Average LOS = 53 days in slow RF Protocol</w:t>
            </w:r>
            <w:r w:rsidR="00F16EE8">
              <w:t>.</w:t>
            </w:r>
          </w:p>
          <w:p w:rsidR="004502A3" w:rsidP="004502A3" w:rsidRDefault="004502A3" w14:paraId="423402BD" w14:textId="77777777"/>
          <w:p w:rsidR="00F16EE8" w:rsidP="00F16EE8" w:rsidRDefault="00F16EE8" w14:paraId="5A27A826" w14:textId="77777777">
            <w:r>
              <w:t>LOS 21 days shorter for pts on HCR vs LCR*</w:t>
            </w:r>
          </w:p>
          <w:p w:rsidR="004502A3" w:rsidP="004502A3" w:rsidRDefault="004502A3" w14:paraId="77FFCB0C" w14:textId="02DC57F9"/>
        </w:tc>
        <w:tc>
          <w:tcPr>
            <w:tcW w:w="2099" w:type="dxa"/>
            <w:tcMar/>
          </w:tcPr>
          <w:p w:rsidR="00F16972" w:rsidP="001840A2" w:rsidRDefault="00F16972" w14:paraId="76ED2C7E" w14:textId="71D05223">
            <w:r w:rsidRPr="00F16972">
              <w:t>No statistically significant differences between the two cohorts</w:t>
            </w:r>
          </w:p>
          <w:p w:rsidR="00FC1430" w:rsidP="00776F91" w:rsidRDefault="00FC1430" w14:paraId="16AD704B" w14:textId="77777777"/>
          <w:p w:rsidR="00FC1430" w:rsidP="00776F91" w:rsidRDefault="00FC1430" w14:paraId="6DAD6477" w14:textId="091ED95F">
            <w:r>
              <w:t>Reduction in mean days to reach target BMI</w:t>
            </w:r>
            <w:r w:rsidR="00D65645">
              <w:t xml:space="preserve"> 19.5kg/m</w:t>
            </w:r>
            <w:r w:rsidRPr="003833A3" w:rsidR="00D65645">
              <w:rPr>
                <w:vertAlign w:val="superscript"/>
              </w:rPr>
              <w:t>2</w:t>
            </w:r>
            <w:r>
              <w:t xml:space="preserve"> </w:t>
            </w:r>
            <w:r>
              <w:t>between LCR (81.61 SD 30.20) and HCR (59.04 SD 24.52)*</w:t>
            </w:r>
          </w:p>
          <w:p w:rsidR="00FC1430" w:rsidP="00776F91" w:rsidRDefault="00FC1430" w14:paraId="79FB6A9B" w14:textId="77777777"/>
          <w:p w:rsidR="00FC1430" w:rsidP="00776F91" w:rsidRDefault="00FC1430" w14:paraId="4EB95FED" w14:textId="50F13C8C">
            <w:r>
              <w:t>Electrolyte supplementation was used more in LCR vs HCR participants.</w:t>
            </w:r>
          </w:p>
          <w:p w:rsidR="00FC1430" w:rsidP="00776F91" w:rsidRDefault="00FC1430" w14:paraId="2D8FD701" w14:textId="77777777"/>
          <w:p w:rsidR="00FC1430" w:rsidP="00776F91" w:rsidRDefault="00FC1430" w14:paraId="2B1D8C2A" w14:textId="64B09047"/>
        </w:tc>
      </w:tr>
    </w:tbl>
    <w:p w:rsidR="005F13E5" w:rsidP="00147BB8" w:rsidRDefault="005F13E5" w14:paraId="24CA83E1" w14:textId="6D7132F6"/>
    <w:sectPr w:rsidR="005F13E5" w:rsidSect="000369BF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83ba4a184d174d5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GB" w:author="Grace Branjerdporn" w:date="2025-10-27T09:35:00Z" w:id="0">
    <w:p w:rsidR="00617954" w:rsidRDefault="00000000" w14:paraId="7DD6116D" w14:textId="5BBE24B5">
      <w:r>
        <w:rPr>
          <w:rStyle w:val="CommentReference"/>
        </w:rPr>
        <w:annotationRef/>
      </w:r>
      <w:r w:rsidRPr="7F4AC05E">
        <w:t>was this the total sample?</w:t>
      </w:r>
    </w:p>
    <w:p w:rsidR="00617954" w:rsidRDefault="00000000" w14:paraId="2FCC1E0F" w14:textId="32D4EB76">
      <w:r w:rsidRPr="2F24377E">
        <w:t>Then can make it a big "N"</w:t>
      </w:r>
    </w:p>
    <w:p w:rsidR="00617954" w:rsidRDefault="00617954" w14:paraId="1EB5181D" w14:textId="25A826B9"/>
    <w:p w:rsidR="00617954" w:rsidRDefault="00000000" w14:paraId="1599E4D1" w14:textId="6823AD36">
      <w:r w:rsidRPr="62BFE7C8">
        <w:t>N = 288 admissions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99E4D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FAC63B" w16cex:dateUtc="2025-10-26T2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99E4D1" w16cid:durableId="45FAC6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92C" w:rsidP="00FC0B11" w:rsidRDefault="009C092C" w14:paraId="3F17E1F4" w14:textId="77777777">
      <w:pPr>
        <w:spacing w:after="0" w:line="240" w:lineRule="auto"/>
      </w:pPr>
      <w:r>
        <w:separator/>
      </w:r>
    </w:p>
  </w:endnote>
  <w:endnote w:type="continuationSeparator" w:id="0">
    <w:p w:rsidR="009C092C" w:rsidP="00FC0B11" w:rsidRDefault="009C092C" w14:paraId="590509E0" w14:textId="77777777">
      <w:pPr>
        <w:spacing w:after="0" w:line="240" w:lineRule="auto"/>
      </w:pPr>
      <w:r>
        <w:continuationSeparator/>
      </w:r>
    </w:p>
  </w:endnote>
  <w:endnote w:type="continuationNotice" w:id="1">
    <w:p w:rsidR="009C092C" w:rsidRDefault="009C092C" w14:paraId="346129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CE3218F" w:rsidTr="2CE3218F" w14:paraId="0BDEBEF1">
      <w:trPr>
        <w:trHeight w:val="300"/>
      </w:trPr>
      <w:tc>
        <w:tcPr>
          <w:tcW w:w="4650" w:type="dxa"/>
          <w:tcMar/>
        </w:tcPr>
        <w:p w:rsidR="2CE3218F" w:rsidP="2CE3218F" w:rsidRDefault="2CE3218F" w14:paraId="625337EA" w14:textId="557E3F7A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2CE3218F" w:rsidP="2CE3218F" w:rsidRDefault="2CE3218F" w14:paraId="5E8BBB6A" w14:textId="06B3BCCE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2CE3218F" w:rsidP="2CE3218F" w:rsidRDefault="2CE3218F" w14:paraId="505EA4E0" w14:textId="451A4F67">
          <w:pPr>
            <w:pStyle w:val="Header"/>
            <w:bidi w:val="0"/>
            <w:ind w:right="-115"/>
            <w:jc w:val="right"/>
          </w:pPr>
        </w:p>
      </w:tc>
    </w:tr>
  </w:tbl>
  <w:p w:rsidR="2CE3218F" w:rsidP="2CE3218F" w:rsidRDefault="2CE3218F" w14:paraId="50819202" w14:textId="1B2616B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92C" w:rsidP="00FC0B11" w:rsidRDefault="009C092C" w14:paraId="003E4CAF" w14:textId="77777777">
      <w:pPr>
        <w:spacing w:after="0" w:line="240" w:lineRule="auto"/>
      </w:pPr>
      <w:r>
        <w:separator/>
      </w:r>
    </w:p>
  </w:footnote>
  <w:footnote w:type="continuationSeparator" w:id="0">
    <w:p w:rsidR="009C092C" w:rsidP="00FC0B11" w:rsidRDefault="009C092C" w14:paraId="222FEBDB" w14:textId="77777777">
      <w:pPr>
        <w:spacing w:after="0" w:line="240" w:lineRule="auto"/>
      </w:pPr>
      <w:r>
        <w:continuationSeparator/>
      </w:r>
    </w:p>
  </w:footnote>
  <w:footnote w:type="continuationNotice" w:id="1">
    <w:p w:rsidR="009C092C" w:rsidRDefault="009C092C" w14:paraId="4BC9E40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69BF" w:rsidR="000369BF" w:rsidP="2CE3218F" w:rsidRDefault="000369BF" w14:paraId="39728063" w14:textId="6943ED37">
    <w:pPr>
      <w:pStyle w:val="Header"/>
      <w:rPr>
        <w:b w:val="1"/>
        <w:bCs w:val="1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8DE"/>
    <w:multiLevelType w:val="hybridMultilevel"/>
    <w:tmpl w:val="85E64B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0DD6"/>
    <w:multiLevelType w:val="hybridMultilevel"/>
    <w:tmpl w:val="31F4EADA"/>
    <w:lvl w:ilvl="0" w:tplc="07EC662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B152B1"/>
    <w:multiLevelType w:val="hybridMultilevel"/>
    <w:tmpl w:val="E09C6C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031939">
    <w:abstractNumId w:val="1"/>
  </w:num>
  <w:num w:numId="2" w16cid:durableId="1607732951">
    <w:abstractNumId w:val="2"/>
  </w:num>
  <w:num w:numId="3" w16cid:durableId="19532486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ce Branjerdporn">
    <w15:presenceInfo w15:providerId="AD" w15:userId="S::grace.branjerdporn@health.qld.gov.au::48279ae7-4b75-402a-a08b-b04895048d3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zMLM0MzexMDE2MDVQ0lEKTi0uzszPAykwqgUA8j5RDywAAAA="/>
  </w:docVars>
  <w:rsids>
    <w:rsidRoot w:val="00E11FB2"/>
    <w:rsid w:val="00001DD5"/>
    <w:rsid w:val="0000271F"/>
    <w:rsid w:val="00003664"/>
    <w:rsid w:val="000056CC"/>
    <w:rsid w:val="0001167E"/>
    <w:rsid w:val="00011E59"/>
    <w:rsid w:val="00012025"/>
    <w:rsid w:val="0001255F"/>
    <w:rsid w:val="00012A95"/>
    <w:rsid w:val="00027DA7"/>
    <w:rsid w:val="0003240D"/>
    <w:rsid w:val="0003259D"/>
    <w:rsid w:val="00034C56"/>
    <w:rsid w:val="000369BF"/>
    <w:rsid w:val="00036CDD"/>
    <w:rsid w:val="00037911"/>
    <w:rsid w:val="0004218E"/>
    <w:rsid w:val="00044C07"/>
    <w:rsid w:val="00053741"/>
    <w:rsid w:val="00055539"/>
    <w:rsid w:val="00057FC4"/>
    <w:rsid w:val="00061743"/>
    <w:rsid w:val="00077E4D"/>
    <w:rsid w:val="00081A9D"/>
    <w:rsid w:val="00081F72"/>
    <w:rsid w:val="00082AA2"/>
    <w:rsid w:val="0008402B"/>
    <w:rsid w:val="00086812"/>
    <w:rsid w:val="00090487"/>
    <w:rsid w:val="000976C8"/>
    <w:rsid w:val="000979FB"/>
    <w:rsid w:val="000A0CCB"/>
    <w:rsid w:val="000A28ED"/>
    <w:rsid w:val="000A7DC4"/>
    <w:rsid w:val="000B0162"/>
    <w:rsid w:val="000B5B44"/>
    <w:rsid w:val="000B5E3D"/>
    <w:rsid w:val="000C18A3"/>
    <w:rsid w:val="000C2D0E"/>
    <w:rsid w:val="000C32F5"/>
    <w:rsid w:val="000C3593"/>
    <w:rsid w:val="000C426A"/>
    <w:rsid w:val="000C5654"/>
    <w:rsid w:val="000C5EB9"/>
    <w:rsid w:val="000D190D"/>
    <w:rsid w:val="000D2CB3"/>
    <w:rsid w:val="000D598C"/>
    <w:rsid w:val="000E1223"/>
    <w:rsid w:val="000F4817"/>
    <w:rsid w:val="000F5212"/>
    <w:rsid w:val="000F5B58"/>
    <w:rsid w:val="000F7F6D"/>
    <w:rsid w:val="00100525"/>
    <w:rsid w:val="001035A6"/>
    <w:rsid w:val="00112788"/>
    <w:rsid w:val="0011407A"/>
    <w:rsid w:val="00116CA6"/>
    <w:rsid w:val="0011724E"/>
    <w:rsid w:val="0012113D"/>
    <w:rsid w:val="00126566"/>
    <w:rsid w:val="00126C57"/>
    <w:rsid w:val="00130E28"/>
    <w:rsid w:val="00131929"/>
    <w:rsid w:val="00131EE7"/>
    <w:rsid w:val="0013347D"/>
    <w:rsid w:val="00136367"/>
    <w:rsid w:val="0013709F"/>
    <w:rsid w:val="0014017E"/>
    <w:rsid w:val="00141380"/>
    <w:rsid w:val="001428B5"/>
    <w:rsid w:val="00142AC3"/>
    <w:rsid w:val="00146A4E"/>
    <w:rsid w:val="00147BB8"/>
    <w:rsid w:val="00151459"/>
    <w:rsid w:val="00152C60"/>
    <w:rsid w:val="0016332F"/>
    <w:rsid w:val="001677E7"/>
    <w:rsid w:val="00170D35"/>
    <w:rsid w:val="00171413"/>
    <w:rsid w:val="00172196"/>
    <w:rsid w:val="0017480A"/>
    <w:rsid w:val="00175B7C"/>
    <w:rsid w:val="0018075B"/>
    <w:rsid w:val="001840A2"/>
    <w:rsid w:val="00185432"/>
    <w:rsid w:val="00190293"/>
    <w:rsid w:val="00192706"/>
    <w:rsid w:val="0019667C"/>
    <w:rsid w:val="00196EAF"/>
    <w:rsid w:val="00196EB7"/>
    <w:rsid w:val="001A074D"/>
    <w:rsid w:val="001A15CD"/>
    <w:rsid w:val="001A1694"/>
    <w:rsid w:val="001A3823"/>
    <w:rsid w:val="001B30C4"/>
    <w:rsid w:val="001B4AD1"/>
    <w:rsid w:val="001B7496"/>
    <w:rsid w:val="001C3965"/>
    <w:rsid w:val="001C470B"/>
    <w:rsid w:val="001C6949"/>
    <w:rsid w:val="001D1BA1"/>
    <w:rsid w:val="001D204B"/>
    <w:rsid w:val="001D3ABC"/>
    <w:rsid w:val="001D44AB"/>
    <w:rsid w:val="001E1DB9"/>
    <w:rsid w:val="001E38BA"/>
    <w:rsid w:val="001F71C3"/>
    <w:rsid w:val="00200758"/>
    <w:rsid w:val="002031AD"/>
    <w:rsid w:val="002048EC"/>
    <w:rsid w:val="00210A74"/>
    <w:rsid w:val="0021269A"/>
    <w:rsid w:val="00213814"/>
    <w:rsid w:val="00213C6C"/>
    <w:rsid w:val="00216DE3"/>
    <w:rsid w:val="00223595"/>
    <w:rsid w:val="002236BF"/>
    <w:rsid w:val="00226E7E"/>
    <w:rsid w:val="00230F87"/>
    <w:rsid w:val="002328A1"/>
    <w:rsid w:val="00235756"/>
    <w:rsid w:val="002407FE"/>
    <w:rsid w:val="00243276"/>
    <w:rsid w:val="0025028C"/>
    <w:rsid w:val="00251257"/>
    <w:rsid w:val="00261EE8"/>
    <w:rsid w:val="002626BA"/>
    <w:rsid w:val="002627C5"/>
    <w:rsid w:val="002721EA"/>
    <w:rsid w:val="00276BC2"/>
    <w:rsid w:val="00277CD7"/>
    <w:rsid w:val="00282766"/>
    <w:rsid w:val="002931BF"/>
    <w:rsid w:val="00293383"/>
    <w:rsid w:val="0029347C"/>
    <w:rsid w:val="002964C6"/>
    <w:rsid w:val="00297AE3"/>
    <w:rsid w:val="002B07E0"/>
    <w:rsid w:val="002B0F0E"/>
    <w:rsid w:val="002B13E2"/>
    <w:rsid w:val="002B1F9B"/>
    <w:rsid w:val="002C1796"/>
    <w:rsid w:val="002C2879"/>
    <w:rsid w:val="002C2CBF"/>
    <w:rsid w:val="002C3C64"/>
    <w:rsid w:val="002C4665"/>
    <w:rsid w:val="002C70EA"/>
    <w:rsid w:val="002C7A7D"/>
    <w:rsid w:val="002D06C4"/>
    <w:rsid w:val="002D2B05"/>
    <w:rsid w:val="002D69CD"/>
    <w:rsid w:val="002E1796"/>
    <w:rsid w:val="002E2EEE"/>
    <w:rsid w:val="002F3285"/>
    <w:rsid w:val="002F67C8"/>
    <w:rsid w:val="002F7C41"/>
    <w:rsid w:val="00300087"/>
    <w:rsid w:val="00300643"/>
    <w:rsid w:val="0030347F"/>
    <w:rsid w:val="00305174"/>
    <w:rsid w:val="00310812"/>
    <w:rsid w:val="00310B4D"/>
    <w:rsid w:val="003116F2"/>
    <w:rsid w:val="00313BCE"/>
    <w:rsid w:val="00314185"/>
    <w:rsid w:val="00316082"/>
    <w:rsid w:val="00317FD1"/>
    <w:rsid w:val="003216BC"/>
    <w:rsid w:val="00322C53"/>
    <w:rsid w:val="003333DB"/>
    <w:rsid w:val="003349BE"/>
    <w:rsid w:val="00340263"/>
    <w:rsid w:val="003403BD"/>
    <w:rsid w:val="00340466"/>
    <w:rsid w:val="00341FD4"/>
    <w:rsid w:val="003426FB"/>
    <w:rsid w:val="0035040E"/>
    <w:rsid w:val="0035284E"/>
    <w:rsid w:val="00352DD5"/>
    <w:rsid w:val="00354713"/>
    <w:rsid w:val="00354BFC"/>
    <w:rsid w:val="00361865"/>
    <w:rsid w:val="00362560"/>
    <w:rsid w:val="00364A55"/>
    <w:rsid w:val="00365236"/>
    <w:rsid w:val="00370174"/>
    <w:rsid w:val="00371C11"/>
    <w:rsid w:val="00374370"/>
    <w:rsid w:val="00374A9C"/>
    <w:rsid w:val="00375438"/>
    <w:rsid w:val="00377A5D"/>
    <w:rsid w:val="0038013D"/>
    <w:rsid w:val="00380EDD"/>
    <w:rsid w:val="003833A3"/>
    <w:rsid w:val="003857AA"/>
    <w:rsid w:val="003871C5"/>
    <w:rsid w:val="00391390"/>
    <w:rsid w:val="00391FDD"/>
    <w:rsid w:val="003926EF"/>
    <w:rsid w:val="003A3824"/>
    <w:rsid w:val="003A4DD5"/>
    <w:rsid w:val="003B51A3"/>
    <w:rsid w:val="003C1E73"/>
    <w:rsid w:val="003C6E2F"/>
    <w:rsid w:val="003C6E88"/>
    <w:rsid w:val="003D0203"/>
    <w:rsid w:val="003D02C1"/>
    <w:rsid w:val="003D1FB4"/>
    <w:rsid w:val="003D1FCD"/>
    <w:rsid w:val="003D2E5E"/>
    <w:rsid w:val="003D451B"/>
    <w:rsid w:val="003D6181"/>
    <w:rsid w:val="003E2683"/>
    <w:rsid w:val="003E4C74"/>
    <w:rsid w:val="003E7015"/>
    <w:rsid w:val="003E74D7"/>
    <w:rsid w:val="003F2A27"/>
    <w:rsid w:val="003F2E1F"/>
    <w:rsid w:val="003F6345"/>
    <w:rsid w:val="0040393D"/>
    <w:rsid w:val="00404290"/>
    <w:rsid w:val="00405825"/>
    <w:rsid w:val="00406F0B"/>
    <w:rsid w:val="00406FE9"/>
    <w:rsid w:val="004073F3"/>
    <w:rsid w:val="0041013C"/>
    <w:rsid w:val="0041104C"/>
    <w:rsid w:val="00412B7C"/>
    <w:rsid w:val="00414026"/>
    <w:rsid w:val="00414BE4"/>
    <w:rsid w:val="0041756E"/>
    <w:rsid w:val="00417602"/>
    <w:rsid w:val="0042382C"/>
    <w:rsid w:val="004248D1"/>
    <w:rsid w:val="00426926"/>
    <w:rsid w:val="00426BB4"/>
    <w:rsid w:val="00431226"/>
    <w:rsid w:val="0043356C"/>
    <w:rsid w:val="004373B7"/>
    <w:rsid w:val="00437776"/>
    <w:rsid w:val="00444419"/>
    <w:rsid w:val="00444D50"/>
    <w:rsid w:val="00444FA9"/>
    <w:rsid w:val="004458D5"/>
    <w:rsid w:val="00445F25"/>
    <w:rsid w:val="0044750D"/>
    <w:rsid w:val="004502A3"/>
    <w:rsid w:val="004506AF"/>
    <w:rsid w:val="004522FF"/>
    <w:rsid w:val="00452BDF"/>
    <w:rsid w:val="00460BBD"/>
    <w:rsid w:val="00461944"/>
    <w:rsid w:val="00461E38"/>
    <w:rsid w:val="00464B8D"/>
    <w:rsid w:val="00472D80"/>
    <w:rsid w:val="00473869"/>
    <w:rsid w:val="00483D13"/>
    <w:rsid w:val="00492923"/>
    <w:rsid w:val="00493D88"/>
    <w:rsid w:val="00493ED6"/>
    <w:rsid w:val="00494229"/>
    <w:rsid w:val="0049724C"/>
    <w:rsid w:val="004A15BB"/>
    <w:rsid w:val="004A1A51"/>
    <w:rsid w:val="004A2F1B"/>
    <w:rsid w:val="004A44DB"/>
    <w:rsid w:val="004A4A0D"/>
    <w:rsid w:val="004A4BBC"/>
    <w:rsid w:val="004A75C9"/>
    <w:rsid w:val="004A7C12"/>
    <w:rsid w:val="004B1082"/>
    <w:rsid w:val="004B1A78"/>
    <w:rsid w:val="004B357A"/>
    <w:rsid w:val="004B480C"/>
    <w:rsid w:val="004B5447"/>
    <w:rsid w:val="004B5D34"/>
    <w:rsid w:val="004B6F17"/>
    <w:rsid w:val="004C228D"/>
    <w:rsid w:val="004C5E4F"/>
    <w:rsid w:val="004E10BF"/>
    <w:rsid w:val="004E176F"/>
    <w:rsid w:val="004E2A7B"/>
    <w:rsid w:val="004E2FC9"/>
    <w:rsid w:val="004E3D0A"/>
    <w:rsid w:val="004E7068"/>
    <w:rsid w:val="004F2C11"/>
    <w:rsid w:val="004F53E3"/>
    <w:rsid w:val="00501EB5"/>
    <w:rsid w:val="0050424C"/>
    <w:rsid w:val="00504A1C"/>
    <w:rsid w:val="00504BF9"/>
    <w:rsid w:val="00505CBB"/>
    <w:rsid w:val="00506F77"/>
    <w:rsid w:val="00510E66"/>
    <w:rsid w:val="0051473B"/>
    <w:rsid w:val="00516B75"/>
    <w:rsid w:val="0053141C"/>
    <w:rsid w:val="00537A1D"/>
    <w:rsid w:val="0054167F"/>
    <w:rsid w:val="00545B05"/>
    <w:rsid w:val="005506A2"/>
    <w:rsid w:val="00550DFD"/>
    <w:rsid w:val="0055677F"/>
    <w:rsid w:val="005615B4"/>
    <w:rsid w:val="005713FC"/>
    <w:rsid w:val="005778BD"/>
    <w:rsid w:val="005779A4"/>
    <w:rsid w:val="00580295"/>
    <w:rsid w:val="00580D50"/>
    <w:rsid w:val="00581494"/>
    <w:rsid w:val="0058335A"/>
    <w:rsid w:val="00585ACD"/>
    <w:rsid w:val="00586D29"/>
    <w:rsid w:val="005907D6"/>
    <w:rsid w:val="0059478C"/>
    <w:rsid w:val="00595427"/>
    <w:rsid w:val="00595A26"/>
    <w:rsid w:val="00595F56"/>
    <w:rsid w:val="00596133"/>
    <w:rsid w:val="005A2767"/>
    <w:rsid w:val="005A5818"/>
    <w:rsid w:val="005B14E1"/>
    <w:rsid w:val="005B64DE"/>
    <w:rsid w:val="005C6D5D"/>
    <w:rsid w:val="005D21DB"/>
    <w:rsid w:val="005D28D2"/>
    <w:rsid w:val="005D4C93"/>
    <w:rsid w:val="005E3C44"/>
    <w:rsid w:val="005E509A"/>
    <w:rsid w:val="005F13E5"/>
    <w:rsid w:val="005F2BBF"/>
    <w:rsid w:val="005F3323"/>
    <w:rsid w:val="005F4FF7"/>
    <w:rsid w:val="005F5FBB"/>
    <w:rsid w:val="00600FA1"/>
    <w:rsid w:val="00602478"/>
    <w:rsid w:val="00602EE0"/>
    <w:rsid w:val="00604FCB"/>
    <w:rsid w:val="00605431"/>
    <w:rsid w:val="00610467"/>
    <w:rsid w:val="006141C3"/>
    <w:rsid w:val="006156E9"/>
    <w:rsid w:val="00617954"/>
    <w:rsid w:val="006234E1"/>
    <w:rsid w:val="0062487D"/>
    <w:rsid w:val="006264A2"/>
    <w:rsid w:val="00630473"/>
    <w:rsid w:val="00632396"/>
    <w:rsid w:val="00636D34"/>
    <w:rsid w:val="00641EC4"/>
    <w:rsid w:val="00643FD7"/>
    <w:rsid w:val="006441CC"/>
    <w:rsid w:val="006453F0"/>
    <w:rsid w:val="0065625B"/>
    <w:rsid w:val="00662377"/>
    <w:rsid w:val="00662D25"/>
    <w:rsid w:val="00670145"/>
    <w:rsid w:val="00674256"/>
    <w:rsid w:val="0067600D"/>
    <w:rsid w:val="00676D63"/>
    <w:rsid w:val="00680BC6"/>
    <w:rsid w:val="00680E32"/>
    <w:rsid w:val="006813E7"/>
    <w:rsid w:val="00681F19"/>
    <w:rsid w:val="00690F4A"/>
    <w:rsid w:val="00692D06"/>
    <w:rsid w:val="00693851"/>
    <w:rsid w:val="00696A85"/>
    <w:rsid w:val="00697435"/>
    <w:rsid w:val="006A0147"/>
    <w:rsid w:val="006A0978"/>
    <w:rsid w:val="006A1437"/>
    <w:rsid w:val="006A1A8B"/>
    <w:rsid w:val="006A1B79"/>
    <w:rsid w:val="006A40C2"/>
    <w:rsid w:val="006B06C3"/>
    <w:rsid w:val="006B1075"/>
    <w:rsid w:val="006B3425"/>
    <w:rsid w:val="006B49BA"/>
    <w:rsid w:val="006B705B"/>
    <w:rsid w:val="006C4C18"/>
    <w:rsid w:val="006C51F2"/>
    <w:rsid w:val="006C667D"/>
    <w:rsid w:val="006C7FB4"/>
    <w:rsid w:val="006D26D3"/>
    <w:rsid w:val="006D3830"/>
    <w:rsid w:val="006D59B3"/>
    <w:rsid w:val="006D793E"/>
    <w:rsid w:val="006E085E"/>
    <w:rsid w:val="006E0881"/>
    <w:rsid w:val="006E15C3"/>
    <w:rsid w:val="006E16DD"/>
    <w:rsid w:val="006E18D2"/>
    <w:rsid w:val="006E225F"/>
    <w:rsid w:val="006E28C6"/>
    <w:rsid w:val="006E5CEA"/>
    <w:rsid w:val="006E6AC1"/>
    <w:rsid w:val="006F24AC"/>
    <w:rsid w:val="006F4BCE"/>
    <w:rsid w:val="006F7819"/>
    <w:rsid w:val="006F7DBA"/>
    <w:rsid w:val="007008CE"/>
    <w:rsid w:val="007047B9"/>
    <w:rsid w:val="00706C20"/>
    <w:rsid w:val="00710E92"/>
    <w:rsid w:val="00711DB7"/>
    <w:rsid w:val="00712C70"/>
    <w:rsid w:val="00713F9E"/>
    <w:rsid w:val="00723579"/>
    <w:rsid w:val="007252EF"/>
    <w:rsid w:val="00730AA6"/>
    <w:rsid w:val="007335DB"/>
    <w:rsid w:val="00733FB8"/>
    <w:rsid w:val="0073411E"/>
    <w:rsid w:val="007355EC"/>
    <w:rsid w:val="00736DF4"/>
    <w:rsid w:val="00737DD8"/>
    <w:rsid w:val="00745F69"/>
    <w:rsid w:val="007558CD"/>
    <w:rsid w:val="007579F5"/>
    <w:rsid w:val="00757C7A"/>
    <w:rsid w:val="00763640"/>
    <w:rsid w:val="00766917"/>
    <w:rsid w:val="007742F3"/>
    <w:rsid w:val="0077432A"/>
    <w:rsid w:val="0077615D"/>
    <w:rsid w:val="00776F91"/>
    <w:rsid w:val="00785942"/>
    <w:rsid w:val="00786732"/>
    <w:rsid w:val="00786EFF"/>
    <w:rsid w:val="0078775A"/>
    <w:rsid w:val="00787E30"/>
    <w:rsid w:val="007945F7"/>
    <w:rsid w:val="007969A1"/>
    <w:rsid w:val="007A169D"/>
    <w:rsid w:val="007A1BA0"/>
    <w:rsid w:val="007A24F5"/>
    <w:rsid w:val="007A656D"/>
    <w:rsid w:val="007B3334"/>
    <w:rsid w:val="007B4454"/>
    <w:rsid w:val="007B48D6"/>
    <w:rsid w:val="007B51E2"/>
    <w:rsid w:val="007B6A4D"/>
    <w:rsid w:val="007C2A34"/>
    <w:rsid w:val="007C7660"/>
    <w:rsid w:val="007D074F"/>
    <w:rsid w:val="007D1C40"/>
    <w:rsid w:val="007D2A82"/>
    <w:rsid w:val="007D3E58"/>
    <w:rsid w:val="007E02B7"/>
    <w:rsid w:val="007E0A7A"/>
    <w:rsid w:val="007E2915"/>
    <w:rsid w:val="007E342E"/>
    <w:rsid w:val="007E355F"/>
    <w:rsid w:val="007E43CC"/>
    <w:rsid w:val="007E727D"/>
    <w:rsid w:val="007F093D"/>
    <w:rsid w:val="007F2582"/>
    <w:rsid w:val="007F25C3"/>
    <w:rsid w:val="007F295B"/>
    <w:rsid w:val="007F4C5D"/>
    <w:rsid w:val="007F575C"/>
    <w:rsid w:val="007F74BA"/>
    <w:rsid w:val="007F7BFA"/>
    <w:rsid w:val="008040DA"/>
    <w:rsid w:val="00804D43"/>
    <w:rsid w:val="0082009B"/>
    <w:rsid w:val="00820BFA"/>
    <w:rsid w:val="008213B9"/>
    <w:rsid w:val="00823622"/>
    <w:rsid w:val="00826ECD"/>
    <w:rsid w:val="0083237A"/>
    <w:rsid w:val="008367E2"/>
    <w:rsid w:val="00851F69"/>
    <w:rsid w:val="0085334C"/>
    <w:rsid w:val="00854941"/>
    <w:rsid w:val="008650B4"/>
    <w:rsid w:val="00866E9A"/>
    <w:rsid w:val="00867270"/>
    <w:rsid w:val="00867850"/>
    <w:rsid w:val="00872D97"/>
    <w:rsid w:val="008815EC"/>
    <w:rsid w:val="00881B59"/>
    <w:rsid w:val="008849C9"/>
    <w:rsid w:val="00896C7F"/>
    <w:rsid w:val="008A0012"/>
    <w:rsid w:val="008A2BC9"/>
    <w:rsid w:val="008B5B3F"/>
    <w:rsid w:val="008C3B5E"/>
    <w:rsid w:val="008C6AEB"/>
    <w:rsid w:val="008D4C9E"/>
    <w:rsid w:val="008D5F41"/>
    <w:rsid w:val="008D6095"/>
    <w:rsid w:val="008D7735"/>
    <w:rsid w:val="008D77CC"/>
    <w:rsid w:val="008D7C85"/>
    <w:rsid w:val="008D7D16"/>
    <w:rsid w:val="008E42E0"/>
    <w:rsid w:val="008F1744"/>
    <w:rsid w:val="008F64D1"/>
    <w:rsid w:val="008F75B0"/>
    <w:rsid w:val="00900202"/>
    <w:rsid w:val="0090246A"/>
    <w:rsid w:val="00905669"/>
    <w:rsid w:val="00915AC2"/>
    <w:rsid w:val="009215B2"/>
    <w:rsid w:val="00930E5B"/>
    <w:rsid w:val="00932610"/>
    <w:rsid w:val="00935145"/>
    <w:rsid w:val="00935BAC"/>
    <w:rsid w:val="00935DF9"/>
    <w:rsid w:val="009365C1"/>
    <w:rsid w:val="009374F5"/>
    <w:rsid w:val="00952006"/>
    <w:rsid w:val="009527B4"/>
    <w:rsid w:val="009544C5"/>
    <w:rsid w:val="00954B12"/>
    <w:rsid w:val="00962010"/>
    <w:rsid w:val="00962EBE"/>
    <w:rsid w:val="00963CB9"/>
    <w:rsid w:val="009808F0"/>
    <w:rsid w:val="00981741"/>
    <w:rsid w:val="009876E5"/>
    <w:rsid w:val="00994C6E"/>
    <w:rsid w:val="00997C1F"/>
    <w:rsid w:val="009A38E1"/>
    <w:rsid w:val="009A404B"/>
    <w:rsid w:val="009A78DF"/>
    <w:rsid w:val="009B52D9"/>
    <w:rsid w:val="009B63A7"/>
    <w:rsid w:val="009C092C"/>
    <w:rsid w:val="009C468E"/>
    <w:rsid w:val="009C5D7E"/>
    <w:rsid w:val="009C5DFE"/>
    <w:rsid w:val="009C5F2A"/>
    <w:rsid w:val="009D495C"/>
    <w:rsid w:val="009D5CA3"/>
    <w:rsid w:val="009E01FA"/>
    <w:rsid w:val="009E0AA3"/>
    <w:rsid w:val="009E1B80"/>
    <w:rsid w:val="009E4510"/>
    <w:rsid w:val="009F152F"/>
    <w:rsid w:val="009F4D56"/>
    <w:rsid w:val="009F7298"/>
    <w:rsid w:val="00A0631B"/>
    <w:rsid w:val="00A131C8"/>
    <w:rsid w:val="00A148B6"/>
    <w:rsid w:val="00A17AF3"/>
    <w:rsid w:val="00A20055"/>
    <w:rsid w:val="00A22550"/>
    <w:rsid w:val="00A23BF0"/>
    <w:rsid w:val="00A264B7"/>
    <w:rsid w:val="00A35220"/>
    <w:rsid w:val="00A364ED"/>
    <w:rsid w:val="00A40EC2"/>
    <w:rsid w:val="00A41B71"/>
    <w:rsid w:val="00A43235"/>
    <w:rsid w:val="00A43769"/>
    <w:rsid w:val="00A44933"/>
    <w:rsid w:val="00A44A08"/>
    <w:rsid w:val="00A47127"/>
    <w:rsid w:val="00A50DDB"/>
    <w:rsid w:val="00A50DF0"/>
    <w:rsid w:val="00A56366"/>
    <w:rsid w:val="00A612AB"/>
    <w:rsid w:val="00A61529"/>
    <w:rsid w:val="00A71232"/>
    <w:rsid w:val="00A7343F"/>
    <w:rsid w:val="00A76E4E"/>
    <w:rsid w:val="00A77DC1"/>
    <w:rsid w:val="00A8264D"/>
    <w:rsid w:val="00A85F2B"/>
    <w:rsid w:val="00A87F2C"/>
    <w:rsid w:val="00A91055"/>
    <w:rsid w:val="00A91EE3"/>
    <w:rsid w:val="00A95BE5"/>
    <w:rsid w:val="00AA0437"/>
    <w:rsid w:val="00AA30C4"/>
    <w:rsid w:val="00AA3938"/>
    <w:rsid w:val="00AA4B38"/>
    <w:rsid w:val="00AA5622"/>
    <w:rsid w:val="00AB405E"/>
    <w:rsid w:val="00AB7E8A"/>
    <w:rsid w:val="00AD1E7B"/>
    <w:rsid w:val="00AD3FB2"/>
    <w:rsid w:val="00AD6CC4"/>
    <w:rsid w:val="00AD7907"/>
    <w:rsid w:val="00AD7C4A"/>
    <w:rsid w:val="00AE009C"/>
    <w:rsid w:val="00AE142C"/>
    <w:rsid w:val="00AE1AB2"/>
    <w:rsid w:val="00AE1B85"/>
    <w:rsid w:val="00AE1ED9"/>
    <w:rsid w:val="00AE68AE"/>
    <w:rsid w:val="00AF425E"/>
    <w:rsid w:val="00AF554E"/>
    <w:rsid w:val="00B05242"/>
    <w:rsid w:val="00B12E7C"/>
    <w:rsid w:val="00B16530"/>
    <w:rsid w:val="00B215F0"/>
    <w:rsid w:val="00B22C65"/>
    <w:rsid w:val="00B256A2"/>
    <w:rsid w:val="00B3049E"/>
    <w:rsid w:val="00B314BA"/>
    <w:rsid w:val="00B31A81"/>
    <w:rsid w:val="00B33B2F"/>
    <w:rsid w:val="00B35B58"/>
    <w:rsid w:val="00B36BAC"/>
    <w:rsid w:val="00B37000"/>
    <w:rsid w:val="00B377D7"/>
    <w:rsid w:val="00B4097E"/>
    <w:rsid w:val="00B448CF"/>
    <w:rsid w:val="00B44FD7"/>
    <w:rsid w:val="00B46621"/>
    <w:rsid w:val="00B46A95"/>
    <w:rsid w:val="00B50542"/>
    <w:rsid w:val="00B53665"/>
    <w:rsid w:val="00B5501A"/>
    <w:rsid w:val="00B55656"/>
    <w:rsid w:val="00B55CEC"/>
    <w:rsid w:val="00B579A6"/>
    <w:rsid w:val="00B6063F"/>
    <w:rsid w:val="00B615B1"/>
    <w:rsid w:val="00B67FCA"/>
    <w:rsid w:val="00B8690E"/>
    <w:rsid w:val="00B9272E"/>
    <w:rsid w:val="00B94D10"/>
    <w:rsid w:val="00B96CF3"/>
    <w:rsid w:val="00B97D35"/>
    <w:rsid w:val="00BA242A"/>
    <w:rsid w:val="00BA3AB1"/>
    <w:rsid w:val="00BA4BD7"/>
    <w:rsid w:val="00BA5053"/>
    <w:rsid w:val="00BA570D"/>
    <w:rsid w:val="00BB232D"/>
    <w:rsid w:val="00BB503A"/>
    <w:rsid w:val="00BB6E2A"/>
    <w:rsid w:val="00BC20D8"/>
    <w:rsid w:val="00BC5A96"/>
    <w:rsid w:val="00BC6091"/>
    <w:rsid w:val="00BC61D6"/>
    <w:rsid w:val="00BD04B6"/>
    <w:rsid w:val="00BD18FF"/>
    <w:rsid w:val="00BD7499"/>
    <w:rsid w:val="00BE29C1"/>
    <w:rsid w:val="00BE4383"/>
    <w:rsid w:val="00BE4773"/>
    <w:rsid w:val="00BE4932"/>
    <w:rsid w:val="00BE66D2"/>
    <w:rsid w:val="00BF4927"/>
    <w:rsid w:val="00BF500C"/>
    <w:rsid w:val="00BF656A"/>
    <w:rsid w:val="00BF794F"/>
    <w:rsid w:val="00C015CF"/>
    <w:rsid w:val="00C02FF9"/>
    <w:rsid w:val="00C03217"/>
    <w:rsid w:val="00C03894"/>
    <w:rsid w:val="00C06CEA"/>
    <w:rsid w:val="00C07469"/>
    <w:rsid w:val="00C11719"/>
    <w:rsid w:val="00C14EC3"/>
    <w:rsid w:val="00C16208"/>
    <w:rsid w:val="00C16C3A"/>
    <w:rsid w:val="00C1773B"/>
    <w:rsid w:val="00C22D5C"/>
    <w:rsid w:val="00C2392D"/>
    <w:rsid w:val="00C25805"/>
    <w:rsid w:val="00C26225"/>
    <w:rsid w:val="00C306E6"/>
    <w:rsid w:val="00C3284E"/>
    <w:rsid w:val="00C34211"/>
    <w:rsid w:val="00C34B6F"/>
    <w:rsid w:val="00C361BB"/>
    <w:rsid w:val="00C37A33"/>
    <w:rsid w:val="00C37FFA"/>
    <w:rsid w:val="00C43DBA"/>
    <w:rsid w:val="00C4621E"/>
    <w:rsid w:val="00C51556"/>
    <w:rsid w:val="00C5314B"/>
    <w:rsid w:val="00C564B1"/>
    <w:rsid w:val="00C56EBE"/>
    <w:rsid w:val="00C604F9"/>
    <w:rsid w:val="00C62030"/>
    <w:rsid w:val="00C67D4E"/>
    <w:rsid w:val="00C73333"/>
    <w:rsid w:val="00C7500C"/>
    <w:rsid w:val="00C75DD2"/>
    <w:rsid w:val="00C76E3B"/>
    <w:rsid w:val="00C84054"/>
    <w:rsid w:val="00C86A1D"/>
    <w:rsid w:val="00C91C85"/>
    <w:rsid w:val="00C91EBA"/>
    <w:rsid w:val="00C9396C"/>
    <w:rsid w:val="00CA1413"/>
    <w:rsid w:val="00CA1475"/>
    <w:rsid w:val="00CA280D"/>
    <w:rsid w:val="00CA2C83"/>
    <w:rsid w:val="00CA30E1"/>
    <w:rsid w:val="00CA5E4F"/>
    <w:rsid w:val="00CA6DBA"/>
    <w:rsid w:val="00CB5C13"/>
    <w:rsid w:val="00CB6AE3"/>
    <w:rsid w:val="00CB7C19"/>
    <w:rsid w:val="00CC3441"/>
    <w:rsid w:val="00CC46D3"/>
    <w:rsid w:val="00CC5DBE"/>
    <w:rsid w:val="00CD023C"/>
    <w:rsid w:val="00CD1AB6"/>
    <w:rsid w:val="00CD53ED"/>
    <w:rsid w:val="00CD633A"/>
    <w:rsid w:val="00CE5865"/>
    <w:rsid w:val="00CF3D20"/>
    <w:rsid w:val="00CF4A96"/>
    <w:rsid w:val="00CF4AB4"/>
    <w:rsid w:val="00CF6A33"/>
    <w:rsid w:val="00D02962"/>
    <w:rsid w:val="00D0373D"/>
    <w:rsid w:val="00D15281"/>
    <w:rsid w:val="00D220EA"/>
    <w:rsid w:val="00D22FC3"/>
    <w:rsid w:val="00D24209"/>
    <w:rsid w:val="00D2487F"/>
    <w:rsid w:val="00D27496"/>
    <w:rsid w:val="00D27F4A"/>
    <w:rsid w:val="00D32B84"/>
    <w:rsid w:val="00D33B68"/>
    <w:rsid w:val="00D35099"/>
    <w:rsid w:val="00D459AB"/>
    <w:rsid w:val="00D459AC"/>
    <w:rsid w:val="00D45EBD"/>
    <w:rsid w:val="00D52537"/>
    <w:rsid w:val="00D526B2"/>
    <w:rsid w:val="00D526E2"/>
    <w:rsid w:val="00D52B5D"/>
    <w:rsid w:val="00D53C2A"/>
    <w:rsid w:val="00D5448F"/>
    <w:rsid w:val="00D54971"/>
    <w:rsid w:val="00D606E4"/>
    <w:rsid w:val="00D61E74"/>
    <w:rsid w:val="00D63D19"/>
    <w:rsid w:val="00D65645"/>
    <w:rsid w:val="00D65BA3"/>
    <w:rsid w:val="00D6778A"/>
    <w:rsid w:val="00D67814"/>
    <w:rsid w:val="00D67DA2"/>
    <w:rsid w:val="00D715DE"/>
    <w:rsid w:val="00D71685"/>
    <w:rsid w:val="00D738FA"/>
    <w:rsid w:val="00D806FF"/>
    <w:rsid w:val="00D865CE"/>
    <w:rsid w:val="00D966C7"/>
    <w:rsid w:val="00DA0E8E"/>
    <w:rsid w:val="00DA2058"/>
    <w:rsid w:val="00DA2B31"/>
    <w:rsid w:val="00DA7867"/>
    <w:rsid w:val="00DB3642"/>
    <w:rsid w:val="00DB58B5"/>
    <w:rsid w:val="00DB7703"/>
    <w:rsid w:val="00DC0BF8"/>
    <w:rsid w:val="00DC20CA"/>
    <w:rsid w:val="00DC36E4"/>
    <w:rsid w:val="00DC56E2"/>
    <w:rsid w:val="00DC7214"/>
    <w:rsid w:val="00DD320B"/>
    <w:rsid w:val="00DD5176"/>
    <w:rsid w:val="00DD5260"/>
    <w:rsid w:val="00DE1ACA"/>
    <w:rsid w:val="00DE6810"/>
    <w:rsid w:val="00DE6DF4"/>
    <w:rsid w:val="00DE6FE4"/>
    <w:rsid w:val="00DF20A7"/>
    <w:rsid w:val="00DF3372"/>
    <w:rsid w:val="00DF5B29"/>
    <w:rsid w:val="00DF5C25"/>
    <w:rsid w:val="00E003BC"/>
    <w:rsid w:val="00E05967"/>
    <w:rsid w:val="00E10112"/>
    <w:rsid w:val="00E11FB2"/>
    <w:rsid w:val="00E12B1E"/>
    <w:rsid w:val="00E15259"/>
    <w:rsid w:val="00E17DA7"/>
    <w:rsid w:val="00E2268C"/>
    <w:rsid w:val="00E24D08"/>
    <w:rsid w:val="00E30790"/>
    <w:rsid w:val="00E3101A"/>
    <w:rsid w:val="00E3416C"/>
    <w:rsid w:val="00E367F8"/>
    <w:rsid w:val="00E36910"/>
    <w:rsid w:val="00E41D44"/>
    <w:rsid w:val="00E42FC6"/>
    <w:rsid w:val="00E4520A"/>
    <w:rsid w:val="00E466F8"/>
    <w:rsid w:val="00E516CC"/>
    <w:rsid w:val="00E53710"/>
    <w:rsid w:val="00E54385"/>
    <w:rsid w:val="00E61018"/>
    <w:rsid w:val="00E669BA"/>
    <w:rsid w:val="00E6701B"/>
    <w:rsid w:val="00E67B2F"/>
    <w:rsid w:val="00E76BC3"/>
    <w:rsid w:val="00E779DB"/>
    <w:rsid w:val="00E83AB9"/>
    <w:rsid w:val="00E86992"/>
    <w:rsid w:val="00E8788B"/>
    <w:rsid w:val="00E92C81"/>
    <w:rsid w:val="00E94089"/>
    <w:rsid w:val="00E977D5"/>
    <w:rsid w:val="00EA1094"/>
    <w:rsid w:val="00EA2347"/>
    <w:rsid w:val="00EA67D6"/>
    <w:rsid w:val="00EA6CEF"/>
    <w:rsid w:val="00EB71C7"/>
    <w:rsid w:val="00EB71C9"/>
    <w:rsid w:val="00EC12F7"/>
    <w:rsid w:val="00EC30E1"/>
    <w:rsid w:val="00EC4DC0"/>
    <w:rsid w:val="00ED087F"/>
    <w:rsid w:val="00ED22DD"/>
    <w:rsid w:val="00ED23A4"/>
    <w:rsid w:val="00EE0238"/>
    <w:rsid w:val="00EE195E"/>
    <w:rsid w:val="00EE5B21"/>
    <w:rsid w:val="00EF16C6"/>
    <w:rsid w:val="00EF4448"/>
    <w:rsid w:val="00F02653"/>
    <w:rsid w:val="00F02692"/>
    <w:rsid w:val="00F14914"/>
    <w:rsid w:val="00F16972"/>
    <w:rsid w:val="00F16EE8"/>
    <w:rsid w:val="00F17018"/>
    <w:rsid w:val="00F206C2"/>
    <w:rsid w:val="00F20AD3"/>
    <w:rsid w:val="00F22808"/>
    <w:rsid w:val="00F3157F"/>
    <w:rsid w:val="00F3168E"/>
    <w:rsid w:val="00F31CDF"/>
    <w:rsid w:val="00F32BB2"/>
    <w:rsid w:val="00F34475"/>
    <w:rsid w:val="00F403E9"/>
    <w:rsid w:val="00F42017"/>
    <w:rsid w:val="00F43E9F"/>
    <w:rsid w:val="00F54D33"/>
    <w:rsid w:val="00F56960"/>
    <w:rsid w:val="00F5796F"/>
    <w:rsid w:val="00F60248"/>
    <w:rsid w:val="00F607FA"/>
    <w:rsid w:val="00F6109D"/>
    <w:rsid w:val="00F65585"/>
    <w:rsid w:val="00F6574F"/>
    <w:rsid w:val="00F7371A"/>
    <w:rsid w:val="00F77351"/>
    <w:rsid w:val="00F806C6"/>
    <w:rsid w:val="00F902FF"/>
    <w:rsid w:val="00F95A60"/>
    <w:rsid w:val="00F95CAC"/>
    <w:rsid w:val="00FA02B4"/>
    <w:rsid w:val="00FA164A"/>
    <w:rsid w:val="00FA2429"/>
    <w:rsid w:val="00FA286E"/>
    <w:rsid w:val="00FA566B"/>
    <w:rsid w:val="00FA69F4"/>
    <w:rsid w:val="00FA7D80"/>
    <w:rsid w:val="00FB221B"/>
    <w:rsid w:val="00FB2BDD"/>
    <w:rsid w:val="00FB4371"/>
    <w:rsid w:val="00FB5E4E"/>
    <w:rsid w:val="00FC0B11"/>
    <w:rsid w:val="00FC1430"/>
    <w:rsid w:val="00FC19DD"/>
    <w:rsid w:val="00FC1B65"/>
    <w:rsid w:val="00FC2471"/>
    <w:rsid w:val="00FC3E1C"/>
    <w:rsid w:val="00FC6ED6"/>
    <w:rsid w:val="00FC72E0"/>
    <w:rsid w:val="00FC7728"/>
    <w:rsid w:val="00FE2632"/>
    <w:rsid w:val="00FE26B3"/>
    <w:rsid w:val="00FE5CE6"/>
    <w:rsid w:val="00FE6687"/>
    <w:rsid w:val="00FF12D2"/>
    <w:rsid w:val="00FF2ECF"/>
    <w:rsid w:val="00FF4B08"/>
    <w:rsid w:val="00FF5119"/>
    <w:rsid w:val="00FF5733"/>
    <w:rsid w:val="00FF5753"/>
    <w:rsid w:val="00FF6923"/>
    <w:rsid w:val="035B1CD3"/>
    <w:rsid w:val="0434C34D"/>
    <w:rsid w:val="045162F7"/>
    <w:rsid w:val="05ACE33C"/>
    <w:rsid w:val="0679A6FA"/>
    <w:rsid w:val="074F24B4"/>
    <w:rsid w:val="0B718C10"/>
    <w:rsid w:val="0CBC3836"/>
    <w:rsid w:val="0E80E84B"/>
    <w:rsid w:val="0E95AE30"/>
    <w:rsid w:val="0E98F5EB"/>
    <w:rsid w:val="0FD9DE20"/>
    <w:rsid w:val="1012E50C"/>
    <w:rsid w:val="13582634"/>
    <w:rsid w:val="13B6EEB8"/>
    <w:rsid w:val="1519E0B2"/>
    <w:rsid w:val="17515BAF"/>
    <w:rsid w:val="180DDF26"/>
    <w:rsid w:val="186B85AB"/>
    <w:rsid w:val="1B0F0DA6"/>
    <w:rsid w:val="1C00222D"/>
    <w:rsid w:val="1CCF0FC9"/>
    <w:rsid w:val="1CCF8AC3"/>
    <w:rsid w:val="1E22F79A"/>
    <w:rsid w:val="2077F3BE"/>
    <w:rsid w:val="22F462E6"/>
    <w:rsid w:val="22F752EF"/>
    <w:rsid w:val="2486938C"/>
    <w:rsid w:val="259511C3"/>
    <w:rsid w:val="25E089A2"/>
    <w:rsid w:val="278329A6"/>
    <w:rsid w:val="28B6E3D3"/>
    <w:rsid w:val="295B9318"/>
    <w:rsid w:val="2999C2B4"/>
    <w:rsid w:val="29BC5115"/>
    <w:rsid w:val="29DE17DE"/>
    <w:rsid w:val="2A323272"/>
    <w:rsid w:val="2CDF6354"/>
    <w:rsid w:val="2CE3218F"/>
    <w:rsid w:val="2F6AA66A"/>
    <w:rsid w:val="30357F6F"/>
    <w:rsid w:val="3427E528"/>
    <w:rsid w:val="3461494A"/>
    <w:rsid w:val="38A40D40"/>
    <w:rsid w:val="3BF79691"/>
    <w:rsid w:val="3C97E045"/>
    <w:rsid w:val="3ED73E03"/>
    <w:rsid w:val="3EE8B620"/>
    <w:rsid w:val="4491D955"/>
    <w:rsid w:val="46686201"/>
    <w:rsid w:val="472BE703"/>
    <w:rsid w:val="473FE48D"/>
    <w:rsid w:val="4922D511"/>
    <w:rsid w:val="4A760935"/>
    <w:rsid w:val="4A9E1EC3"/>
    <w:rsid w:val="4B447958"/>
    <w:rsid w:val="4DE6A4F6"/>
    <w:rsid w:val="4F5117F5"/>
    <w:rsid w:val="4F78645A"/>
    <w:rsid w:val="4F7BFBFA"/>
    <w:rsid w:val="503ABABD"/>
    <w:rsid w:val="52277F9A"/>
    <w:rsid w:val="5240E676"/>
    <w:rsid w:val="548CE371"/>
    <w:rsid w:val="56338F38"/>
    <w:rsid w:val="56CFE06F"/>
    <w:rsid w:val="57E44155"/>
    <w:rsid w:val="58BEB20E"/>
    <w:rsid w:val="5ADFE215"/>
    <w:rsid w:val="5C39C0CB"/>
    <w:rsid w:val="5F8076F5"/>
    <w:rsid w:val="61F72095"/>
    <w:rsid w:val="632EA86E"/>
    <w:rsid w:val="65B78D4C"/>
    <w:rsid w:val="67BA9C2C"/>
    <w:rsid w:val="683F46C7"/>
    <w:rsid w:val="6B0F7B7E"/>
    <w:rsid w:val="6CBB93F6"/>
    <w:rsid w:val="6CBF4215"/>
    <w:rsid w:val="6CCCF273"/>
    <w:rsid w:val="6F55DE3D"/>
    <w:rsid w:val="6F697B32"/>
    <w:rsid w:val="6FE52CEC"/>
    <w:rsid w:val="70414F95"/>
    <w:rsid w:val="72F8982D"/>
    <w:rsid w:val="73DF3FB7"/>
    <w:rsid w:val="748511DE"/>
    <w:rsid w:val="796584CD"/>
    <w:rsid w:val="7A21DD5D"/>
    <w:rsid w:val="7A9FA5A5"/>
    <w:rsid w:val="7DD7C10D"/>
    <w:rsid w:val="7F9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8F021"/>
  <w15:chartTrackingRefBased/>
  <w15:docId w15:val="{AC926976-F98C-486F-9060-D6C471F563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FB2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5F5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1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B11"/>
  </w:style>
  <w:style w:type="paragraph" w:styleId="Footer">
    <w:name w:val="footer"/>
    <w:basedOn w:val="Normal"/>
    <w:link w:val="FooterChar"/>
    <w:uiPriority w:val="99"/>
    <w:unhideWhenUsed/>
    <w:rsid w:val="00FC0B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0B11"/>
  </w:style>
  <w:style w:type="character" w:styleId="CommentReference">
    <w:name w:val="annotation reference"/>
    <w:basedOn w:val="DefaultParagraphFont"/>
    <w:uiPriority w:val="99"/>
    <w:semiHidden/>
    <w:unhideWhenUsed/>
    <w:rsid w:val="00142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694"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A1694"/>
    <w:rPr>
      <w:sz w:val="20"/>
      <w:szCs w:val="25"/>
    </w:rPr>
  </w:style>
  <w:style w:type="paragraph" w:styleId="Revision">
    <w:name w:val="Revision"/>
    <w:hidden/>
    <w:uiPriority w:val="99"/>
    <w:semiHidden/>
    <w:rsid w:val="001A1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omments" Target="comments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oter" Target="footer.xml" Id="R83ba4a184d174d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3DC7425A3141B5E7526D977D9733" ma:contentTypeVersion="4" ma:contentTypeDescription="Create a new document." ma:contentTypeScope="" ma:versionID="a1faa7cf9a4efa6d5049a52a95f0be4d">
  <xsd:schema xmlns:xsd="http://www.w3.org/2001/XMLSchema" xmlns:xs="http://www.w3.org/2001/XMLSchema" xmlns:p="http://schemas.microsoft.com/office/2006/metadata/properties" xmlns:ns2="57827ed2-5cb9-4032-8b3a-c6aec71babea" targetNamespace="http://schemas.microsoft.com/office/2006/metadata/properties" ma:root="true" ma:fieldsID="dd085469e3ea4868de5d82680f0aa9c5" ns2:_="">
    <xsd:import namespace="57827ed2-5cb9-4032-8b3a-c6aec71ba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27ed2-5cb9-4032-8b3a-c6aec71ba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1B3926-D0BD-49F3-9490-63EBFBDE5F6D}"/>
</file>

<file path=customXml/itemProps2.xml><?xml version="1.0" encoding="utf-8"?>
<ds:datastoreItem xmlns:ds="http://schemas.openxmlformats.org/officeDocument/2006/customXml" ds:itemID="{45B6FFE5-871F-423E-A54E-8F0337206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A241B-5435-4091-8466-565DC31248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Jackson Taylor</dc:creator>
  <keywords/>
  <dc:description/>
  <lastModifiedBy>Jackson Taylor</lastModifiedBy>
  <revision>811</revision>
  <dcterms:created xsi:type="dcterms:W3CDTF">2023-10-02T14:09:00.0000000Z</dcterms:created>
  <dcterms:modified xsi:type="dcterms:W3CDTF">2026-01-07T01:25:48.0963839Z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c2297410-761a-4382-b752-e01d56be9751</vt:lpwstr>
  </property>
  <property fmtid="{D5CDD505-2E9C-101B-9397-08002B2CF9AE}" pid="3" name="ContentTypeId">
    <vt:lpwstr>0x0101005E6F3DC7425A3141B5E7526D977D9733</vt:lpwstr>
  </property>
</Properties>
</file>