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289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Table S1. Sensitivity analyses of the multivariable model for early neurological improvement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95"/>
        <w:gridCol w:w="910"/>
        <w:gridCol w:w="1414"/>
        <w:gridCol w:w="891"/>
        <w:gridCol w:w="1395"/>
        <w:gridCol w:w="911"/>
      </w:tblGrid>
      <w:tr w14:paraId="0725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F3F38F8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Predictor</w:t>
            </w:r>
          </w:p>
        </w:tc>
        <w:tc>
          <w:tcPr>
            <w:tcW w:w="139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55618F2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1 All patients (standard ENI)* Adjusted OR (95% CI)</w:t>
            </w:r>
          </w:p>
        </w:tc>
        <w:tc>
          <w:tcPr>
            <w:tcW w:w="91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4220F6A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1 p-value</w:t>
            </w:r>
          </w:p>
        </w:tc>
        <w:tc>
          <w:tcPr>
            <w:tcW w:w="141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87EB1A7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2 Anterior circulation only Adjusted OR (95% CI)</w:t>
            </w:r>
          </w:p>
        </w:tc>
        <w:tc>
          <w:tcPr>
            <w:tcW w:w="89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9F4865A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2 p-value</w:t>
            </w:r>
          </w:p>
        </w:tc>
        <w:tc>
          <w:tcPr>
            <w:tcW w:w="139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0C0BDD8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3 ENI defined as NIHSS decrease ≥8 only Adjusted OR (95% CI)</w:t>
            </w:r>
          </w:p>
        </w:tc>
        <w:tc>
          <w:tcPr>
            <w:tcW w:w="9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081522F">
            <w:pPr>
              <w:keepNext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Model 3 p-value</w:t>
            </w:r>
          </w:p>
        </w:tc>
      </w:tr>
      <w:tr w14:paraId="4481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F93F9D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NIHSS_baseline (per 1-point increase)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226670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1.13 (1.05–1.21)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1B6D0B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55B5AB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1.17 (1.07–1.28)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453412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331FB5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1.23 (1.14–1.34)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EEDC80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7948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41EE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Diabetes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6F142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1.41 (0.56–3.54)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282C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0.468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8588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1.55 (0.47–5.08)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192F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0.467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294B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2.00 (0.72–5.53)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30B7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0.181</w:t>
            </w:r>
          </w:p>
        </w:tc>
      </w:tr>
      <w:tr w14:paraId="359F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6E3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Cardioembolic disease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158A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1.23 (0.61–2.48)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DDC6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0.558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B938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1.25 (0.55–2.85)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988C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0.594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F56C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1.32 (0.61–2.86)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FC31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0.480</w:t>
            </w:r>
          </w:p>
        </w:tc>
      </w:tr>
      <w:tr w14:paraId="04C9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06" w:type="dxa"/>
            <w:tcBorders>
              <w:top w:val="nil"/>
              <w:left w:val="nil"/>
              <w:right w:val="nil"/>
            </w:tcBorders>
            <w:vAlign w:val="center"/>
          </w:tcPr>
          <w:p w14:paraId="3E968076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DPT &gt;12 h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vAlign w:val="center"/>
          </w:tcPr>
          <w:p w14:paraId="24073400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0.45 (0.12–1.66)</w:t>
            </w: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vAlign w:val="center"/>
          </w:tcPr>
          <w:p w14:paraId="1021A1FC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0.229</w:t>
            </w: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vAlign w:val="center"/>
          </w:tcPr>
          <w:p w14:paraId="4763B9B0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0.75 (0.19–2.90)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vAlign w:val="center"/>
          </w:tcPr>
          <w:p w14:paraId="0E6F8A03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0.674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vAlign w:val="center"/>
          </w:tcPr>
          <w:p w14:paraId="61DE22F0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0.35 (0.07–1.70)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vAlign w:val="center"/>
          </w:tcPr>
          <w:p w14:paraId="4D7C5712">
            <w:pPr>
              <w:keepNext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0.193</w:t>
            </w:r>
          </w:p>
        </w:tc>
      </w:tr>
    </w:tbl>
    <w:p w14:paraId="3C8F1E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*Standard ENI definition: NIHSS decrease ≥8 points or NIHSS ≤1 at 1 week.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250C"/>
    <w:rsid w:val="3A8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2025-11-21T15:38:00Z</dcterms:created>
  <dc:creator>渡风鸾</dc:creator>
  <cp:lastModifiedBy>渡风鸾</cp:lastModifiedBy>
  <dcterms:modified xsi:type="dcterms:W3CDTF">2025-11-21T15:39:35Z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CC8603D645884B5C8DE0BCFF623206F1_11</vt:lpwstr>
  </property>
  <property fmtid="{D5CDD505-2E9C-101B-9397-08002B2CF9AE}" pid="4" name="KSOTemplateDocerSaveRecord">
    <vt:lpwstr>eyJoZGlkIjoiZWI4MWRiZmIxNWM2NmY0YmUwZTc3Njc0M2ZiYmEzZjQiLCJ1c2VySWQiOiI0MzIxMzMyNjcifQ==</vt:lpwstr>
  </property>
</Properties>
</file>