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0"/>
        <w:jc w:val="both"/>
        <w:rPr>
          <w:b/>
          <w:b/>
          <w:bCs/>
        </w:rPr>
      </w:pPr>
      <w:r>
        <w:rPr>
          <w:rFonts w:ascii="Calibri" w:hAnsi="Calibri"/>
          <w:b/>
          <w:bCs/>
          <w:sz w:val="18"/>
          <w:szCs w:val="18"/>
          <w:lang w:val="en-US"/>
        </w:rPr>
        <w:t>S</w:t>
      </w:r>
      <w:r>
        <w:rPr>
          <w:rFonts w:ascii="Calibri" w:hAnsi="Calibri"/>
          <w:b/>
          <w:bCs/>
          <w:sz w:val="18"/>
          <w:szCs w:val="18"/>
          <w:lang w:val="en-US"/>
        </w:rPr>
        <w:t xml:space="preserve">upplementary materials </w:t>
      </w:r>
    </w:p>
    <w:p>
      <w:pPr>
        <w:pStyle w:val="TextBody"/>
        <w:bidi w:val="0"/>
        <w:spacing w:before="0" w:after="0"/>
        <w:jc w:val="both"/>
        <w:rPr>
          <w:rFonts w:ascii="Calibri" w:hAnsi="Calibri"/>
          <w:sz w:val="18"/>
          <w:szCs w:val="18"/>
          <w:lang w:val="en-US"/>
        </w:rPr>
      </w:pPr>
      <w:r>
        <w:rPr>
          <w:b/>
          <w:bCs/>
        </w:rPr>
      </w:r>
    </w:p>
    <w:p>
      <w:pPr>
        <w:pStyle w:val="TextBody"/>
        <w:bidi w:val="0"/>
        <w:spacing w:before="0" w:after="0"/>
        <w:jc w:val="both"/>
        <w:rPr/>
      </w:pPr>
      <w:r>
        <w:rPr>
          <w:rFonts w:ascii="Calibri" w:hAnsi="Calibri"/>
          <w:sz w:val="18"/>
          <w:szCs w:val="18"/>
          <w:lang w:val="en-US"/>
        </w:rPr>
        <w:t xml:space="preserve">Figures 3 and 4 show mean diagnostic delay by age at ADHD diagnosis for men and women, with and without anxiety disorders by gender. They </w:t>
      </w:r>
      <w:r>
        <w:rPr>
          <w:rFonts w:eastAsia="NSimSun" w:cs="Lucida Sans" w:ascii="Calibri" w:hAnsi="Calibri"/>
          <w:color w:val="auto"/>
          <w:kern w:val="2"/>
          <w:sz w:val="18"/>
          <w:szCs w:val="18"/>
          <w:lang w:val="en-US" w:eastAsia="zh-CN" w:bidi="hi-IN"/>
        </w:rPr>
        <w:t>illustrate how</w:t>
      </w:r>
      <w:r>
        <w:rPr>
          <w:rFonts w:ascii="Calibri" w:hAnsi="Calibri"/>
          <w:sz w:val="18"/>
          <w:szCs w:val="18"/>
          <w:lang w:val="en-US"/>
        </w:rPr>
        <w:t xml:space="preserve"> diagnostic delay remains relatively constant across age for men, while it increases after approximately 25 years of age for women. When accounting for anxiety disorders, the increase in diagnostic delay by age among women appears linked to this associated anxious symptomatology.</w:t>
      </w:r>
    </w:p>
    <w:p>
      <w:pPr>
        <w:pStyle w:val="TextBody"/>
        <w:bidi w:val="0"/>
        <w:spacing w:before="0" w:after="0"/>
        <w:jc w:val="both"/>
        <w:rPr>
          <w:rFonts w:ascii="Calibri" w:hAnsi="Calibri"/>
          <w:sz w:val="18"/>
          <w:szCs w:val="18"/>
          <w:lang w:val="en-US"/>
        </w:rPr>
      </w:pPr>
      <w:r>
        <w:rPr/>
      </w:r>
    </w:p>
    <w:p>
      <w:pPr>
        <w:pStyle w:val="Normal"/>
        <w:bidi w:val="0"/>
        <w:jc w:val="left"/>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en-US"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en-US" w:eastAsia="zh-CN" w:bidi="hi-IN"/>
        </w:rPr>
        <w:t>Figure 3 : Mean diagnosis delay by age at ADHD diagnosis for men and women.</w:t>
      </w:r>
    </w:p>
    <w:p>
      <w:pPr>
        <w:pStyle w:val="Normal"/>
        <w:bidi w:val="0"/>
        <w:spacing w:lineRule="atLeast" w:line="400" w:before="0" w:after="0"/>
        <w:jc w:val="both"/>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fr-FR"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fr-FR" w:eastAsia="zh-CN" w:bidi="hi-IN"/>
        </w:rPr>
      </w:r>
    </w:p>
    <w:p>
      <w:pPr>
        <w:pStyle w:val="Normal"/>
        <w:bidi w:val="0"/>
        <w:spacing w:lineRule="atLeast" w:line="400" w:before="0" w:after="0"/>
        <w:jc w:val="both"/>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fr-FR"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en-US" w:eastAsia="zh-CN" w:bidi="hi-IN"/>
        </w:rPr>
        <w:drawing>
          <wp:inline distT="0" distB="0" distL="0" distR="0">
            <wp:extent cx="5972175" cy="3515995"/>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972175" cy="3515995"/>
                    </a:xfrm>
                    <a:prstGeom prst="rect">
                      <a:avLst/>
                    </a:prstGeom>
                  </pic:spPr>
                </pic:pic>
              </a:graphicData>
            </a:graphic>
          </wp:inline>
        </w:drawing>
      </w:r>
    </w:p>
    <w:p>
      <w:pPr>
        <w:pStyle w:val="Normal"/>
        <w:bidi w:val="0"/>
        <w:spacing w:lineRule="atLeast" w:line="400" w:before="0" w:after="0"/>
        <w:jc w:val="both"/>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fr-FR"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fr-FR" w:eastAsia="zh-CN" w:bidi="hi-IN"/>
        </w:rPr>
      </w:r>
    </w:p>
    <w:p>
      <w:pPr>
        <w:pStyle w:val="Normal"/>
        <w:bidi w:val="0"/>
        <w:spacing w:lineRule="atLeast" w:line="400"/>
        <w:jc w:val="left"/>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en-US"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en-US" w:eastAsia="zh-CN" w:bidi="hi-IN"/>
        </w:rPr>
        <w:t>Figure 4 : Mean diagnosis delay by age at ADHD diagnosis for men and women, with or without anxiety disorders.</w:t>
      </w:r>
    </w:p>
    <w:p>
      <w:pPr>
        <w:pStyle w:val="Normal"/>
        <w:bidi w:val="0"/>
        <w:spacing w:lineRule="atLeast" w:line="400"/>
        <w:jc w:val="left"/>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fr-FR"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fr-FR" w:eastAsia="zh-CN" w:bidi="hi-IN"/>
        </w:rPr>
      </w:r>
    </w:p>
    <w:p>
      <w:pPr>
        <w:pStyle w:val="Normal"/>
        <w:bidi w:val="0"/>
        <w:spacing w:lineRule="atLeast" w:line="400" w:before="0" w:after="0"/>
        <w:jc w:val="left"/>
        <w:rPr>
          <w:rFonts w:ascii="Calibri" w:hAnsi="Calibri" w:eastAsia="NSimSun" w:cs="Calibri"/>
          <w:b w:val="false"/>
          <w:b w:val="false"/>
          <w:bCs w:val="false"/>
          <w:i w:val="false"/>
          <w:i w:val="false"/>
          <w:iCs w:val="false"/>
          <w:caps w:val="false"/>
          <w:smallCaps w:val="false"/>
          <w:strike w:val="false"/>
          <w:dstrike w:val="false"/>
          <w:color w:val="000000"/>
          <w:spacing w:val="0"/>
          <w:kern w:val="2"/>
          <w:sz w:val="18"/>
          <w:szCs w:val="18"/>
          <w:u w:val="none"/>
          <w:effect w:val="none"/>
          <w:lang w:val="fr-FR" w:eastAsia="zh-CN" w:bidi="hi-IN"/>
        </w:rPr>
      </w:pPr>
      <w:r>
        <w:rPr>
          <w:rFonts w:eastAsia="NSimSun" w:cs="Calibri" w:ascii="Calibri" w:hAnsi="Calibri"/>
          <w:b w:val="false"/>
          <w:bCs w:val="false"/>
          <w:i w:val="false"/>
          <w:iCs w:val="false"/>
          <w:caps w:val="false"/>
          <w:smallCaps w:val="false"/>
          <w:strike w:val="false"/>
          <w:dstrike w:val="false"/>
          <w:color w:val="000000"/>
          <w:spacing w:val="0"/>
          <w:kern w:val="2"/>
          <w:sz w:val="18"/>
          <w:szCs w:val="18"/>
          <w:u w:val="none"/>
          <w:effect w:val="none"/>
          <w:lang w:val="en-US" w:eastAsia="zh-CN" w:bidi="hi-IN"/>
        </w:rPr>
        <w:drawing>
          <wp:inline distT="0" distB="0" distL="0" distR="0">
            <wp:extent cx="6017260" cy="343408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753" t="0" r="0" b="2275"/>
                    <a:stretch>
                      <a:fillRect/>
                    </a:stretch>
                  </pic:blipFill>
                  <pic:spPr bwMode="auto">
                    <a:xfrm>
                      <a:off x="0" y="0"/>
                      <a:ext cx="6017260" cy="3434080"/>
                    </a:xfrm>
                    <a:prstGeom prst="rect">
                      <a:avLst/>
                    </a:prstGeom>
                  </pic:spPr>
                </pic:pic>
              </a:graphicData>
            </a:graphic>
          </wp:inline>
        </w:drawing>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1</Pages>
  <Words>173</Words>
  <Characters>904</Characters>
  <CharactersWithSpaces>1073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2025-09-02T13:12:11Z</dcterms:created>
  <dc:creator/>
  <dc:description/>
  <dc:language>fr-FR</dc:language>
  <cp:lastModifiedBy/>
  <dcterms:modified xsi:type="dcterms:W3CDTF">2025-09-02T13:14:48Z</dcterms:modified>
  <cp:revision>1</cp:revision>
  <dc:subject/>
  <dc:title/>
</cp:coreProperties>
</file>