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2898A3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kern w:val="0"/>
          <w:sz w:val="24"/>
        </w:rPr>
        <w:t xml:space="preserve">Appendix </w:t>
      </w:r>
      <w:r>
        <w:rPr>
          <w:rFonts w:hint="eastAsia" w:ascii="Times New Roman" w:hAnsi="Times New Roman" w:cs="Times New Roman"/>
          <w:b/>
          <w:bCs/>
          <w:kern w:val="0"/>
          <w:sz w:val="24"/>
          <w:lang w:val="en-US" w:eastAsia="zh-CN"/>
        </w:rPr>
        <w:t>2</w:t>
      </w:r>
      <w:bookmarkStart w:id="0" w:name="_GoBack"/>
      <w:bookmarkEnd w:id="0"/>
      <w:r>
        <w:rPr>
          <w:rFonts w:ascii="Times New Roman" w:hAnsi="Times New Roman" w:cs="Times New Roman"/>
          <w:b/>
          <w:bCs/>
          <w:kern w:val="0"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>Initial Draft of the Peritoneal Dialysis SN Retraining and Usage Plan</w:t>
      </w:r>
    </w:p>
    <w:tbl>
      <w:tblPr>
        <w:tblStyle w:val="15"/>
        <w:tblW w:w="8506" w:type="dxa"/>
        <w:tblInd w:w="-152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567"/>
        <w:gridCol w:w="993"/>
        <w:gridCol w:w="4110"/>
        <w:gridCol w:w="992"/>
        <w:gridCol w:w="142"/>
        <w:gridCol w:w="993"/>
      </w:tblGrid>
      <w:tr w14:paraId="2F5C1F30">
        <w:trPr>
          <w:trHeight w:val="90" w:hRule="atLeast"/>
        </w:trPr>
        <w:tc>
          <w:tcPr>
            <w:tcW w:w="1276" w:type="dxa"/>
            <w:gridSpan w:val="2"/>
          </w:tcPr>
          <w:p w14:paraId="62066A98">
            <w:pPr>
              <w:jc w:val="center"/>
              <w:rPr>
                <w:rFonts w:ascii="仿宋" w:hAnsi="仿宋" w:eastAsia="仿宋" w:cs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Module</w:t>
            </w:r>
          </w:p>
        </w:tc>
        <w:tc>
          <w:tcPr>
            <w:tcW w:w="993" w:type="dxa"/>
          </w:tcPr>
          <w:p w14:paraId="31A88EDA">
            <w:pPr>
              <w:jc w:val="center"/>
              <w:rPr>
                <w:rFonts w:hint="eastAsia" w:ascii="仿宋" w:hAnsi="仿宋" w:eastAsia="仿宋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Number</w:t>
            </w:r>
          </w:p>
        </w:tc>
        <w:tc>
          <w:tcPr>
            <w:tcW w:w="4110" w:type="dxa"/>
          </w:tcPr>
          <w:p w14:paraId="1276343C">
            <w:pPr>
              <w:jc w:val="center"/>
              <w:rPr>
                <w:rFonts w:hint="eastAsia" w:ascii="仿宋" w:hAnsi="仿宋" w:eastAsia="仿宋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Content</w:t>
            </w:r>
          </w:p>
        </w:tc>
        <w:tc>
          <w:tcPr>
            <w:tcW w:w="1134" w:type="dxa"/>
            <w:gridSpan w:val="2"/>
          </w:tcPr>
          <w:p w14:paraId="2D884122">
            <w:pPr>
              <w:jc w:val="center"/>
              <w:rPr>
                <w:rFonts w:hint="eastAsia" w:ascii="仿宋" w:hAnsi="仿宋" w:eastAsia="仿宋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Time</w:t>
            </w:r>
          </w:p>
        </w:tc>
        <w:tc>
          <w:tcPr>
            <w:tcW w:w="993" w:type="dxa"/>
          </w:tcPr>
          <w:p w14:paraId="7DA83BBB">
            <w:pPr>
              <w:jc w:val="center"/>
              <w:rPr>
                <w:rFonts w:hint="eastAsia" w:ascii="仿宋" w:hAnsi="仿宋" w:eastAsia="仿宋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Method</w:t>
            </w:r>
          </w:p>
        </w:tc>
      </w:tr>
      <w:tr w14:paraId="7E723FF5">
        <w:trPr>
          <w:trHeight w:val="309" w:hRule="atLeast"/>
        </w:trPr>
        <w:tc>
          <w:tcPr>
            <w:tcW w:w="709" w:type="dxa"/>
            <w:vMerge w:val="restart"/>
            <w:vAlign w:val="center"/>
          </w:tcPr>
          <w:p w14:paraId="229D124A">
            <w:pPr>
              <w:rPr>
                <w:rFonts w:ascii="仿宋" w:hAnsi="仿宋" w:eastAsia="仿宋" w:cs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Knowledge</w:t>
            </w:r>
          </w:p>
        </w:tc>
        <w:tc>
          <w:tcPr>
            <w:tcW w:w="567" w:type="dxa"/>
            <w:vMerge w:val="restart"/>
          </w:tcPr>
          <w:p w14:paraId="691F058B">
            <w:pPr>
              <w:jc w:val="left"/>
              <w:rPr>
                <w:rFonts w:hint="eastAsia" w:ascii="仿宋" w:hAnsi="仿宋" w:eastAsia="仿宋" w:cs="Times New Roman"/>
                <w:b/>
                <w:bCs/>
                <w:kern w:val="0"/>
                <w:sz w:val="18"/>
                <w:szCs w:val="18"/>
              </w:rPr>
            </w:pPr>
          </w:p>
          <w:p w14:paraId="345C6BAD">
            <w:pPr>
              <w:jc w:val="left"/>
              <w:rPr>
                <w:rFonts w:hint="eastAsia" w:ascii="仿宋" w:hAnsi="仿宋" w:eastAsia="仿宋" w:cs="Times New Roman"/>
                <w:b/>
                <w:bCs/>
                <w:kern w:val="0"/>
                <w:sz w:val="18"/>
                <w:szCs w:val="18"/>
              </w:rPr>
            </w:pPr>
          </w:p>
          <w:p w14:paraId="13578391">
            <w:pPr>
              <w:jc w:val="left"/>
              <w:rPr>
                <w:rFonts w:hint="eastAsia" w:ascii="仿宋" w:hAnsi="仿宋" w:eastAsia="仿宋" w:cs="Times New Roman"/>
                <w:b/>
                <w:bCs/>
                <w:kern w:val="0"/>
                <w:sz w:val="18"/>
                <w:szCs w:val="18"/>
              </w:rPr>
            </w:pPr>
          </w:p>
          <w:p w14:paraId="0AB74BF0">
            <w:pPr>
              <w:jc w:val="left"/>
              <w:rPr>
                <w:rFonts w:hint="eastAsia" w:ascii="仿宋" w:hAnsi="仿宋" w:eastAsia="仿宋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 xml:space="preserve">Professional </w:t>
            </w:r>
          </w:p>
        </w:tc>
        <w:tc>
          <w:tcPr>
            <w:tcW w:w="993" w:type="dxa"/>
          </w:tcPr>
          <w:p w14:paraId="3E86C738">
            <w:pPr>
              <w:jc w:val="left"/>
              <w:rPr>
                <w:rFonts w:hint="eastAsia" w:ascii="仿宋" w:hAnsi="仿宋" w:eastAsia="仿宋" w:cs="Times New Roman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0"/>
                <w:sz w:val="18"/>
                <w:szCs w:val="18"/>
              </w:rPr>
              <w:t>Ⅰ-1</w:t>
            </w:r>
          </w:p>
        </w:tc>
        <w:tc>
          <w:tcPr>
            <w:tcW w:w="4110" w:type="dxa"/>
          </w:tcPr>
          <w:p w14:paraId="6BFD7113">
            <w:pPr>
              <w:jc w:val="left"/>
              <w:rPr>
                <w:rFonts w:hint="eastAsia" w:ascii="仿宋" w:hAnsi="仿宋" w:eastAsia="仿宋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Strategies and Practices to Improve Long-term Peritoneal Dialysis Patient Compliance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14:paraId="79058E77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Once every two weeks, with each session lasting 1 hour</w:t>
            </w:r>
          </w:p>
        </w:tc>
        <w:tc>
          <w:tcPr>
            <w:tcW w:w="993" w:type="dxa"/>
            <w:vMerge w:val="restart"/>
            <w:vAlign w:val="center"/>
          </w:tcPr>
          <w:p w14:paraId="41A2F4A9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Online delivery + test assessment</w:t>
            </w:r>
          </w:p>
        </w:tc>
      </w:tr>
      <w:tr w14:paraId="6A4AD4E0">
        <w:tc>
          <w:tcPr>
            <w:tcW w:w="709" w:type="dxa"/>
            <w:vMerge w:val="continue"/>
            <w:vAlign w:val="center"/>
          </w:tcPr>
          <w:p w14:paraId="4E9DD371">
            <w:pPr>
              <w:rPr>
                <w:rFonts w:ascii="仿宋" w:hAnsi="仿宋" w:eastAsia="仿宋" w:cs="Times New Roman"/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vAlign w:val="center"/>
          </w:tcPr>
          <w:p w14:paraId="215D30BA">
            <w:pPr>
              <w:rPr>
                <w:rFonts w:ascii="仿宋" w:hAnsi="仿宋" w:eastAsia="仿宋" w:cs="Times New Roman"/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993" w:type="dxa"/>
          </w:tcPr>
          <w:p w14:paraId="57F8BE42">
            <w:pPr>
              <w:jc w:val="left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0"/>
                <w:sz w:val="18"/>
                <w:szCs w:val="18"/>
              </w:rPr>
              <w:t>Ⅰ-2</w:t>
            </w:r>
          </w:p>
        </w:tc>
        <w:tc>
          <w:tcPr>
            <w:tcW w:w="4110" w:type="dxa"/>
          </w:tcPr>
          <w:p w14:paraId="11C22DC6">
            <w:pPr>
              <w:jc w:val="left"/>
              <w:rPr>
                <w:rFonts w:hint="eastAsia" w:ascii="仿宋" w:hAnsi="仿宋" w:eastAsia="仿宋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Progress in the Prevention and Management of Complications in Long-term Peritoneal Dialysis Patients</w:t>
            </w:r>
          </w:p>
        </w:tc>
        <w:tc>
          <w:tcPr>
            <w:tcW w:w="1134" w:type="dxa"/>
            <w:gridSpan w:val="2"/>
            <w:vMerge w:val="continue"/>
            <w:vAlign w:val="center"/>
          </w:tcPr>
          <w:p w14:paraId="0AC89053">
            <w:pPr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993" w:type="dxa"/>
            <w:vMerge w:val="continue"/>
            <w:vAlign w:val="center"/>
          </w:tcPr>
          <w:p w14:paraId="057114E1">
            <w:pPr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</w:tr>
      <w:tr w14:paraId="3B4C7FA1">
        <w:trPr>
          <w:trHeight w:val="342" w:hRule="atLeast"/>
        </w:trPr>
        <w:tc>
          <w:tcPr>
            <w:tcW w:w="709" w:type="dxa"/>
            <w:vMerge w:val="continue"/>
            <w:vAlign w:val="center"/>
          </w:tcPr>
          <w:p w14:paraId="538D1499">
            <w:pPr>
              <w:rPr>
                <w:rFonts w:ascii="仿宋" w:hAnsi="仿宋" w:eastAsia="仿宋" w:cs="Times New Roman"/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vAlign w:val="center"/>
          </w:tcPr>
          <w:p w14:paraId="1107CD05">
            <w:pPr>
              <w:rPr>
                <w:rFonts w:ascii="仿宋" w:hAnsi="仿宋" w:eastAsia="仿宋" w:cs="Times New Roman"/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993" w:type="dxa"/>
          </w:tcPr>
          <w:p w14:paraId="3B740F25">
            <w:pPr>
              <w:jc w:val="left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0"/>
                <w:sz w:val="18"/>
                <w:szCs w:val="18"/>
              </w:rPr>
              <w:t>Ⅰ-3</w:t>
            </w:r>
          </w:p>
        </w:tc>
        <w:tc>
          <w:tcPr>
            <w:tcW w:w="4110" w:type="dxa"/>
          </w:tcPr>
          <w:p w14:paraId="1D87BA72">
            <w:pPr>
              <w:jc w:val="left"/>
              <w:rPr>
                <w:rFonts w:hint="eastAsia" w:ascii="仿宋" w:hAnsi="仿宋" w:eastAsia="仿宋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Progress in the Application of Automated Peritoneal Dialysis Technology in Critically Ill Patients with Renal Failure</w:t>
            </w:r>
          </w:p>
        </w:tc>
        <w:tc>
          <w:tcPr>
            <w:tcW w:w="1134" w:type="dxa"/>
            <w:gridSpan w:val="2"/>
            <w:vMerge w:val="continue"/>
            <w:vAlign w:val="center"/>
          </w:tcPr>
          <w:p w14:paraId="7F84411D">
            <w:pPr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993" w:type="dxa"/>
            <w:vMerge w:val="continue"/>
            <w:vAlign w:val="center"/>
          </w:tcPr>
          <w:p w14:paraId="73B431B3">
            <w:pPr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</w:tr>
      <w:tr w14:paraId="049491D0">
        <w:tc>
          <w:tcPr>
            <w:tcW w:w="709" w:type="dxa"/>
            <w:vMerge w:val="continue"/>
            <w:vAlign w:val="center"/>
          </w:tcPr>
          <w:p w14:paraId="797BFE0C">
            <w:pPr>
              <w:rPr>
                <w:rFonts w:ascii="仿宋" w:hAnsi="仿宋" w:eastAsia="仿宋" w:cs="Times New Roman"/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vAlign w:val="center"/>
          </w:tcPr>
          <w:p w14:paraId="0E0BEF01">
            <w:pPr>
              <w:rPr>
                <w:rFonts w:ascii="仿宋" w:hAnsi="仿宋" w:eastAsia="仿宋" w:cs="Times New Roman"/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993" w:type="dxa"/>
          </w:tcPr>
          <w:p w14:paraId="05036AAF">
            <w:pPr>
              <w:jc w:val="left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0"/>
                <w:sz w:val="18"/>
                <w:szCs w:val="18"/>
              </w:rPr>
              <w:t>Ⅰ-4</w:t>
            </w:r>
          </w:p>
        </w:tc>
        <w:tc>
          <w:tcPr>
            <w:tcW w:w="4110" w:type="dxa"/>
          </w:tcPr>
          <w:p w14:paraId="1FB08389">
            <w:pPr>
              <w:jc w:val="left"/>
              <w:rPr>
                <w:rFonts w:hint="eastAsia" w:ascii="仿宋" w:hAnsi="仿宋" w:eastAsia="仿宋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>*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>Development of a Peritoneal Dialysis Patient Retraining Program Based on the ADDIE Model</w:t>
            </w:r>
          </w:p>
        </w:tc>
        <w:tc>
          <w:tcPr>
            <w:tcW w:w="1134" w:type="dxa"/>
            <w:gridSpan w:val="2"/>
            <w:vMerge w:val="continue"/>
            <w:vAlign w:val="center"/>
          </w:tcPr>
          <w:p w14:paraId="2BB683D6">
            <w:pPr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993" w:type="dxa"/>
            <w:vMerge w:val="continue"/>
            <w:vAlign w:val="center"/>
          </w:tcPr>
          <w:p w14:paraId="58F19A59">
            <w:pPr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</w:tr>
      <w:tr w14:paraId="564CA60E">
        <w:tc>
          <w:tcPr>
            <w:tcW w:w="709" w:type="dxa"/>
            <w:vMerge w:val="continue"/>
            <w:vAlign w:val="center"/>
          </w:tcPr>
          <w:p w14:paraId="06B8EAB2">
            <w:pPr>
              <w:rPr>
                <w:rFonts w:ascii="仿宋" w:hAnsi="仿宋" w:eastAsia="仿宋" w:cs="Times New Roman"/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vAlign w:val="center"/>
          </w:tcPr>
          <w:p w14:paraId="4581CD29">
            <w:pPr>
              <w:rPr>
                <w:rFonts w:ascii="仿宋" w:hAnsi="仿宋" w:eastAsia="仿宋" w:cs="Times New Roman"/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993" w:type="dxa"/>
          </w:tcPr>
          <w:p w14:paraId="363D0811">
            <w:pPr>
              <w:jc w:val="left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0"/>
                <w:sz w:val="18"/>
                <w:szCs w:val="18"/>
              </w:rPr>
              <w:t>Ⅰ-5</w:t>
            </w:r>
          </w:p>
        </w:tc>
        <w:tc>
          <w:tcPr>
            <w:tcW w:w="4110" w:type="dxa"/>
          </w:tcPr>
          <w:p w14:paraId="035CEB6A">
            <w:pPr>
              <w:jc w:val="left"/>
              <w:rPr>
                <w:rFonts w:hint="eastAsia" w:ascii="仿宋" w:hAnsi="仿宋" w:eastAsia="仿宋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Exploration and Practice of Peritoneal Dialysis Patient Management in the Digital Age</w:t>
            </w:r>
          </w:p>
        </w:tc>
        <w:tc>
          <w:tcPr>
            <w:tcW w:w="1134" w:type="dxa"/>
            <w:gridSpan w:val="2"/>
            <w:vMerge w:val="continue"/>
            <w:vAlign w:val="center"/>
          </w:tcPr>
          <w:p w14:paraId="77466A72">
            <w:pPr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993" w:type="dxa"/>
            <w:vMerge w:val="continue"/>
            <w:vAlign w:val="center"/>
          </w:tcPr>
          <w:p w14:paraId="7129530F">
            <w:pPr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</w:tr>
      <w:tr w14:paraId="5412182F">
        <w:trPr>
          <w:trHeight w:val="350" w:hRule="atLeast"/>
        </w:trPr>
        <w:tc>
          <w:tcPr>
            <w:tcW w:w="709" w:type="dxa"/>
            <w:vMerge w:val="continue"/>
            <w:vAlign w:val="center"/>
          </w:tcPr>
          <w:p w14:paraId="0D157B78">
            <w:pPr>
              <w:rPr>
                <w:rFonts w:ascii="仿宋" w:hAnsi="仿宋" w:eastAsia="仿宋" w:cs="Times New Roman"/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vAlign w:val="center"/>
          </w:tcPr>
          <w:p w14:paraId="27289B8C">
            <w:pPr>
              <w:rPr>
                <w:rFonts w:ascii="仿宋" w:hAnsi="仿宋" w:eastAsia="仿宋" w:cs="Times New Roman"/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993" w:type="dxa"/>
          </w:tcPr>
          <w:p w14:paraId="257B813B">
            <w:pPr>
              <w:jc w:val="left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0"/>
                <w:sz w:val="18"/>
                <w:szCs w:val="18"/>
              </w:rPr>
              <w:t>Ⅰ-6</w:t>
            </w:r>
          </w:p>
        </w:tc>
        <w:tc>
          <w:tcPr>
            <w:tcW w:w="4110" w:type="dxa"/>
          </w:tcPr>
          <w:p w14:paraId="75B360C1">
            <w:pPr>
              <w:jc w:val="left"/>
              <w:rPr>
                <w:rFonts w:hint="eastAsia" w:ascii="仿宋" w:hAnsi="仿宋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Exploration and Practice of Home Peritoneal Dialysis Nursing under the "Internet Plus" Model</w:t>
            </w:r>
          </w:p>
        </w:tc>
        <w:tc>
          <w:tcPr>
            <w:tcW w:w="1134" w:type="dxa"/>
            <w:gridSpan w:val="2"/>
            <w:vMerge w:val="continue"/>
            <w:vAlign w:val="center"/>
          </w:tcPr>
          <w:p w14:paraId="01013812">
            <w:pPr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993" w:type="dxa"/>
            <w:vMerge w:val="continue"/>
            <w:vAlign w:val="center"/>
          </w:tcPr>
          <w:p w14:paraId="5F4A0E38">
            <w:pPr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</w:tr>
      <w:tr w14:paraId="4C6CCF4D">
        <w:tc>
          <w:tcPr>
            <w:tcW w:w="709" w:type="dxa"/>
            <w:vMerge w:val="continue"/>
            <w:vAlign w:val="center"/>
          </w:tcPr>
          <w:p w14:paraId="791F4DCF">
            <w:pPr>
              <w:rPr>
                <w:rFonts w:ascii="仿宋" w:hAnsi="仿宋" w:eastAsia="仿宋" w:cs="Times New Roman"/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vAlign w:val="center"/>
          </w:tcPr>
          <w:p w14:paraId="7F860420">
            <w:pPr>
              <w:rPr>
                <w:rFonts w:ascii="仿宋" w:hAnsi="仿宋" w:eastAsia="仿宋" w:cs="Times New Roman"/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993" w:type="dxa"/>
          </w:tcPr>
          <w:p w14:paraId="36AD6F7F">
            <w:pPr>
              <w:jc w:val="left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0"/>
                <w:sz w:val="18"/>
                <w:szCs w:val="18"/>
              </w:rPr>
              <w:t>Ⅰ-7</w:t>
            </w:r>
          </w:p>
        </w:tc>
        <w:tc>
          <w:tcPr>
            <w:tcW w:w="4110" w:type="dxa"/>
          </w:tcPr>
          <w:p w14:paraId="55E2D780">
            <w:pPr>
              <w:jc w:val="left"/>
              <w:rPr>
                <w:rFonts w:hint="eastAsia" w:ascii="仿宋" w:hAnsi="仿宋" w:eastAsia="仿宋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>*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>Application of Traditional Chinese Medicine Techniques in Alleviating Severe Symptoms in Peritoneal Dialysis Patients</w:t>
            </w:r>
          </w:p>
        </w:tc>
        <w:tc>
          <w:tcPr>
            <w:tcW w:w="1134" w:type="dxa"/>
            <w:gridSpan w:val="2"/>
            <w:vMerge w:val="continue"/>
            <w:vAlign w:val="center"/>
          </w:tcPr>
          <w:p w14:paraId="1F61153A">
            <w:pPr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993" w:type="dxa"/>
            <w:vMerge w:val="continue"/>
            <w:vAlign w:val="center"/>
          </w:tcPr>
          <w:p w14:paraId="457DF676">
            <w:pPr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</w:tr>
      <w:tr w14:paraId="6D2F6DF6">
        <w:tc>
          <w:tcPr>
            <w:tcW w:w="709" w:type="dxa"/>
            <w:vMerge w:val="continue"/>
            <w:vAlign w:val="center"/>
          </w:tcPr>
          <w:p w14:paraId="3A5149E6">
            <w:pPr>
              <w:rPr>
                <w:rFonts w:ascii="仿宋" w:hAnsi="仿宋" w:eastAsia="仿宋" w:cs="Times New Roman"/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vAlign w:val="center"/>
          </w:tcPr>
          <w:p w14:paraId="00C75FD9">
            <w:pPr>
              <w:rPr>
                <w:rFonts w:ascii="仿宋" w:hAnsi="仿宋" w:eastAsia="仿宋" w:cs="Times New Roman"/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993" w:type="dxa"/>
          </w:tcPr>
          <w:p w14:paraId="4C83DBDF">
            <w:pPr>
              <w:jc w:val="left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0"/>
                <w:sz w:val="18"/>
                <w:szCs w:val="18"/>
              </w:rPr>
              <w:t>Ⅰ-8</w:t>
            </w:r>
          </w:p>
        </w:tc>
        <w:tc>
          <w:tcPr>
            <w:tcW w:w="4110" w:type="dxa"/>
          </w:tcPr>
          <w:p w14:paraId="634D7CF2">
            <w:pPr>
              <w:jc w:val="left"/>
              <w:rPr>
                <w:rFonts w:ascii="Times New Roman" w:hAnsi="Times New Roman" w:eastAsia="仿宋" w:cs="Times New Roman"/>
                <w:b/>
                <w:bCs/>
                <w:i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i/>
                <w:iCs/>
                <w:kern w:val="0"/>
                <w:sz w:val="20"/>
                <w:szCs w:val="20"/>
              </w:rPr>
              <w:t>*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>The Application Prospects of Artificial Intelligence in the Field of Peritoneal Dialysis</w:t>
            </w:r>
          </w:p>
        </w:tc>
        <w:tc>
          <w:tcPr>
            <w:tcW w:w="1134" w:type="dxa"/>
            <w:gridSpan w:val="2"/>
            <w:vMerge w:val="continue"/>
            <w:vAlign w:val="center"/>
          </w:tcPr>
          <w:p w14:paraId="4D096C01">
            <w:pPr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993" w:type="dxa"/>
            <w:vMerge w:val="continue"/>
            <w:vAlign w:val="center"/>
          </w:tcPr>
          <w:p w14:paraId="0180ED8E">
            <w:pPr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</w:tr>
      <w:tr w14:paraId="6EF684EB">
        <w:tc>
          <w:tcPr>
            <w:tcW w:w="709" w:type="dxa"/>
            <w:vMerge w:val="continue"/>
            <w:vAlign w:val="center"/>
          </w:tcPr>
          <w:p w14:paraId="70CAC753">
            <w:pPr>
              <w:rPr>
                <w:rFonts w:ascii="仿宋" w:hAnsi="仿宋" w:eastAsia="仿宋" w:cs="Times New Roman"/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</w:tcPr>
          <w:p w14:paraId="43633C00">
            <w:pPr>
              <w:jc w:val="left"/>
              <w:rPr>
                <w:rFonts w:ascii="仿宋" w:hAnsi="仿宋" w:eastAsia="仿宋" w:cs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 xml:space="preserve">Teaching </w:t>
            </w:r>
          </w:p>
        </w:tc>
        <w:tc>
          <w:tcPr>
            <w:tcW w:w="993" w:type="dxa"/>
          </w:tcPr>
          <w:p w14:paraId="05539B40">
            <w:pPr>
              <w:jc w:val="left"/>
              <w:rPr>
                <w:rFonts w:hint="eastAsia" w:ascii="仿宋" w:hAnsi="仿宋" w:eastAsia="仿宋" w:cs="Times New Roman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0"/>
                <w:sz w:val="18"/>
                <w:szCs w:val="18"/>
              </w:rPr>
              <w:t>Ⅰ-9</w:t>
            </w:r>
          </w:p>
        </w:tc>
        <w:tc>
          <w:tcPr>
            <w:tcW w:w="4110" w:type="dxa"/>
          </w:tcPr>
          <w:p w14:paraId="095D508C">
            <w:pPr>
              <w:jc w:val="left"/>
              <w:rPr>
                <w:rFonts w:hint="eastAsia" w:ascii="仿宋" w:hAnsi="仿宋" w:eastAsia="仿宋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Development of Teaching Competencies for Peritoneal Dialysis Specialist Nurses</w:t>
            </w:r>
          </w:p>
        </w:tc>
        <w:tc>
          <w:tcPr>
            <w:tcW w:w="1134" w:type="dxa"/>
            <w:gridSpan w:val="2"/>
            <w:vMerge w:val="continue"/>
            <w:vAlign w:val="center"/>
          </w:tcPr>
          <w:p w14:paraId="2FD37E96">
            <w:pPr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993" w:type="dxa"/>
            <w:vMerge w:val="continue"/>
            <w:vAlign w:val="center"/>
          </w:tcPr>
          <w:p w14:paraId="47DCCB39">
            <w:pPr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</w:tr>
      <w:tr w14:paraId="2F79BAA3">
        <w:trPr>
          <w:trHeight w:val="290" w:hRule="atLeast"/>
        </w:trPr>
        <w:tc>
          <w:tcPr>
            <w:tcW w:w="709" w:type="dxa"/>
            <w:vMerge w:val="continue"/>
            <w:vAlign w:val="center"/>
          </w:tcPr>
          <w:p w14:paraId="5D81707D">
            <w:pPr>
              <w:rPr>
                <w:rFonts w:ascii="仿宋" w:hAnsi="仿宋" w:eastAsia="仿宋" w:cs="Times New Roman"/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vAlign w:val="center"/>
          </w:tcPr>
          <w:p w14:paraId="06C756DB">
            <w:pPr>
              <w:rPr>
                <w:rFonts w:ascii="仿宋" w:hAnsi="仿宋" w:eastAsia="仿宋" w:cs="Times New Roman"/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993" w:type="dxa"/>
          </w:tcPr>
          <w:p w14:paraId="5C55C9BE">
            <w:pPr>
              <w:jc w:val="left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0"/>
                <w:sz w:val="18"/>
                <w:szCs w:val="18"/>
              </w:rPr>
              <w:t>Ⅰ-10</w:t>
            </w:r>
          </w:p>
        </w:tc>
        <w:tc>
          <w:tcPr>
            <w:tcW w:w="4110" w:type="dxa"/>
          </w:tcPr>
          <w:p w14:paraId="0B7C4A2F">
            <w:pPr>
              <w:jc w:val="left"/>
              <w:rPr>
                <w:rFonts w:hint="eastAsia" w:ascii="仿宋" w:hAnsi="仿宋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How to Teach a Good Class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14:paraId="0715588E"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One hour for each course</w:t>
            </w:r>
          </w:p>
        </w:tc>
        <w:tc>
          <w:tcPr>
            <w:tcW w:w="993" w:type="dxa"/>
            <w:vMerge w:val="restart"/>
            <w:vAlign w:val="center"/>
          </w:tcPr>
          <w:p w14:paraId="18DD2D2A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Provincial-level offline continuing education class + test assessment</w:t>
            </w:r>
          </w:p>
        </w:tc>
      </w:tr>
      <w:tr w14:paraId="436A79E9">
        <w:tc>
          <w:tcPr>
            <w:tcW w:w="709" w:type="dxa"/>
            <w:vMerge w:val="continue"/>
            <w:vAlign w:val="center"/>
          </w:tcPr>
          <w:p w14:paraId="75360A96">
            <w:pPr>
              <w:rPr>
                <w:rFonts w:ascii="仿宋" w:hAnsi="仿宋" w:eastAsia="仿宋" w:cs="Times New Roman"/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</w:tcPr>
          <w:p w14:paraId="0BBF40FE">
            <w:pPr>
              <w:jc w:val="left"/>
              <w:rPr>
                <w:rFonts w:ascii="仿宋" w:hAnsi="仿宋" w:eastAsia="仿宋" w:cs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 xml:space="preserve">Research </w:t>
            </w:r>
          </w:p>
        </w:tc>
        <w:tc>
          <w:tcPr>
            <w:tcW w:w="993" w:type="dxa"/>
          </w:tcPr>
          <w:p w14:paraId="5E5BDD86">
            <w:pPr>
              <w:jc w:val="left"/>
              <w:rPr>
                <w:rFonts w:hint="eastAsia" w:ascii="仿宋" w:hAnsi="仿宋" w:eastAsia="仿宋" w:cs="Times New Roman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0"/>
                <w:sz w:val="18"/>
                <w:szCs w:val="18"/>
              </w:rPr>
              <w:t>Ⅰ-11</w:t>
            </w:r>
          </w:p>
        </w:tc>
        <w:tc>
          <w:tcPr>
            <w:tcW w:w="4110" w:type="dxa"/>
          </w:tcPr>
          <w:p w14:paraId="6E4C2008">
            <w:pPr>
              <w:jc w:val="left"/>
              <w:rPr>
                <w:rFonts w:hint="eastAsia" w:ascii="仿宋" w:hAnsi="仿宋" w:eastAsia="仿宋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Writing of Nursing Research Proposals</w:t>
            </w:r>
          </w:p>
        </w:tc>
        <w:tc>
          <w:tcPr>
            <w:tcW w:w="1134" w:type="dxa"/>
            <w:gridSpan w:val="2"/>
            <w:vMerge w:val="continue"/>
            <w:vAlign w:val="center"/>
          </w:tcPr>
          <w:p w14:paraId="3F400F77">
            <w:pPr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993" w:type="dxa"/>
            <w:vMerge w:val="continue"/>
            <w:vAlign w:val="center"/>
          </w:tcPr>
          <w:p w14:paraId="69873B7C">
            <w:pPr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</w:tr>
      <w:tr w14:paraId="50E295CC">
        <w:tc>
          <w:tcPr>
            <w:tcW w:w="709" w:type="dxa"/>
            <w:vMerge w:val="continue"/>
            <w:vAlign w:val="center"/>
          </w:tcPr>
          <w:p w14:paraId="6106E87F">
            <w:pPr>
              <w:rPr>
                <w:rFonts w:ascii="仿宋" w:hAnsi="仿宋" w:eastAsia="仿宋" w:cs="Times New Roman"/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vAlign w:val="center"/>
          </w:tcPr>
          <w:p w14:paraId="31D8C4FF">
            <w:pPr>
              <w:rPr>
                <w:rFonts w:ascii="仿宋" w:hAnsi="仿宋" w:eastAsia="仿宋" w:cs="Times New Roman"/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993" w:type="dxa"/>
          </w:tcPr>
          <w:p w14:paraId="0EC6E07E">
            <w:pPr>
              <w:jc w:val="left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0"/>
                <w:sz w:val="18"/>
                <w:szCs w:val="18"/>
              </w:rPr>
              <w:t>Ⅰ-12</w:t>
            </w:r>
          </w:p>
        </w:tc>
        <w:tc>
          <w:tcPr>
            <w:tcW w:w="4110" w:type="dxa"/>
          </w:tcPr>
          <w:p w14:paraId="22E4F173">
            <w:pPr>
              <w:jc w:val="left"/>
              <w:rPr>
                <w:rFonts w:hint="eastAsia" w:ascii="仿宋" w:hAnsi="仿宋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Writing and Submission of Nursing Academic Papers</w:t>
            </w:r>
          </w:p>
        </w:tc>
        <w:tc>
          <w:tcPr>
            <w:tcW w:w="1134" w:type="dxa"/>
            <w:gridSpan w:val="2"/>
            <w:vMerge w:val="continue"/>
            <w:vAlign w:val="center"/>
          </w:tcPr>
          <w:p w14:paraId="3C977BA2">
            <w:pPr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993" w:type="dxa"/>
            <w:vMerge w:val="continue"/>
            <w:vAlign w:val="center"/>
          </w:tcPr>
          <w:p w14:paraId="03EB555C">
            <w:pPr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</w:tr>
      <w:tr w14:paraId="2F1F1B4E">
        <w:tc>
          <w:tcPr>
            <w:tcW w:w="709" w:type="dxa"/>
            <w:vMerge w:val="continue"/>
            <w:vAlign w:val="center"/>
          </w:tcPr>
          <w:p w14:paraId="0FD096E4">
            <w:pPr>
              <w:rPr>
                <w:rFonts w:ascii="仿宋" w:hAnsi="仿宋" w:eastAsia="仿宋" w:cs="Times New Roman"/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vAlign w:val="center"/>
          </w:tcPr>
          <w:p w14:paraId="02085FB9">
            <w:pPr>
              <w:rPr>
                <w:rFonts w:ascii="仿宋" w:hAnsi="仿宋" w:eastAsia="仿宋" w:cs="Times New Roman"/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993" w:type="dxa"/>
          </w:tcPr>
          <w:p w14:paraId="6DF68CF6">
            <w:pPr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0"/>
                <w:sz w:val="18"/>
                <w:szCs w:val="18"/>
              </w:rPr>
              <w:t>Ⅰ-13</w:t>
            </w:r>
          </w:p>
        </w:tc>
        <w:tc>
          <w:tcPr>
            <w:tcW w:w="4110" w:type="dxa"/>
          </w:tcPr>
          <w:p w14:paraId="54B22C3F">
            <w:pPr>
              <w:rPr>
                <w:rFonts w:hint="eastAsia" w:ascii="仿宋" w:hAnsi="仿宋" w:eastAsia="仿宋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>*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>The Development and Practice of Patient-Reported Outcomes in the Field of Peritoneal Dialysis</w:t>
            </w:r>
          </w:p>
        </w:tc>
        <w:tc>
          <w:tcPr>
            <w:tcW w:w="1134" w:type="dxa"/>
            <w:gridSpan w:val="2"/>
            <w:vMerge w:val="continue"/>
            <w:vAlign w:val="center"/>
          </w:tcPr>
          <w:p w14:paraId="0079E260">
            <w:pPr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993" w:type="dxa"/>
            <w:vMerge w:val="continue"/>
            <w:vAlign w:val="center"/>
          </w:tcPr>
          <w:p w14:paraId="01A02818">
            <w:pPr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</w:tr>
      <w:tr w14:paraId="5F810DF6">
        <w:tc>
          <w:tcPr>
            <w:tcW w:w="709" w:type="dxa"/>
            <w:vMerge w:val="continue"/>
            <w:vAlign w:val="center"/>
          </w:tcPr>
          <w:p w14:paraId="02B0334B">
            <w:pPr>
              <w:rPr>
                <w:rFonts w:ascii="仿宋" w:hAnsi="仿宋" w:eastAsia="仿宋" w:cs="Times New Roman"/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</w:tcPr>
          <w:p w14:paraId="302924F0">
            <w:pPr>
              <w:jc w:val="left"/>
              <w:rPr>
                <w:rFonts w:ascii="仿宋" w:hAnsi="仿宋" w:eastAsia="仿宋" w:cs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 xml:space="preserve">Management </w:t>
            </w:r>
          </w:p>
        </w:tc>
        <w:tc>
          <w:tcPr>
            <w:tcW w:w="993" w:type="dxa"/>
          </w:tcPr>
          <w:p w14:paraId="0A0D1C40">
            <w:pPr>
              <w:jc w:val="left"/>
              <w:rPr>
                <w:rFonts w:hint="eastAsia" w:ascii="仿宋" w:hAnsi="仿宋" w:eastAsia="仿宋" w:cs="Times New Roman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0"/>
                <w:sz w:val="18"/>
                <w:szCs w:val="18"/>
              </w:rPr>
              <w:t>Ⅰ-14</w:t>
            </w:r>
          </w:p>
        </w:tc>
        <w:tc>
          <w:tcPr>
            <w:tcW w:w="4110" w:type="dxa"/>
          </w:tcPr>
          <w:p w14:paraId="12842650">
            <w:pPr>
              <w:jc w:val="left"/>
              <w:rPr>
                <w:rFonts w:hint="eastAsia" w:ascii="仿宋" w:hAnsi="仿宋" w:eastAsia="仿宋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Thinking and Practice in the Application of Specialist Nurses</w:t>
            </w:r>
          </w:p>
        </w:tc>
        <w:tc>
          <w:tcPr>
            <w:tcW w:w="1134" w:type="dxa"/>
            <w:gridSpan w:val="2"/>
            <w:vMerge w:val="continue"/>
            <w:vAlign w:val="center"/>
          </w:tcPr>
          <w:p w14:paraId="6527E6FC">
            <w:pPr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993" w:type="dxa"/>
            <w:vMerge w:val="continue"/>
            <w:vAlign w:val="center"/>
          </w:tcPr>
          <w:p w14:paraId="2E28F54C">
            <w:pPr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</w:tr>
      <w:tr w14:paraId="019F9E21">
        <w:tc>
          <w:tcPr>
            <w:tcW w:w="709" w:type="dxa"/>
            <w:vMerge w:val="continue"/>
            <w:vAlign w:val="center"/>
          </w:tcPr>
          <w:p w14:paraId="7BA66266">
            <w:pPr>
              <w:rPr>
                <w:rFonts w:ascii="仿宋" w:hAnsi="仿宋" w:eastAsia="仿宋" w:cs="Times New Roman"/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vAlign w:val="center"/>
          </w:tcPr>
          <w:p w14:paraId="3DAC35FF">
            <w:pPr>
              <w:rPr>
                <w:rFonts w:ascii="仿宋" w:hAnsi="仿宋" w:eastAsia="仿宋" w:cs="Times New Roman"/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993" w:type="dxa"/>
          </w:tcPr>
          <w:p w14:paraId="2C932EB5">
            <w:pPr>
              <w:jc w:val="left"/>
              <w:rPr>
                <w:rFonts w:ascii="仿宋" w:hAnsi="仿宋" w:eastAsia="仿宋" w:cs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0"/>
                <w:sz w:val="18"/>
                <w:szCs w:val="18"/>
              </w:rPr>
              <w:t>Ⅰ-15</w:t>
            </w:r>
          </w:p>
        </w:tc>
        <w:tc>
          <w:tcPr>
            <w:tcW w:w="4110" w:type="dxa"/>
          </w:tcPr>
          <w:p w14:paraId="02F7DE06">
            <w:pPr>
              <w:jc w:val="left"/>
              <w:rPr>
                <w:rFonts w:hint="eastAsia" w:ascii="仿宋" w:hAnsi="仿宋" w:eastAsia="仿宋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>*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>Exploration and Practice of Core Competencies for Peritoneal Dialysis Nursing Experts</w:t>
            </w:r>
          </w:p>
        </w:tc>
        <w:tc>
          <w:tcPr>
            <w:tcW w:w="1134" w:type="dxa"/>
            <w:gridSpan w:val="2"/>
            <w:vMerge w:val="continue"/>
            <w:vAlign w:val="center"/>
          </w:tcPr>
          <w:p w14:paraId="18C65EDD">
            <w:pPr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993" w:type="dxa"/>
            <w:vMerge w:val="continue"/>
            <w:vAlign w:val="center"/>
          </w:tcPr>
          <w:p w14:paraId="1918F80B">
            <w:pPr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</w:tr>
      <w:tr w14:paraId="136B73F0">
        <w:trPr>
          <w:trHeight w:val="297" w:hRule="atLeast"/>
        </w:trPr>
        <w:tc>
          <w:tcPr>
            <w:tcW w:w="709" w:type="dxa"/>
            <w:vMerge w:val="continue"/>
            <w:vAlign w:val="center"/>
          </w:tcPr>
          <w:p w14:paraId="697E6697">
            <w:pPr>
              <w:rPr>
                <w:rFonts w:ascii="仿宋" w:hAnsi="仿宋" w:eastAsia="仿宋" w:cs="Times New Roman"/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vAlign w:val="center"/>
          </w:tcPr>
          <w:p w14:paraId="5C84C31C">
            <w:pPr>
              <w:rPr>
                <w:rFonts w:ascii="仿宋" w:hAnsi="仿宋" w:eastAsia="仿宋" w:cs="Times New Roman"/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993" w:type="dxa"/>
          </w:tcPr>
          <w:p w14:paraId="477A9AEB">
            <w:pPr>
              <w:jc w:val="left"/>
              <w:rPr>
                <w:rFonts w:ascii="仿宋" w:hAnsi="仿宋" w:eastAsia="仿宋" w:cs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0"/>
                <w:sz w:val="18"/>
                <w:szCs w:val="18"/>
              </w:rPr>
              <w:t>Ⅰ-16</w:t>
            </w:r>
          </w:p>
        </w:tc>
        <w:tc>
          <w:tcPr>
            <w:tcW w:w="4110" w:type="dxa"/>
          </w:tcPr>
          <w:p w14:paraId="3817EF99">
            <w:pPr>
              <w:jc w:val="left"/>
              <w:rPr>
                <w:rFonts w:hint="eastAsia" w:ascii="仿宋" w:hAnsi="仿宋" w:eastAsia="仿宋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>*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>Development of Nursing Leadership</w:t>
            </w:r>
          </w:p>
        </w:tc>
        <w:tc>
          <w:tcPr>
            <w:tcW w:w="1134" w:type="dxa"/>
            <w:gridSpan w:val="2"/>
            <w:vMerge w:val="continue"/>
            <w:vAlign w:val="center"/>
          </w:tcPr>
          <w:p w14:paraId="1929D30F">
            <w:pPr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993" w:type="dxa"/>
            <w:vMerge w:val="continue"/>
            <w:vAlign w:val="center"/>
          </w:tcPr>
          <w:p w14:paraId="1900B75B">
            <w:pPr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</w:tr>
      <w:tr w14:paraId="17AD8F58">
        <w:tc>
          <w:tcPr>
            <w:tcW w:w="709" w:type="dxa"/>
            <w:vMerge w:val="restart"/>
            <w:vAlign w:val="center"/>
          </w:tcPr>
          <w:p w14:paraId="5ACA7EF6">
            <w:pPr>
              <w:jc w:val="center"/>
              <w:rPr>
                <w:rFonts w:ascii="仿宋" w:hAnsi="仿宋" w:eastAsia="仿宋" w:cs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Skills</w:t>
            </w:r>
          </w:p>
        </w:tc>
        <w:tc>
          <w:tcPr>
            <w:tcW w:w="567" w:type="dxa"/>
            <w:vMerge w:val="restart"/>
          </w:tcPr>
          <w:p w14:paraId="1BEC87C1">
            <w:pPr>
              <w:jc w:val="left"/>
              <w:rPr>
                <w:rFonts w:hint="eastAsia" w:ascii="仿宋" w:hAnsi="仿宋" w:eastAsia="仿宋" w:cs="Times New Roman"/>
                <w:b/>
                <w:bCs/>
                <w:kern w:val="0"/>
                <w:sz w:val="18"/>
                <w:szCs w:val="18"/>
              </w:rPr>
            </w:pPr>
          </w:p>
          <w:p w14:paraId="5EC13524">
            <w:pPr>
              <w:jc w:val="left"/>
              <w:rPr>
                <w:rFonts w:hint="eastAsia" w:ascii="仿宋" w:hAnsi="仿宋" w:eastAsia="仿宋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Professional</w:t>
            </w:r>
          </w:p>
        </w:tc>
        <w:tc>
          <w:tcPr>
            <w:tcW w:w="993" w:type="dxa"/>
          </w:tcPr>
          <w:p w14:paraId="31A1D4BA">
            <w:pPr>
              <w:jc w:val="left"/>
              <w:rPr>
                <w:rFonts w:hint="eastAsia" w:ascii="仿宋" w:hAnsi="仿宋" w:eastAsia="仿宋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0"/>
                <w:sz w:val="18"/>
                <w:szCs w:val="18"/>
              </w:rPr>
              <w:t>Ⅱ-1</w:t>
            </w:r>
          </w:p>
        </w:tc>
        <w:tc>
          <w:tcPr>
            <w:tcW w:w="4110" w:type="dxa"/>
          </w:tcPr>
          <w:p w14:paraId="0054A47F">
            <w:pPr>
              <w:pStyle w:val="12"/>
              <w:rPr>
                <w:rFonts w:ascii="Times New Roman" w:hAnsi="Times New Roman" w:cs="Times New Roman"/>
                <w:i/>
                <w:iCs/>
                <w:sz w:val="20"/>
                <w:szCs w:val="15"/>
              </w:rPr>
            </w:pPr>
            <w:r>
              <w:rPr>
                <w:rStyle w:val="17"/>
                <w:rFonts w:hint="eastAsia" w:ascii="Times New Roman" w:hAnsi="Times New Roman" w:cs="Times New Roman"/>
                <w:i/>
                <w:iCs/>
                <w:sz w:val="20"/>
                <w:szCs w:val="15"/>
              </w:rPr>
              <w:t>*</w:t>
            </w:r>
            <w:r>
              <w:rPr>
                <w:rStyle w:val="17"/>
                <w:rFonts w:ascii="Times New Roman" w:hAnsi="Times New Roman" w:cs="Times New Roman"/>
                <w:i/>
                <w:iCs/>
                <w:sz w:val="20"/>
                <w:szCs w:val="15"/>
              </w:rPr>
              <w:t>Ability to Lead and Organize a Nursing Case Analysis of Difficult Peritoneal Dialysis Cases at the Hospital Level or Above</w:t>
            </w:r>
          </w:p>
          <w:p w14:paraId="367171B4">
            <w:pPr>
              <w:jc w:val="left"/>
              <w:rPr>
                <w:rFonts w:ascii="Times New Roman" w:hAnsi="Times New Roman" w:eastAsia="仿宋" w:cs="Times New Roman"/>
                <w:i/>
                <w:iCs/>
                <w:kern w:val="0"/>
                <w:sz w:val="20"/>
                <w:szCs w:val="15"/>
              </w:rPr>
            </w:pPr>
          </w:p>
        </w:tc>
        <w:tc>
          <w:tcPr>
            <w:tcW w:w="1134" w:type="dxa"/>
            <w:gridSpan w:val="2"/>
            <w:vMerge w:val="restart"/>
            <w:vAlign w:val="center"/>
          </w:tcPr>
          <w:p w14:paraId="7B8A422A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within one training cycle</w:t>
            </w:r>
          </w:p>
        </w:tc>
        <w:tc>
          <w:tcPr>
            <w:tcW w:w="993" w:type="dxa"/>
            <w:vMerge w:val="restart"/>
            <w:vAlign w:val="center"/>
          </w:tcPr>
          <w:p w14:paraId="7D941393">
            <w:pPr>
              <w:jc w:val="center"/>
              <w:rPr>
                <w:rFonts w:hint="eastAsia" w:ascii="仿宋" w:hAnsi="仿宋" w:eastAsia="仿宋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Submit proof materials and wait for review</w:t>
            </w:r>
          </w:p>
        </w:tc>
      </w:tr>
      <w:tr w14:paraId="7F406042">
        <w:tc>
          <w:tcPr>
            <w:tcW w:w="709" w:type="dxa"/>
            <w:vMerge w:val="continue"/>
            <w:vAlign w:val="center"/>
          </w:tcPr>
          <w:p w14:paraId="7A21B4FD">
            <w:pPr>
              <w:rPr>
                <w:rFonts w:ascii="仿宋" w:hAnsi="仿宋" w:eastAsia="仿宋" w:cs="Times New Roman"/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vAlign w:val="center"/>
          </w:tcPr>
          <w:p w14:paraId="0AD81F01">
            <w:pPr>
              <w:rPr>
                <w:rFonts w:ascii="仿宋" w:hAnsi="仿宋" w:eastAsia="仿宋" w:cs="Times New Roman"/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993" w:type="dxa"/>
          </w:tcPr>
          <w:p w14:paraId="71220E9E">
            <w:pPr>
              <w:jc w:val="left"/>
              <w:rPr>
                <w:rFonts w:ascii="仿宋" w:hAnsi="仿宋" w:eastAsia="仿宋" w:cs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0"/>
                <w:sz w:val="18"/>
                <w:szCs w:val="18"/>
              </w:rPr>
              <w:t>Ⅱ-2</w:t>
            </w:r>
          </w:p>
        </w:tc>
        <w:tc>
          <w:tcPr>
            <w:tcW w:w="4110" w:type="dxa"/>
          </w:tcPr>
          <w:p w14:paraId="0006B79A">
            <w:pPr>
              <w:jc w:val="left"/>
              <w:rPr>
                <w:rFonts w:hint="eastAsia" w:ascii="仿宋" w:hAnsi="仿宋" w:eastAsia="仿宋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>*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>Ability to Create a Patient Education Video or Brochure and Distribute It to At Least 100 Patients or Their Families</w:t>
            </w:r>
          </w:p>
        </w:tc>
        <w:tc>
          <w:tcPr>
            <w:tcW w:w="1134" w:type="dxa"/>
            <w:gridSpan w:val="2"/>
            <w:vMerge w:val="continue"/>
            <w:vAlign w:val="center"/>
          </w:tcPr>
          <w:p w14:paraId="274AA101">
            <w:pPr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993" w:type="dxa"/>
            <w:vMerge w:val="continue"/>
            <w:vAlign w:val="center"/>
          </w:tcPr>
          <w:p w14:paraId="3D4F64FB">
            <w:pPr>
              <w:rPr>
                <w:rFonts w:ascii="仿宋" w:hAnsi="仿宋" w:eastAsia="仿宋" w:cs="Times New Roman"/>
                <w:b/>
                <w:bCs/>
                <w:kern w:val="2"/>
                <w:sz w:val="18"/>
                <w:szCs w:val="18"/>
              </w:rPr>
            </w:pPr>
          </w:p>
        </w:tc>
      </w:tr>
      <w:tr w14:paraId="7CBA95E5">
        <w:tc>
          <w:tcPr>
            <w:tcW w:w="709" w:type="dxa"/>
            <w:vMerge w:val="continue"/>
            <w:vAlign w:val="center"/>
          </w:tcPr>
          <w:p w14:paraId="0D7933FC">
            <w:pPr>
              <w:rPr>
                <w:rFonts w:ascii="仿宋" w:hAnsi="仿宋" w:eastAsia="仿宋" w:cs="Times New Roman"/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</w:tcPr>
          <w:p w14:paraId="33481565">
            <w:pPr>
              <w:jc w:val="left"/>
              <w:rPr>
                <w:rFonts w:ascii="仿宋" w:hAnsi="仿宋" w:eastAsia="仿宋" w:cs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Teaching</w:t>
            </w:r>
          </w:p>
        </w:tc>
        <w:tc>
          <w:tcPr>
            <w:tcW w:w="993" w:type="dxa"/>
          </w:tcPr>
          <w:p w14:paraId="44618A86">
            <w:pPr>
              <w:jc w:val="left"/>
              <w:rPr>
                <w:rFonts w:hint="eastAsia" w:ascii="仿宋" w:hAnsi="仿宋" w:eastAsia="仿宋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0"/>
                <w:sz w:val="18"/>
                <w:szCs w:val="18"/>
              </w:rPr>
              <w:t>Ⅱ-3</w:t>
            </w:r>
          </w:p>
        </w:tc>
        <w:tc>
          <w:tcPr>
            <w:tcW w:w="4110" w:type="dxa"/>
          </w:tcPr>
          <w:p w14:paraId="017631D9">
            <w:pPr>
              <w:jc w:val="left"/>
              <w:rPr>
                <w:rFonts w:hint="eastAsia" w:ascii="仿宋" w:hAnsi="仿宋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Write a Lesson Plan</w:t>
            </w:r>
          </w:p>
        </w:tc>
        <w:tc>
          <w:tcPr>
            <w:tcW w:w="1134" w:type="dxa"/>
            <w:gridSpan w:val="2"/>
            <w:vMerge w:val="continue"/>
            <w:vAlign w:val="center"/>
          </w:tcPr>
          <w:p w14:paraId="1AC90B58">
            <w:pPr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993" w:type="dxa"/>
            <w:vMerge w:val="continue"/>
            <w:vAlign w:val="center"/>
          </w:tcPr>
          <w:p w14:paraId="538A0BDE">
            <w:pPr>
              <w:rPr>
                <w:rFonts w:ascii="仿宋" w:hAnsi="仿宋" w:eastAsia="仿宋" w:cs="Times New Roman"/>
                <w:b/>
                <w:bCs/>
                <w:kern w:val="2"/>
                <w:sz w:val="18"/>
                <w:szCs w:val="18"/>
              </w:rPr>
            </w:pPr>
          </w:p>
        </w:tc>
      </w:tr>
      <w:tr w14:paraId="1F7DC233">
        <w:tc>
          <w:tcPr>
            <w:tcW w:w="709" w:type="dxa"/>
            <w:vMerge w:val="continue"/>
            <w:vAlign w:val="center"/>
          </w:tcPr>
          <w:p w14:paraId="4259E43B">
            <w:pPr>
              <w:rPr>
                <w:rFonts w:ascii="仿宋" w:hAnsi="仿宋" w:eastAsia="仿宋" w:cs="Times New Roman"/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vAlign w:val="center"/>
          </w:tcPr>
          <w:p w14:paraId="3FE3043F">
            <w:pPr>
              <w:rPr>
                <w:rFonts w:ascii="仿宋" w:hAnsi="仿宋" w:eastAsia="仿宋" w:cs="Times New Roman"/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993" w:type="dxa"/>
          </w:tcPr>
          <w:p w14:paraId="181505CD">
            <w:pPr>
              <w:jc w:val="left"/>
              <w:rPr>
                <w:rFonts w:ascii="仿宋" w:hAnsi="仿宋" w:eastAsia="仿宋" w:cs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0"/>
                <w:sz w:val="18"/>
                <w:szCs w:val="18"/>
              </w:rPr>
              <w:t>Ⅱ-4</w:t>
            </w:r>
          </w:p>
        </w:tc>
        <w:tc>
          <w:tcPr>
            <w:tcW w:w="4110" w:type="dxa"/>
          </w:tcPr>
          <w:p w14:paraId="63D08393">
            <w:pPr>
              <w:jc w:val="left"/>
              <w:rPr>
                <w:rFonts w:hint="eastAsia" w:ascii="仿宋" w:hAnsi="仿宋" w:eastAsia="仿宋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>*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>Ability to Lead an Interdisciplinary Collaborative Nursing Round Related to Peritoneal Dialysis</w:t>
            </w:r>
          </w:p>
        </w:tc>
        <w:tc>
          <w:tcPr>
            <w:tcW w:w="1134" w:type="dxa"/>
            <w:gridSpan w:val="2"/>
            <w:vMerge w:val="continue"/>
            <w:vAlign w:val="center"/>
          </w:tcPr>
          <w:p w14:paraId="6AF9F4D6">
            <w:pPr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993" w:type="dxa"/>
            <w:vMerge w:val="continue"/>
            <w:vAlign w:val="center"/>
          </w:tcPr>
          <w:p w14:paraId="2052E838">
            <w:pPr>
              <w:rPr>
                <w:rFonts w:ascii="仿宋" w:hAnsi="仿宋" w:eastAsia="仿宋" w:cs="Times New Roman"/>
                <w:b/>
                <w:bCs/>
                <w:kern w:val="2"/>
                <w:sz w:val="18"/>
                <w:szCs w:val="18"/>
              </w:rPr>
            </w:pPr>
          </w:p>
        </w:tc>
      </w:tr>
      <w:tr w14:paraId="12B918D9">
        <w:tc>
          <w:tcPr>
            <w:tcW w:w="709" w:type="dxa"/>
            <w:vMerge w:val="continue"/>
            <w:vAlign w:val="center"/>
          </w:tcPr>
          <w:p w14:paraId="0C45F1CA">
            <w:pPr>
              <w:rPr>
                <w:rFonts w:ascii="仿宋" w:hAnsi="仿宋" w:eastAsia="仿宋" w:cs="Times New Roman"/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567" w:type="dxa"/>
          </w:tcPr>
          <w:p w14:paraId="45AB6BFA">
            <w:pPr>
              <w:jc w:val="left"/>
              <w:rPr>
                <w:rFonts w:ascii="仿宋" w:hAnsi="仿宋" w:eastAsia="仿宋" w:cs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Research</w:t>
            </w:r>
          </w:p>
        </w:tc>
        <w:tc>
          <w:tcPr>
            <w:tcW w:w="993" w:type="dxa"/>
          </w:tcPr>
          <w:p w14:paraId="26ED6360">
            <w:pPr>
              <w:jc w:val="left"/>
              <w:rPr>
                <w:rFonts w:hint="eastAsia" w:ascii="仿宋" w:hAnsi="仿宋" w:eastAsia="仿宋" w:cs="Times New Roman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0"/>
                <w:sz w:val="18"/>
                <w:szCs w:val="18"/>
              </w:rPr>
              <w:t>Ⅱ-5</w:t>
            </w:r>
          </w:p>
        </w:tc>
        <w:tc>
          <w:tcPr>
            <w:tcW w:w="4110" w:type="dxa"/>
          </w:tcPr>
          <w:p w14:paraId="747DA595">
            <w:pPr>
              <w:jc w:val="left"/>
              <w:rPr>
                <w:rFonts w:hint="eastAsia" w:ascii="仿宋" w:hAnsi="仿宋" w:eastAsia="仿宋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Ability to Write and Submit One Nursing Paper</w:t>
            </w:r>
          </w:p>
        </w:tc>
        <w:tc>
          <w:tcPr>
            <w:tcW w:w="1134" w:type="dxa"/>
            <w:gridSpan w:val="2"/>
            <w:vMerge w:val="continue"/>
            <w:vAlign w:val="center"/>
          </w:tcPr>
          <w:p w14:paraId="3AB9CFAD">
            <w:pPr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993" w:type="dxa"/>
            <w:vMerge w:val="continue"/>
            <w:vAlign w:val="center"/>
          </w:tcPr>
          <w:p w14:paraId="5464A825">
            <w:pPr>
              <w:rPr>
                <w:rFonts w:ascii="仿宋" w:hAnsi="仿宋" w:eastAsia="仿宋" w:cs="Times New Roman"/>
                <w:b/>
                <w:bCs/>
                <w:kern w:val="2"/>
                <w:sz w:val="18"/>
                <w:szCs w:val="18"/>
              </w:rPr>
            </w:pPr>
          </w:p>
        </w:tc>
      </w:tr>
      <w:tr w14:paraId="6252E970">
        <w:tc>
          <w:tcPr>
            <w:tcW w:w="709" w:type="dxa"/>
            <w:vMerge w:val="continue"/>
            <w:vAlign w:val="center"/>
          </w:tcPr>
          <w:p w14:paraId="4BFEE845">
            <w:pPr>
              <w:rPr>
                <w:rFonts w:ascii="仿宋" w:hAnsi="仿宋" w:eastAsia="仿宋" w:cs="Times New Roman"/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</w:tcPr>
          <w:p w14:paraId="53102812">
            <w:pPr>
              <w:jc w:val="left"/>
              <w:rPr>
                <w:rFonts w:ascii="仿宋" w:hAnsi="仿宋" w:eastAsia="仿宋" w:cs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Management</w:t>
            </w:r>
          </w:p>
        </w:tc>
        <w:tc>
          <w:tcPr>
            <w:tcW w:w="993" w:type="dxa"/>
          </w:tcPr>
          <w:p w14:paraId="332D88D2">
            <w:pPr>
              <w:jc w:val="left"/>
              <w:rPr>
                <w:rFonts w:hint="eastAsia" w:ascii="仿宋" w:hAnsi="仿宋" w:eastAsia="仿宋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0"/>
                <w:sz w:val="18"/>
                <w:szCs w:val="18"/>
              </w:rPr>
              <w:t>Ⅱ-6</w:t>
            </w:r>
          </w:p>
        </w:tc>
        <w:tc>
          <w:tcPr>
            <w:tcW w:w="4110" w:type="dxa"/>
          </w:tcPr>
          <w:p w14:paraId="43BD9030">
            <w:pPr>
              <w:jc w:val="left"/>
              <w:rPr>
                <w:rFonts w:hint="eastAsia" w:ascii="仿宋" w:hAnsi="仿宋" w:eastAsia="仿宋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>*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>Organize an Offline Peritoneal Dialysis Kidney Patient Support Meeting</w:t>
            </w:r>
          </w:p>
        </w:tc>
        <w:tc>
          <w:tcPr>
            <w:tcW w:w="1134" w:type="dxa"/>
            <w:gridSpan w:val="2"/>
            <w:vMerge w:val="continue"/>
            <w:vAlign w:val="center"/>
          </w:tcPr>
          <w:p w14:paraId="6A9EE9F6">
            <w:pPr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993" w:type="dxa"/>
            <w:vMerge w:val="continue"/>
            <w:vAlign w:val="center"/>
          </w:tcPr>
          <w:p w14:paraId="4D8421F3">
            <w:pPr>
              <w:rPr>
                <w:rFonts w:ascii="仿宋" w:hAnsi="仿宋" w:eastAsia="仿宋" w:cs="Times New Roman"/>
                <w:b/>
                <w:bCs/>
                <w:kern w:val="2"/>
                <w:sz w:val="18"/>
                <w:szCs w:val="18"/>
              </w:rPr>
            </w:pPr>
          </w:p>
        </w:tc>
      </w:tr>
      <w:tr w14:paraId="32C0C7DB">
        <w:tc>
          <w:tcPr>
            <w:tcW w:w="709" w:type="dxa"/>
            <w:vMerge w:val="continue"/>
            <w:vAlign w:val="center"/>
          </w:tcPr>
          <w:p w14:paraId="2F5CCEA4">
            <w:pPr>
              <w:rPr>
                <w:rFonts w:ascii="仿宋" w:hAnsi="仿宋" w:eastAsia="仿宋" w:cs="Times New Roman"/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vAlign w:val="center"/>
          </w:tcPr>
          <w:p w14:paraId="4EBFD172">
            <w:pPr>
              <w:rPr>
                <w:rFonts w:ascii="仿宋" w:hAnsi="仿宋" w:eastAsia="仿宋" w:cs="Times New Roman"/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993" w:type="dxa"/>
          </w:tcPr>
          <w:p w14:paraId="163993CD">
            <w:pPr>
              <w:jc w:val="left"/>
              <w:rPr>
                <w:rFonts w:ascii="仿宋" w:hAnsi="仿宋" w:eastAsia="仿宋" w:cs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0"/>
                <w:sz w:val="18"/>
                <w:szCs w:val="18"/>
              </w:rPr>
              <w:t>Ⅱ-7</w:t>
            </w:r>
          </w:p>
        </w:tc>
        <w:tc>
          <w:tcPr>
            <w:tcW w:w="4110" w:type="dxa"/>
          </w:tcPr>
          <w:p w14:paraId="75C7471C">
            <w:pPr>
              <w:jc w:val="left"/>
              <w:rPr>
                <w:rFonts w:hint="eastAsia" w:ascii="仿宋" w:hAnsi="仿宋" w:eastAsia="仿宋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>*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>Increase in the Peritoneal Dialysis Quality Control Indicator Compliance Rate at the Institution</w:t>
            </w:r>
          </w:p>
        </w:tc>
        <w:tc>
          <w:tcPr>
            <w:tcW w:w="1134" w:type="dxa"/>
            <w:gridSpan w:val="2"/>
            <w:vMerge w:val="continue"/>
            <w:vAlign w:val="center"/>
          </w:tcPr>
          <w:p w14:paraId="69C12CE7">
            <w:pPr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993" w:type="dxa"/>
            <w:vMerge w:val="continue"/>
            <w:vAlign w:val="center"/>
          </w:tcPr>
          <w:p w14:paraId="33D459D5">
            <w:pPr>
              <w:rPr>
                <w:rFonts w:ascii="仿宋" w:hAnsi="仿宋" w:eastAsia="仿宋" w:cs="Times New Roman"/>
                <w:b/>
                <w:bCs/>
                <w:kern w:val="2"/>
                <w:sz w:val="18"/>
                <w:szCs w:val="18"/>
              </w:rPr>
            </w:pPr>
          </w:p>
        </w:tc>
      </w:tr>
      <w:tr w14:paraId="5CC5EF46">
        <w:tc>
          <w:tcPr>
            <w:tcW w:w="709" w:type="dxa"/>
            <w:vMerge w:val="restart"/>
          </w:tcPr>
          <w:p w14:paraId="507E3C44">
            <w:pPr>
              <w:jc w:val="left"/>
              <w:rPr>
                <w:rFonts w:ascii="微软雅黑" w:hAnsi="微软雅黑" w:eastAsia="微软雅黑" w:cs="Times New Roman"/>
                <w:b/>
                <w:bCs/>
                <w:i/>
                <w:iCs/>
                <w:kern w:val="2"/>
                <w:sz w:val="18"/>
                <w:szCs w:val="18"/>
              </w:rPr>
            </w:pPr>
          </w:p>
          <w:p w14:paraId="56D9BEB4">
            <w:pPr>
              <w:jc w:val="left"/>
              <w:rPr>
                <w:rFonts w:hint="eastAsia" w:ascii="微软雅黑" w:hAnsi="微软雅黑" w:eastAsia="微软雅黑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</w:p>
          <w:p w14:paraId="36EBF5D0">
            <w:pPr>
              <w:jc w:val="left"/>
              <w:rPr>
                <w:rFonts w:hint="eastAsia" w:ascii="仿宋" w:hAnsi="仿宋" w:eastAsia="仿宋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b/>
                <w:bCs/>
                <w:kern w:val="0"/>
                <w:sz w:val="18"/>
                <w:szCs w:val="18"/>
              </w:rPr>
              <w:t xml:space="preserve"> </w:t>
            </w:r>
          </w:p>
          <w:p w14:paraId="1CEE5D62">
            <w:pPr>
              <w:jc w:val="left"/>
              <w:rPr>
                <w:rFonts w:hint="eastAsia" w:ascii="微软雅黑" w:hAnsi="微软雅黑" w:eastAsia="微软雅黑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</w:p>
          <w:p w14:paraId="004F411C">
            <w:pPr>
              <w:jc w:val="left"/>
              <w:rPr>
                <w:rFonts w:hint="eastAsia" w:ascii="仿宋" w:hAnsi="仿宋" w:eastAsia="仿宋" w:cs="Times New Roman"/>
                <w:b/>
                <w:bCs/>
                <w:kern w:val="0"/>
                <w:sz w:val="18"/>
                <w:szCs w:val="18"/>
              </w:rPr>
            </w:pPr>
          </w:p>
          <w:p w14:paraId="4B92AC68">
            <w:pPr>
              <w:jc w:val="left"/>
              <w:rPr>
                <w:rFonts w:hint="eastAsia" w:ascii="仿宋" w:hAnsi="仿宋" w:eastAsia="仿宋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b/>
                <w:bCs/>
                <w:i/>
                <w:iCs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Literacy</w:t>
            </w:r>
          </w:p>
        </w:tc>
        <w:tc>
          <w:tcPr>
            <w:tcW w:w="567" w:type="dxa"/>
            <w:vMerge w:val="restart"/>
          </w:tcPr>
          <w:p w14:paraId="4A48D5AF">
            <w:pPr>
              <w:jc w:val="left"/>
              <w:rPr>
                <w:rFonts w:ascii="Times New Roman" w:hAnsi="Times New Roman" w:eastAsia="微软雅黑" w:cs="Times New Roman"/>
                <w:b/>
                <w:bCs/>
                <w:i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>*Characteristics</w:t>
            </w:r>
          </w:p>
        </w:tc>
        <w:tc>
          <w:tcPr>
            <w:tcW w:w="993" w:type="dxa"/>
          </w:tcPr>
          <w:p w14:paraId="0DE619EE">
            <w:pPr>
              <w:jc w:val="left"/>
              <w:rPr>
                <w:rFonts w:hint="eastAsia" w:ascii="仿宋" w:hAnsi="仿宋" w:eastAsia="仿宋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b/>
                <w:bCs/>
                <w:kern w:val="0"/>
                <w:sz w:val="18"/>
                <w:szCs w:val="18"/>
              </w:rPr>
              <w:t>Ⅲ-1</w:t>
            </w:r>
          </w:p>
        </w:tc>
        <w:tc>
          <w:tcPr>
            <w:tcW w:w="4110" w:type="dxa"/>
          </w:tcPr>
          <w:p w14:paraId="16D145A8">
            <w:pPr>
              <w:jc w:val="left"/>
              <w:rPr>
                <w:rFonts w:hint="eastAsia" w:ascii="仿宋" w:hAnsi="仿宋" w:eastAsia="仿宋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>*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>Igniting the Light of Profession—From Core Competencies to Compassionate Care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14:paraId="58BEB11A">
            <w:pPr>
              <w:jc w:val="center"/>
              <w:rPr>
                <w:rFonts w:hint="eastAsia" w:ascii="Calibri" w:hAnsi="Calibri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One hour for each course</w:t>
            </w:r>
          </w:p>
        </w:tc>
        <w:tc>
          <w:tcPr>
            <w:tcW w:w="993" w:type="dxa"/>
            <w:vMerge w:val="restart"/>
            <w:vAlign w:val="center"/>
          </w:tcPr>
          <w:p w14:paraId="205572EE">
            <w:pPr>
              <w:jc w:val="center"/>
              <w:rPr>
                <w:rFonts w:ascii="仿宋" w:hAnsi="仿宋" w:eastAsia="仿宋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Provincial-level offline continuing education class</w:t>
            </w:r>
          </w:p>
        </w:tc>
      </w:tr>
      <w:tr w14:paraId="599C0911">
        <w:tc>
          <w:tcPr>
            <w:tcW w:w="709" w:type="dxa"/>
            <w:vMerge w:val="continue"/>
            <w:vAlign w:val="center"/>
          </w:tcPr>
          <w:p w14:paraId="22882EEC">
            <w:pPr>
              <w:rPr>
                <w:rFonts w:ascii="仿宋" w:hAnsi="仿宋" w:eastAsia="仿宋" w:cs="Times New Roman"/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vAlign w:val="center"/>
          </w:tcPr>
          <w:p w14:paraId="3138362D">
            <w:pPr>
              <w:rPr>
                <w:rFonts w:ascii="Times New Roman" w:hAnsi="Times New Roman" w:eastAsia="微软雅黑" w:cs="Times New Roman"/>
                <w:b/>
                <w:bCs/>
                <w:i/>
                <w:iCs/>
                <w:kern w:val="2"/>
                <w:sz w:val="20"/>
                <w:szCs w:val="20"/>
              </w:rPr>
            </w:pPr>
          </w:p>
        </w:tc>
        <w:tc>
          <w:tcPr>
            <w:tcW w:w="993" w:type="dxa"/>
          </w:tcPr>
          <w:p w14:paraId="57501EC9">
            <w:pPr>
              <w:jc w:val="left"/>
              <w:rPr>
                <w:rFonts w:ascii="仿宋" w:hAnsi="仿宋" w:eastAsia="仿宋" w:cs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b/>
                <w:bCs/>
                <w:kern w:val="0"/>
                <w:sz w:val="18"/>
                <w:szCs w:val="18"/>
              </w:rPr>
              <w:t>Ⅲ-2</w:t>
            </w:r>
          </w:p>
        </w:tc>
        <w:tc>
          <w:tcPr>
            <w:tcW w:w="4110" w:type="dxa"/>
          </w:tcPr>
          <w:p w14:paraId="03C4ADC1">
            <w:pPr>
              <w:jc w:val="left"/>
              <w:rPr>
                <w:rFonts w:hint="eastAsia" w:ascii="仿宋" w:hAnsi="仿宋" w:eastAsia="仿宋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>*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>Cultivating 360° Communication Competence</w:t>
            </w:r>
          </w:p>
        </w:tc>
        <w:tc>
          <w:tcPr>
            <w:tcW w:w="1134" w:type="dxa"/>
            <w:gridSpan w:val="2"/>
            <w:vMerge w:val="continue"/>
            <w:vAlign w:val="center"/>
          </w:tcPr>
          <w:p w14:paraId="00506E95">
            <w:pPr>
              <w:rPr>
                <w:rFonts w:ascii="Calibri" w:hAnsi="Calibri" w:eastAsia="宋体" w:cs="Times New Roman"/>
                <w:kern w:val="2"/>
                <w:sz w:val="18"/>
                <w:szCs w:val="18"/>
              </w:rPr>
            </w:pPr>
          </w:p>
        </w:tc>
        <w:tc>
          <w:tcPr>
            <w:tcW w:w="993" w:type="dxa"/>
            <w:vMerge w:val="continue"/>
            <w:vAlign w:val="center"/>
          </w:tcPr>
          <w:p w14:paraId="412BA669">
            <w:pPr>
              <w:rPr>
                <w:rFonts w:ascii="仿宋" w:hAnsi="仿宋" w:eastAsia="仿宋" w:cs="Times New Roman"/>
                <w:b/>
                <w:bCs/>
                <w:kern w:val="2"/>
                <w:sz w:val="18"/>
                <w:szCs w:val="18"/>
              </w:rPr>
            </w:pPr>
          </w:p>
        </w:tc>
      </w:tr>
      <w:tr w14:paraId="6E8169A6">
        <w:tc>
          <w:tcPr>
            <w:tcW w:w="709" w:type="dxa"/>
            <w:vMerge w:val="continue"/>
            <w:vAlign w:val="center"/>
          </w:tcPr>
          <w:p w14:paraId="596AC9EC">
            <w:pPr>
              <w:rPr>
                <w:rFonts w:ascii="仿宋" w:hAnsi="仿宋" w:eastAsia="仿宋" w:cs="Times New Roman"/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vAlign w:val="center"/>
          </w:tcPr>
          <w:p w14:paraId="6E7D374D">
            <w:pPr>
              <w:rPr>
                <w:rFonts w:ascii="Times New Roman" w:hAnsi="Times New Roman" w:eastAsia="微软雅黑" w:cs="Times New Roman"/>
                <w:b/>
                <w:bCs/>
                <w:i/>
                <w:iCs/>
                <w:kern w:val="2"/>
                <w:sz w:val="20"/>
                <w:szCs w:val="20"/>
              </w:rPr>
            </w:pPr>
          </w:p>
        </w:tc>
        <w:tc>
          <w:tcPr>
            <w:tcW w:w="993" w:type="dxa"/>
          </w:tcPr>
          <w:p w14:paraId="4BCD4970">
            <w:pPr>
              <w:jc w:val="left"/>
              <w:rPr>
                <w:rFonts w:ascii="仿宋" w:hAnsi="仿宋" w:eastAsia="仿宋" w:cs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b/>
                <w:bCs/>
                <w:kern w:val="0"/>
                <w:sz w:val="18"/>
                <w:szCs w:val="18"/>
              </w:rPr>
              <w:t>Ⅲ-3</w:t>
            </w:r>
          </w:p>
        </w:tc>
        <w:tc>
          <w:tcPr>
            <w:tcW w:w="4110" w:type="dxa"/>
          </w:tcPr>
          <w:p w14:paraId="409E0D63">
            <w:pPr>
              <w:jc w:val="left"/>
              <w:rPr>
                <w:rFonts w:hint="eastAsia" w:ascii="仿宋" w:hAnsi="仿宋" w:eastAsia="仿宋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>*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>Tips for Time and Stress Management</w:t>
            </w:r>
          </w:p>
        </w:tc>
        <w:tc>
          <w:tcPr>
            <w:tcW w:w="1134" w:type="dxa"/>
            <w:gridSpan w:val="2"/>
            <w:vMerge w:val="continue"/>
            <w:vAlign w:val="center"/>
          </w:tcPr>
          <w:p w14:paraId="2D7D9FD6">
            <w:pPr>
              <w:rPr>
                <w:rFonts w:ascii="Calibri" w:hAnsi="Calibri" w:eastAsia="宋体" w:cs="Times New Roman"/>
                <w:kern w:val="2"/>
                <w:sz w:val="18"/>
                <w:szCs w:val="18"/>
              </w:rPr>
            </w:pPr>
          </w:p>
        </w:tc>
        <w:tc>
          <w:tcPr>
            <w:tcW w:w="993" w:type="dxa"/>
            <w:vMerge w:val="continue"/>
            <w:vAlign w:val="center"/>
          </w:tcPr>
          <w:p w14:paraId="37BA92FB">
            <w:pPr>
              <w:rPr>
                <w:rFonts w:ascii="仿宋" w:hAnsi="仿宋" w:eastAsia="仿宋" w:cs="Times New Roman"/>
                <w:b/>
                <w:bCs/>
                <w:kern w:val="2"/>
                <w:sz w:val="18"/>
                <w:szCs w:val="18"/>
              </w:rPr>
            </w:pPr>
          </w:p>
        </w:tc>
      </w:tr>
      <w:tr w14:paraId="6E8B766F">
        <w:tc>
          <w:tcPr>
            <w:tcW w:w="709" w:type="dxa"/>
            <w:vMerge w:val="continue"/>
            <w:vAlign w:val="center"/>
          </w:tcPr>
          <w:p w14:paraId="7489F2CE">
            <w:pPr>
              <w:rPr>
                <w:rFonts w:ascii="仿宋" w:hAnsi="仿宋" w:eastAsia="仿宋" w:cs="Times New Roman"/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vAlign w:val="center"/>
          </w:tcPr>
          <w:p w14:paraId="1EA74605">
            <w:pPr>
              <w:rPr>
                <w:rFonts w:ascii="Times New Roman" w:hAnsi="Times New Roman" w:eastAsia="微软雅黑" w:cs="Times New Roman"/>
                <w:b/>
                <w:bCs/>
                <w:i/>
                <w:iCs/>
                <w:kern w:val="2"/>
                <w:sz w:val="20"/>
                <w:szCs w:val="20"/>
              </w:rPr>
            </w:pPr>
          </w:p>
        </w:tc>
        <w:tc>
          <w:tcPr>
            <w:tcW w:w="993" w:type="dxa"/>
          </w:tcPr>
          <w:p w14:paraId="6090EDFE">
            <w:pPr>
              <w:jc w:val="left"/>
              <w:rPr>
                <w:rFonts w:ascii="仿宋" w:hAnsi="仿宋" w:eastAsia="仿宋" w:cs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b/>
                <w:bCs/>
                <w:kern w:val="0"/>
                <w:sz w:val="18"/>
                <w:szCs w:val="18"/>
              </w:rPr>
              <w:t>Ⅲ-4</w:t>
            </w:r>
          </w:p>
        </w:tc>
        <w:tc>
          <w:tcPr>
            <w:tcW w:w="4110" w:type="dxa"/>
          </w:tcPr>
          <w:p w14:paraId="1DE567B2">
            <w:pPr>
              <w:jc w:val="left"/>
              <w:rPr>
                <w:rFonts w:hint="eastAsia" w:ascii="仿宋" w:hAnsi="仿宋" w:eastAsia="仿宋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>*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>Back to the Essentials: Nursing Clinical Thinking</w:t>
            </w:r>
          </w:p>
        </w:tc>
        <w:tc>
          <w:tcPr>
            <w:tcW w:w="1134" w:type="dxa"/>
            <w:gridSpan w:val="2"/>
            <w:vMerge w:val="continue"/>
            <w:vAlign w:val="center"/>
          </w:tcPr>
          <w:p w14:paraId="5046A11E">
            <w:pPr>
              <w:rPr>
                <w:rFonts w:ascii="Calibri" w:hAnsi="Calibri" w:eastAsia="宋体" w:cs="Times New Roman"/>
                <w:kern w:val="2"/>
                <w:sz w:val="18"/>
                <w:szCs w:val="18"/>
              </w:rPr>
            </w:pPr>
          </w:p>
        </w:tc>
        <w:tc>
          <w:tcPr>
            <w:tcW w:w="993" w:type="dxa"/>
            <w:vMerge w:val="continue"/>
            <w:vAlign w:val="center"/>
          </w:tcPr>
          <w:p w14:paraId="62CD10E6">
            <w:pPr>
              <w:rPr>
                <w:rFonts w:ascii="仿宋" w:hAnsi="仿宋" w:eastAsia="仿宋" w:cs="Times New Roman"/>
                <w:b/>
                <w:bCs/>
                <w:kern w:val="2"/>
                <w:sz w:val="18"/>
                <w:szCs w:val="18"/>
              </w:rPr>
            </w:pPr>
          </w:p>
        </w:tc>
      </w:tr>
      <w:tr w14:paraId="3B1227EB">
        <w:tc>
          <w:tcPr>
            <w:tcW w:w="709" w:type="dxa"/>
            <w:vMerge w:val="continue"/>
            <w:vAlign w:val="center"/>
          </w:tcPr>
          <w:p w14:paraId="147AD45B">
            <w:pPr>
              <w:rPr>
                <w:rFonts w:ascii="仿宋" w:hAnsi="仿宋" w:eastAsia="仿宋" w:cs="Times New Roman"/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vAlign w:val="center"/>
          </w:tcPr>
          <w:p w14:paraId="2C145A88">
            <w:pPr>
              <w:rPr>
                <w:rFonts w:ascii="Times New Roman" w:hAnsi="Times New Roman" w:eastAsia="微软雅黑" w:cs="Times New Roman"/>
                <w:b/>
                <w:bCs/>
                <w:i/>
                <w:iCs/>
                <w:kern w:val="2"/>
                <w:sz w:val="20"/>
                <w:szCs w:val="20"/>
              </w:rPr>
            </w:pPr>
          </w:p>
        </w:tc>
        <w:tc>
          <w:tcPr>
            <w:tcW w:w="993" w:type="dxa"/>
          </w:tcPr>
          <w:p w14:paraId="0C1C31E5">
            <w:pPr>
              <w:jc w:val="left"/>
              <w:rPr>
                <w:rFonts w:ascii="仿宋" w:hAnsi="仿宋" w:eastAsia="仿宋" w:cs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b/>
                <w:bCs/>
                <w:kern w:val="0"/>
                <w:sz w:val="18"/>
                <w:szCs w:val="18"/>
              </w:rPr>
              <w:t>Ⅲ-5</w:t>
            </w:r>
          </w:p>
        </w:tc>
        <w:tc>
          <w:tcPr>
            <w:tcW w:w="4110" w:type="dxa"/>
          </w:tcPr>
          <w:p w14:paraId="6885E443">
            <w:pPr>
              <w:jc w:val="left"/>
              <w:rPr>
                <w:rFonts w:hint="eastAsia" w:ascii="Times New Roman" w:hAnsi="Times New Roman" w:eastAsia="仿宋" w:cs="Times New Roman"/>
                <w:b/>
                <w:bCs/>
                <w:i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i/>
                <w:iCs/>
                <w:kern w:val="0"/>
                <w:sz w:val="20"/>
                <w:szCs w:val="20"/>
              </w:rPr>
              <w:t>*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>Complete at least 3 hours of volunteer service at a hospital or in the community</w:t>
            </w:r>
          </w:p>
        </w:tc>
        <w:tc>
          <w:tcPr>
            <w:tcW w:w="2127" w:type="dxa"/>
            <w:gridSpan w:val="3"/>
          </w:tcPr>
          <w:p w14:paraId="279A195F">
            <w:pPr>
              <w:jc w:val="left"/>
              <w:rPr>
                <w:rFonts w:hint="eastAsia" w:ascii="仿宋" w:hAnsi="仿宋" w:eastAsia="仿宋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18"/>
                <w:szCs w:val="20"/>
              </w:rPr>
              <w:t xml:space="preserve">Same </w:t>
            </w: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20"/>
              </w:rPr>
              <w:t xml:space="preserve">as </w:t>
            </w:r>
            <w:r>
              <w:rPr>
                <w:rFonts w:ascii="Times New Roman" w:hAnsi="Times New Roman" w:eastAsia="Times New Roman" w:cs="Times New Roman"/>
                <w:kern w:val="0"/>
                <w:sz w:val="18"/>
                <w:szCs w:val="20"/>
              </w:rPr>
              <w:t>Skill M</w:t>
            </w: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20"/>
              </w:rPr>
              <w:t>odule</w:t>
            </w:r>
          </w:p>
        </w:tc>
      </w:tr>
      <w:tr w14:paraId="3B575FB7">
        <w:tc>
          <w:tcPr>
            <w:tcW w:w="709" w:type="dxa"/>
            <w:vMerge w:val="continue"/>
            <w:vAlign w:val="center"/>
          </w:tcPr>
          <w:p w14:paraId="5D3E2EB4">
            <w:pPr>
              <w:rPr>
                <w:rFonts w:ascii="仿宋" w:hAnsi="仿宋" w:eastAsia="仿宋" w:cs="Times New Roman"/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</w:tcPr>
          <w:p w14:paraId="700B8C35">
            <w:pPr>
              <w:jc w:val="left"/>
              <w:rPr>
                <w:rFonts w:ascii="Times New Roman" w:hAnsi="Times New Roman" w:eastAsia="微软雅黑" w:cs="Times New Roman"/>
                <w:b/>
                <w:bCs/>
                <w:i/>
                <w:iCs/>
                <w:kern w:val="2"/>
                <w:sz w:val="20"/>
                <w:szCs w:val="20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i/>
                <w:iCs/>
                <w:kern w:val="0"/>
                <w:sz w:val="20"/>
                <w:szCs w:val="20"/>
              </w:rPr>
              <w:t>*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>Motivation</w:t>
            </w:r>
          </w:p>
        </w:tc>
        <w:tc>
          <w:tcPr>
            <w:tcW w:w="993" w:type="dxa"/>
          </w:tcPr>
          <w:p w14:paraId="79A9E361">
            <w:pPr>
              <w:jc w:val="left"/>
              <w:rPr>
                <w:rFonts w:hint="eastAsia" w:ascii="仿宋" w:hAnsi="仿宋" w:eastAsia="仿宋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b/>
                <w:bCs/>
                <w:kern w:val="0"/>
                <w:sz w:val="18"/>
                <w:szCs w:val="18"/>
              </w:rPr>
              <w:t>Ⅳ-1</w:t>
            </w:r>
          </w:p>
        </w:tc>
        <w:tc>
          <w:tcPr>
            <w:tcW w:w="4110" w:type="dxa"/>
          </w:tcPr>
          <w:p w14:paraId="323C69F8">
            <w:pPr>
              <w:jc w:val="left"/>
              <w:rPr>
                <w:rFonts w:hint="eastAsia" w:ascii="仿宋" w:hAnsi="仿宋" w:eastAsia="仿宋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>*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>"Nurturing Growth, Encountering the Future" — A Brief Discussion on the Career Development Path of Nurses</w:t>
            </w:r>
          </w:p>
        </w:tc>
        <w:tc>
          <w:tcPr>
            <w:tcW w:w="1134" w:type="dxa"/>
            <w:gridSpan w:val="2"/>
            <w:vMerge w:val="restart"/>
          </w:tcPr>
          <w:p w14:paraId="3FA665E2">
            <w:pPr>
              <w:jc w:val="left"/>
              <w:rPr>
                <w:rFonts w:hint="eastAsia" w:ascii="Calibri" w:hAnsi="Calibri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One hour for each course</w:t>
            </w:r>
          </w:p>
        </w:tc>
        <w:tc>
          <w:tcPr>
            <w:tcW w:w="993" w:type="dxa"/>
            <w:vMerge w:val="restart"/>
          </w:tcPr>
          <w:p w14:paraId="38579A79">
            <w:pPr>
              <w:jc w:val="left"/>
              <w:rPr>
                <w:rFonts w:hint="eastAsia" w:ascii="仿宋" w:hAnsi="仿宋" w:eastAsia="仿宋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Online delivery</w:t>
            </w:r>
          </w:p>
        </w:tc>
      </w:tr>
      <w:tr w14:paraId="3EFBD161">
        <w:tc>
          <w:tcPr>
            <w:tcW w:w="709" w:type="dxa"/>
            <w:vMerge w:val="continue"/>
            <w:vAlign w:val="center"/>
          </w:tcPr>
          <w:p w14:paraId="1E4C0426">
            <w:pPr>
              <w:rPr>
                <w:rFonts w:ascii="仿宋" w:hAnsi="仿宋" w:eastAsia="仿宋" w:cs="Times New Roman"/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vAlign w:val="center"/>
          </w:tcPr>
          <w:p w14:paraId="7A4C3640">
            <w:pPr>
              <w:rPr>
                <w:rFonts w:ascii="Times New Roman" w:hAnsi="Times New Roman" w:eastAsia="微软雅黑" w:cs="Times New Roman"/>
                <w:b/>
                <w:bCs/>
                <w:i/>
                <w:iCs/>
                <w:kern w:val="2"/>
                <w:sz w:val="20"/>
                <w:szCs w:val="20"/>
              </w:rPr>
            </w:pPr>
          </w:p>
        </w:tc>
        <w:tc>
          <w:tcPr>
            <w:tcW w:w="993" w:type="dxa"/>
          </w:tcPr>
          <w:p w14:paraId="1D343F77">
            <w:pPr>
              <w:jc w:val="left"/>
              <w:rPr>
                <w:rFonts w:ascii="仿宋" w:hAnsi="仿宋" w:eastAsia="仿宋" w:cs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b/>
                <w:bCs/>
                <w:kern w:val="0"/>
                <w:sz w:val="18"/>
                <w:szCs w:val="18"/>
              </w:rPr>
              <w:t>Ⅳ-2</w:t>
            </w:r>
          </w:p>
        </w:tc>
        <w:tc>
          <w:tcPr>
            <w:tcW w:w="4110" w:type="dxa"/>
          </w:tcPr>
          <w:p w14:paraId="35D936E6">
            <w:pPr>
              <w:jc w:val="left"/>
              <w:rPr>
                <w:rFonts w:hint="eastAsia" w:ascii="仿宋" w:hAnsi="仿宋" w:eastAsia="仿宋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>*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>Love on the Left, Care on the Right — Narrative Nursing Illuminates the Light of Hope</w:t>
            </w:r>
          </w:p>
        </w:tc>
        <w:tc>
          <w:tcPr>
            <w:tcW w:w="1134" w:type="dxa"/>
            <w:gridSpan w:val="2"/>
            <w:vMerge w:val="continue"/>
            <w:vAlign w:val="center"/>
          </w:tcPr>
          <w:p w14:paraId="31D5B079">
            <w:pPr>
              <w:rPr>
                <w:rFonts w:ascii="仿宋" w:hAnsi="仿宋" w:eastAsia="仿宋" w:cs="Times New Roman"/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993" w:type="dxa"/>
            <w:vMerge w:val="continue"/>
            <w:vAlign w:val="center"/>
          </w:tcPr>
          <w:p w14:paraId="2CE05A36">
            <w:pPr>
              <w:rPr>
                <w:rFonts w:ascii="仿宋" w:hAnsi="仿宋" w:eastAsia="仿宋" w:cs="Times New Roman"/>
                <w:b/>
                <w:bCs/>
                <w:kern w:val="2"/>
                <w:sz w:val="18"/>
                <w:szCs w:val="18"/>
              </w:rPr>
            </w:pPr>
          </w:p>
        </w:tc>
      </w:tr>
      <w:tr w14:paraId="79EE0A10">
        <w:tc>
          <w:tcPr>
            <w:tcW w:w="709" w:type="dxa"/>
            <w:vMerge w:val="continue"/>
            <w:vAlign w:val="center"/>
          </w:tcPr>
          <w:p w14:paraId="1250334B">
            <w:pPr>
              <w:rPr>
                <w:rFonts w:ascii="仿宋" w:hAnsi="仿宋" w:eastAsia="仿宋" w:cs="Times New Roman"/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</w:tcPr>
          <w:p w14:paraId="19BD0093">
            <w:pPr>
              <w:jc w:val="left"/>
              <w:rPr>
                <w:rFonts w:ascii="Times New Roman" w:hAnsi="Times New Roman" w:eastAsia="仿宋" w:cs="Times New Roman"/>
                <w:b/>
                <w:bCs/>
                <w:i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i/>
                <w:iCs/>
                <w:kern w:val="0"/>
                <w:sz w:val="20"/>
                <w:szCs w:val="20"/>
              </w:rPr>
              <w:t>*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>Social Role</w:t>
            </w:r>
          </w:p>
        </w:tc>
        <w:tc>
          <w:tcPr>
            <w:tcW w:w="993" w:type="dxa"/>
          </w:tcPr>
          <w:p w14:paraId="335AD860">
            <w:pPr>
              <w:jc w:val="left"/>
              <w:rPr>
                <w:rFonts w:hint="eastAsia" w:ascii="仿宋" w:hAnsi="仿宋" w:eastAsia="仿宋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b/>
                <w:bCs/>
                <w:kern w:val="0"/>
                <w:sz w:val="18"/>
                <w:szCs w:val="18"/>
              </w:rPr>
              <w:t>Ⅴ-1</w:t>
            </w:r>
          </w:p>
        </w:tc>
        <w:tc>
          <w:tcPr>
            <w:tcW w:w="4110" w:type="dxa"/>
          </w:tcPr>
          <w:p w14:paraId="19C1E6E6">
            <w:pPr>
              <w:jc w:val="left"/>
              <w:rPr>
                <w:rFonts w:hint="eastAsia" w:ascii="仿宋" w:hAnsi="仿宋" w:eastAsia="仿宋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>*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>Participate in at least one interdisciplinary nursing consultation at the hospital level or above</w:t>
            </w:r>
          </w:p>
        </w:tc>
        <w:tc>
          <w:tcPr>
            <w:tcW w:w="2127" w:type="dxa"/>
            <w:gridSpan w:val="3"/>
            <w:vMerge w:val="restart"/>
            <w:vAlign w:val="center"/>
          </w:tcPr>
          <w:p w14:paraId="491E41DE">
            <w:pPr>
              <w:rPr>
                <w:rFonts w:hint="eastAsia" w:ascii="仿宋" w:hAnsi="仿宋" w:eastAsia="仿宋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18"/>
                <w:szCs w:val="20"/>
              </w:rPr>
              <w:t xml:space="preserve">Same </w:t>
            </w: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20"/>
              </w:rPr>
              <w:t xml:space="preserve">as </w:t>
            </w:r>
            <w:r>
              <w:rPr>
                <w:rFonts w:ascii="Times New Roman" w:hAnsi="Times New Roman" w:eastAsia="Times New Roman" w:cs="Times New Roman"/>
                <w:kern w:val="0"/>
                <w:sz w:val="18"/>
                <w:szCs w:val="20"/>
              </w:rPr>
              <w:t>Skill M</w:t>
            </w: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20"/>
              </w:rPr>
              <w:t>odule</w:t>
            </w:r>
          </w:p>
        </w:tc>
      </w:tr>
      <w:tr w14:paraId="05A74159">
        <w:trPr>
          <w:trHeight w:val="297" w:hRule="atLeast"/>
        </w:trPr>
        <w:tc>
          <w:tcPr>
            <w:tcW w:w="709" w:type="dxa"/>
            <w:vMerge w:val="continue"/>
            <w:vAlign w:val="center"/>
          </w:tcPr>
          <w:p w14:paraId="4D08F5F2">
            <w:pPr>
              <w:rPr>
                <w:rFonts w:ascii="仿宋" w:hAnsi="仿宋" w:eastAsia="仿宋" w:cs="Times New Roman"/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vAlign w:val="center"/>
          </w:tcPr>
          <w:p w14:paraId="357A5949">
            <w:pPr>
              <w:rPr>
                <w:rFonts w:ascii="Times New Roman" w:hAnsi="Times New Roman" w:eastAsia="仿宋" w:cs="Times New Roman"/>
                <w:b/>
                <w:bCs/>
                <w:i/>
                <w:iCs/>
                <w:kern w:val="2"/>
                <w:sz w:val="20"/>
                <w:szCs w:val="20"/>
              </w:rPr>
            </w:pPr>
          </w:p>
        </w:tc>
        <w:tc>
          <w:tcPr>
            <w:tcW w:w="993" w:type="dxa"/>
          </w:tcPr>
          <w:p w14:paraId="62ECA58B">
            <w:pPr>
              <w:jc w:val="left"/>
              <w:rPr>
                <w:rFonts w:ascii="仿宋" w:hAnsi="仿宋" w:eastAsia="仿宋" w:cs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b/>
                <w:bCs/>
                <w:kern w:val="0"/>
                <w:sz w:val="18"/>
                <w:szCs w:val="18"/>
              </w:rPr>
              <w:t>Ⅴ-2</w:t>
            </w:r>
          </w:p>
        </w:tc>
        <w:tc>
          <w:tcPr>
            <w:tcW w:w="4110" w:type="dxa"/>
          </w:tcPr>
          <w:p w14:paraId="7B16C113">
            <w:pPr>
              <w:jc w:val="left"/>
              <w:rPr>
                <w:rFonts w:hint="eastAsia" w:ascii="仿宋" w:hAnsi="仿宋" w:eastAsia="仿宋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>*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>Participate in at least one free clinic, community activity, or grassroots outreach project</w:t>
            </w:r>
          </w:p>
        </w:tc>
        <w:tc>
          <w:tcPr>
            <w:tcW w:w="2127" w:type="dxa"/>
            <w:gridSpan w:val="3"/>
            <w:vMerge w:val="continue"/>
            <w:vAlign w:val="center"/>
          </w:tcPr>
          <w:p w14:paraId="77EF3697">
            <w:pPr>
              <w:rPr>
                <w:rFonts w:ascii="仿宋" w:hAnsi="仿宋" w:eastAsia="仿宋" w:cs="Times New Roman"/>
                <w:b/>
                <w:bCs/>
                <w:kern w:val="2"/>
                <w:sz w:val="18"/>
                <w:szCs w:val="18"/>
              </w:rPr>
            </w:pPr>
          </w:p>
        </w:tc>
      </w:tr>
      <w:tr w14:paraId="2EAE3F36">
        <w:tc>
          <w:tcPr>
            <w:tcW w:w="709" w:type="dxa"/>
            <w:vMerge w:val="continue"/>
            <w:vAlign w:val="center"/>
          </w:tcPr>
          <w:p w14:paraId="1D5D6FEE">
            <w:pPr>
              <w:rPr>
                <w:rFonts w:ascii="仿宋" w:hAnsi="仿宋" w:eastAsia="仿宋" w:cs="Times New Roman"/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</w:tcPr>
          <w:p w14:paraId="37F4ABDF">
            <w:pPr>
              <w:jc w:val="left"/>
              <w:rPr>
                <w:rFonts w:ascii="Times New Roman" w:hAnsi="Times New Roman" w:eastAsia="仿宋" w:cs="Times New Roman"/>
                <w:b/>
                <w:bCs/>
                <w:i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i/>
                <w:iCs/>
                <w:kern w:val="0"/>
                <w:sz w:val="20"/>
                <w:szCs w:val="20"/>
              </w:rPr>
              <w:t>*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>Self</w:t>
            </w:r>
            <w:r>
              <w:rPr>
                <w:rFonts w:hint="eastAsia"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>-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>concept</w:t>
            </w:r>
          </w:p>
        </w:tc>
        <w:tc>
          <w:tcPr>
            <w:tcW w:w="993" w:type="dxa"/>
          </w:tcPr>
          <w:p w14:paraId="6EBA7EDB">
            <w:pPr>
              <w:jc w:val="left"/>
              <w:rPr>
                <w:rFonts w:hint="eastAsia" w:ascii="仿宋" w:hAnsi="仿宋" w:eastAsia="仿宋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b/>
                <w:bCs/>
                <w:kern w:val="0"/>
                <w:sz w:val="18"/>
                <w:szCs w:val="18"/>
              </w:rPr>
              <w:t>Ⅵ-1</w:t>
            </w:r>
          </w:p>
        </w:tc>
        <w:tc>
          <w:tcPr>
            <w:tcW w:w="4110" w:type="dxa"/>
          </w:tcPr>
          <w:p w14:paraId="36C71827">
            <w:pPr>
              <w:jc w:val="left"/>
              <w:rPr>
                <w:rFonts w:hint="eastAsia" w:ascii="仿宋" w:hAnsi="仿宋" w:eastAsia="仿宋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>*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>The Key Role of Specialist Nurses in Peritoneal Dialysis Patients' Discharge Preparation and Adaptation to Home Dialysis</w:t>
            </w:r>
          </w:p>
        </w:tc>
        <w:tc>
          <w:tcPr>
            <w:tcW w:w="992" w:type="dxa"/>
            <w:vMerge w:val="restart"/>
          </w:tcPr>
          <w:p w14:paraId="743740BD">
            <w:pPr>
              <w:jc w:val="left"/>
              <w:rPr>
                <w:rFonts w:hint="eastAsia" w:ascii="仿宋" w:hAnsi="仿宋" w:eastAsia="仿宋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One hour for each course</w:t>
            </w:r>
          </w:p>
        </w:tc>
        <w:tc>
          <w:tcPr>
            <w:tcW w:w="1135" w:type="dxa"/>
            <w:gridSpan w:val="2"/>
            <w:vMerge w:val="restart"/>
          </w:tcPr>
          <w:p w14:paraId="7EC2A12E">
            <w:pPr>
              <w:jc w:val="left"/>
              <w:rPr>
                <w:rFonts w:hint="eastAsia" w:ascii="仿宋" w:hAnsi="仿宋" w:eastAsia="仿宋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Provincial-level offline continuing education class</w:t>
            </w:r>
          </w:p>
        </w:tc>
      </w:tr>
      <w:tr w14:paraId="62792340">
        <w:tc>
          <w:tcPr>
            <w:tcW w:w="709" w:type="dxa"/>
            <w:vMerge w:val="continue"/>
            <w:vAlign w:val="center"/>
          </w:tcPr>
          <w:p w14:paraId="1BB02287">
            <w:pPr>
              <w:rPr>
                <w:rFonts w:ascii="仿宋" w:hAnsi="仿宋" w:eastAsia="仿宋" w:cs="Times New Roman"/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vAlign w:val="center"/>
          </w:tcPr>
          <w:p w14:paraId="4E9808A5">
            <w:pPr>
              <w:rPr>
                <w:rFonts w:ascii="仿宋" w:hAnsi="仿宋" w:eastAsia="仿宋" w:cs="Times New Roman"/>
                <w:b/>
                <w:bCs/>
                <w:i/>
                <w:iCs/>
                <w:kern w:val="2"/>
                <w:sz w:val="18"/>
                <w:szCs w:val="18"/>
              </w:rPr>
            </w:pPr>
          </w:p>
        </w:tc>
        <w:tc>
          <w:tcPr>
            <w:tcW w:w="993" w:type="dxa"/>
          </w:tcPr>
          <w:p w14:paraId="754E4174">
            <w:pPr>
              <w:jc w:val="left"/>
              <w:rPr>
                <w:rFonts w:hint="eastAsia" w:ascii="仿宋" w:hAnsi="仿宋" w:eastAsia="仿宋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b/>
                <w:bCs/>
                <w:kern w:val="0"/>
                <w:sz w:val="18"/>
                <w:szCs w:val="18"/>
              </w:rPr>
              <w:t>Ⅵ-2</w:t>
            </w:r>
          </w:p>
        </w:tc>
        <w:tc>
          <w:tcPr>
            <w:tcW w:w="4110" w:type="dxa"/>
          </w:tcPr>
          <w:p w14:paraId="70C4E549">
            <w:pPr>
              <w:jc w:val="left"/>
              <w:rPr>
                <w:rFonts w:hint="eastAsia" w:ascii="仿宋" w:hAnsi="仿宋" w:eastAsia="仿宋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>*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>The Role of Peritoneal Dialysis Specialist Nurses in Improving Patient Outcomes</w:t>
            </w:r>
          </w:p>
        </w:tc>
        <w:tc>
          <w:tcPr>
            <w:tcW w:w="992" w:type="dxa"/>
            <w:vMerge w:val="continue"/>
            <w:vAlign w:val="center"/>
          </w:tcPr>
          <w:p w14:paraId="6D168939">
            <w:pPr>
              <w:rPr>
                <w:rFonts w:ascii="仿宋" w:hAnsi="仿宋" w:eastAsia="仿宋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 w:val="continue"/>
            <w:vAlign w:val="center"/>
          </w:tcPr>
          <w:p w14:paraId="106F2A29">
            <w:pPr>
              <w:rPr>
                <w:rFonts w:ascii="仿宋" w:hAnsi="仿宋" w:eastAsia="仿宋" w:cs="Times New Roman"/>
                <w:b/>
                <w:bCs/>
                <w:kern w:val="2"/>
                <w:sz w:val="18"/>
                <w:szCs w:val="18"/>
              </w:rPr>
            </w:pPr>
          </w:p>
        </w:tc>
      </w:tr>
      <w:tr w14:paraId="31F43013">
        <w:tc>
          <w:tcPr>
            <w:tcW w:w="709" w:type="dxa"/>
            <w:vMerge w:val="continue"/>
            <w:vAlign w:val="center"/>
          </w:tcPr>
          <w:p w14:paraId="1CAD9696">
            <w:pPr>
              <w:rPr>
                <w:rFonts w:ascii="仿宋" w:hAnsi="仿宋" w:eastAsia="仿宋" w:cs="Times New Roman"/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vAlign w:val="center"/>
          </w:tcPr>
          <w:p w14:paraId="36DFF60F">
            <w:pPr>
              <w:rPr>
                <w:rFonts w:ascii="仿宋" w:hAnsi="仿宋" w:eastAsia="仿宋" w:cs="Times New Roman"/>
                <w:b/>
                <w:bCs/>
                <w:i/>
                <w:iCs/>
                <w:kern w:val="2"/>
                <w:sz w:val="18"/>
                <w:szCs w:val="18"/>
              </w:rPr>
            </w:pPr>
          </w:p>
        </w:tc>
        <w:tc>
          <w:tcPr>
            <w:tcW w:w="993" w:type="dxa"/>
          </w:tcPr>
          <w:p w14:paraId="09C94CAB">
            <w:pPr>
              <w:jc w:val="left"/>
              <w:rPr>
                <w:rFonts w:hint="eastAsia" w:ascii="仿宋" w:hAnsi="仿宋" w:eastAsia="仿宋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b/>
                <w:bCs/>
                <w:kern w:val="0"/>
                <w:sz w:val="18"/>
                <w:szCs w:val="18"/>
              </w:rPr>
              <w:t>Ⅵ-3</w:t>
            </w:r>
          </w:p>
        </w:tc>
        <w:tc>
          <w:tcPr>
            <w:tcW w:w="4110" w:type="dxa"/>
          </w:tcPr>
          <w:p w14:paraId="57CEC560">
            <w:pPr>
              <w:jc w:val="left"/>
              <w:rPr>
                <w:rFonts w:hint="eastAsia" w:ascii="仿宋" w:hAnsi="仿宋" w:eastAsia="仿宋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>*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>Research Integrity and Literacy</w:t>
            </w:r>
          </w:p>
        </w:tc>
        <w:tc>
          <w:tcPr>
            <w:tcW w:w="992" w:type="dxa"/>
            <w:vMerge w:val="continue"/>
            <w:vAlign w:val="center"/>
          </w:tcPr>
          <w:p w14:paraId="2FF903F2">
            <w:pPr>
              <w:rPr>
                <w:rFonts w:ascii="仿宋" w:hAnsi="仿宋" w:eastAsia="仿宋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Merge w:val="continue"/>
            <w:vAlign w:val="center"/>
          </w:tcPr>
          <w:p w14:paraId="2B7073B8">
            <w:pPr>
              <w:rPr>
                <w:rFonts w:ascii="仿宋" w:hAnsi="仿宋" w:eastAsia="仿宋" w:cs="Times New Roman"/>
                <w:b/>
                <w:bCs/>
                <w:kern w:val="2"/>
                <w:sz w:val="18"/>
                <w:szCs w:val="18"/>
              </w:rPr>
            </w:pPr>
          </w:p>
        </w:tc>
      </w:tr>
    </w:tbl>
    <w:p w14:paraId="0C850544">
      <w:r>
        <w:rPr>
          <w:rFonts w:ascii="Times New Roman" w:hAnsi="Times New Roman" w:cs="Times New Roman"/>
          <w:sz w:val="20"/>
          <w:szCs w:val="20"/>
        </w:rPr>
        <w:t>N</w:t>
      </w:r>
      <w:r>
        <w:rPr>
          <w:rFonts w:hint="eastAsia" w:ascii="Times New Roman" w:hAnsi="Times New Roman" w:cs="Times New Roman"/>
          <w:sz w:val="20"/>
          <w:szCs w:val="20"/>
        </w:rPr>
        <w:t>ote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hint="eastAsia" w:ascii="Times New Roman" w:hAnsi="Times New Roman" w:cs="Times New Roman"/>
          <w:sz w:val="20"/>
          <w:szCs w:val="20"/>
        </w:rPr>
        <w:t xml:space="preserve">* </w:t>
      </w:r>
      <w:r>
        <w:rPr>
          <w:rFonts w:ascii="Times New Roman" w:hAnsi="Times New Roman" w:cs="Times New Roman"/>
          <w:sz w:val="20"/>
          <w:szCs w:val="20"/>
        </w:rPr>
        <w:t>The italicized items are not covered in the first training. One training period is 6 to 12 months.</w:t>
      </w:r>
      <w:r>
        <w:t xml:space="preserve"> </w:t>
      </w:r>
      <w:r>
        <w:rPr>
          <w:rFonts w:ascii="Times New Roman" w:hAnsi="Times New Roman" w:cs="Times New Roman"/>
          <w:sz w:val="20"/>
          <w:szCs w:val="22"/>
        </w:rPr>
        <w:t>The usage standards: at least half of the nurse's working hours are dedicated to peritoneal dialysis-related specialized nursing, teaching, research, and management, and they have been doing so for at least 3 years.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Times New Roman (标题 CS)">
    <w:altName w:val="Times New Roman"/>
    <w:panose1 w:val="020B0604020202020204"/>
    <w:charset w:val="86"/>
    <w:family w:val="roman"/>
    <w:pitch w:val="default"/>
    <w:sig w:usb0="00000000" w:usb1="00000000" w:usb2="00000000" w:usb3="00000000" w:csb0="0000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FangSong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微软雅黑">
    <w:altName w:val="汉仪旗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等线 Light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8AF"/>
    <w:rsid w:val="00023CC9"/>
    <w:rsid w:val="00023F36"/>
    <w:rsid w:val="00060ED2"/>
    <w:rsid w:val="00062A4E"/>
    <w:rsid w:val="00066EB4"/>
    <w:rsid w:val="000C2A36"/>
    <w:rsid w:val="000C3FC3"/>
    <w:rsid w:val="000E1266"/>
    <w:rsid w:val="000F7A14"/>
    <w:rsid w:val="001003F7"/>
    <w:rsid w:val="00106C8D"/>
    <w:rsid w:val="00136CE1"/>
    <w:rsid w:val="001431B5"/>
    <w:rsid w:val="001B459D"/>
    <w:rsid w:val="002132D3"/>
    <w:rsid w:val="00250A6C"/>
    <w:rsid w:val="00256388"/>
    <w:rsid w:val="00274ED6"/>
    <w:rsid w:val="002A02E7"/>
    <w:rsid w:val="002C3A37"/>
    <w:rsid w:val="002D1F8D"/>
    <w:rsid w:val="00305F5A"/>
    <w:rsid w:val="00310E7A"/>
    <w:rsid w:val="0033063D"/>
    <w:rsid w:val="00397C5E"/>
    <w:rsid w:val="003D07A9"/>
    <w:rsid w:val="004235E8"/>
    <w:rsid w:val="00440FFE"/>
    <w:rsid w:val="004D67D3"/>
    <w:rsid w:val="00501E7A"/>
    <w:rsid w:val="005F0B73"/>
    <w:rsid w:val="006834A5"/>
    <w:rsid w:val="006A6C6F"/>
    <w:rsid w:val="006A775B"/>
    <w:rsid w:val="007215C4"/>
    <w:rsid w:val="00785E24"/>
    <w:rsid w:val="007A0BA0"/>
    <w:rsid w:val="00844DDC"/>
    <w:rsid w:val="00862002"/>
    <w:rsid w:val="008777E9"/>
    <w:rsid w:val="00881D0E"/>
    <w:rsid w:val="009536AF"/>
    <w:rsid w:val="0096037F"/>
    <w:rsid w:val="00984100"/>
    <w:rsid w:val="00997CA3"/>
    <w:rsid w:val="009A6D2E"/>
    <w:rsid w:val="009D63FD"/>
    <w:rsid w:val="009F2D6D"/>
    <w:rsid w:val="009F34EF"/>
    <w:rsid w:val="009F388A"/>
    <w:rsid w:val="00A21080"/>
    <w:rsid w:val="00A31AB2"/>
    <w:rsid w:val="00A67B4E"/>
    <w:rsid w:val="00A74FDD"/>
    <w:rsid w:val="00A75965"/>
    <w:rsid w:val="00A94C15"/>
    <w:rsid w:val="00AE7664"/>
    <w:rsid w:val="00B06F0A"/>
    <w:rsid w:val="00B31106"/>
    <w:rsid w:val="00BA29D5"/>
    <w:rsid w:val="00C03C18"/>
    <w:rsid w:val="00C505C3"/>
    <w:rsid w:val="00CD0CA7"/>
    <w:rsid w:val="00CD3354"/>
    <w:rsid w:val="00D03A81"/>
    <w:rsid w:val="00D04E45"/>
    <w:rsid w:val="00D23DBA"/>
    <w:rsid w:val="00DD1630"/>
    <w:rsid w:val="00DE6AC4"/>
    <w:rsid w:val="00DF1D90"/>
    <w:rsid w:val="00E4227C"/>
    <w:rsid w:val="00E514F5"/>
    <w:rsid w:val="00E563D5"/>
    <w:rsid w:val="00E618AF"/>
    <w:rsid w:val="00EB27D2"/>
    <w:rsid w:val="00EB42EC"/>
    <w:rsid w:val="00F17562"/>
    <w:rsid w:val="00F24DC0"/>
    <w:rsid w:val="00F572A3"/>
    <w:rsid w:val="00F62FA9"/>
    <w:rsid w:val="00F865BA"/>
    <w:rsid w:val="00FA4135"/>
    <w:rsid w:val="00FD0CBC"/>
    <w:rsid w:val="00FE2DA3"/>
    <w:rsid w:val="FF7FF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uiPriority w:val="1"/>
  </w:style>
  <w:style w:type="table" w:default="1" w:styleId="1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styleId="13">
    <w:name w:val="Title"/>
    <w:basedOn w:val="1"/>
    <w:next w:val="1"/>
    <w:link w:val="18"/>
    <w:uiPriority w:val="0"/>
    <w:pPr>
      <w:spacing w:before="240" w:after="60"/>
      <w:jc w:val="center"/>
      <w:outlineLvl w:val="0"/>
    </w:pPr>
    <w:rPr>
      <w:rFonts w:ascii="Times New Roman" w:hAnsi="Times New Roman" w:cs="Times New Roman (标题 CS)" w:eastAsiaTheme="majorEastAsia"/>
      <w:b/>
      <w:bCs/>
      <w:sz w:val="28"/>
      <w:szCs w:val="32"/>
    </w:rPr>
  </w:style>
  <w:style w:type="table" w:styleId="15">
    <w:name w:val="Table Grid"/>
    <w:basedOn w:val="14"/>
    <w:uiPriority w:val="99"/>
    <w:pPr>
      <w:widowControl w:val="0"/>
      <w:jc w:val="both"/>
    </w:pPr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basedOn w:val="16"/>
    <w:qFormat/>
    <w:uiPriority w:val="22"/>
    <w:rPr>
      <w:b/>
      <w:bCs/>
    </w:rPr>
  </w:style>
  <w:style w:type="character" w:customStyle="1" w:styleId="18">
    <w:name w:val="标题 字符"/>
    <w:basedOn w:val="16"/>
    <w:link w:val="13"/>
    <w:uiPriority w:val="0"/>
    <w:rPr>
      <w:rFonts w:ascii="Times New Roman" w:hAnsi="Times New Roman" w:cs="Times New Roman (标题 CS)" w:eastAsiaTheme="majorEastAsia"/>
      <w:b/>
      <w:bCs/>
      <w:sz w:val="28"/>
      <w:szCs w:val="32"/>
    </w:rPr>
  </w:style>
  <w:style w:type="character" w:customStyle="1" w:styleId="19">
    <w:name w:val="标题 1 字符"/>
    <w:basedOn w:val="16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0">
    <w:name w:val="标题 2 字符"/>
    <w:basedOn w:val="16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1">
    <w:name w:val="标题 3 字符"/>
    <w:basedOn w:val="16"/>
    <w:link w:val="4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2">
    <w:name w:val="标题 4 字符"/>
    <w:basedOn w:val="16"/>
    <w:link w:val="5"/>
    <w:semiHidden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3">
    <w:name w:val="标题 5 字符"/>
    <w:basedOn w:val="16"/>
    <w:link w:val="6"/>
    <w:semiHidden/>
    <w:uiPriority w:val="9"/>
    <w:rPr>
      <w:rFonts w:cstheme="majorBidi"/>
      <w:color w:val="2F5597" w:themeColor="accent1" w:themeShade="BF"/>
      <w:sz w:val="24"/>
    </w:rPr>
  </w:style>
  <w:style w:type="character" w:customStyle="1" w:styleId="24">
    <w:name w:val="标题 6 字符"/>
    <w:basedOn w:val="16"/>
    <w:link w:val="7"/>
    <w:semiHidden/>
    <w:uiPriority w:val="9"/>
    <w:rPr>
      <w:rFonts w:cstheme="majorBidi"/>
      <w:b/>
      <w:bCs/>
      <w:color w:val="2F5597" w:themeColor="accent1" w:themeShade="BF"/>
    </w:rPr>
  </w:style>
  <w:style w:type="character" w:customStyle="1" w:styleId="25">
    <w:name w:val="标题 7 字符"/>
    <w:basedOn w:val="16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6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6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副标题 字符"/>
    <w:basedOn w:val="16"/>
    <w:link w:val="11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6"/>
    <w:link w:val="29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6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4">
    <w:name w:val="明显引用 字符"/>
    <w:basedOn w:val="16"/>
    <w:link w:val="33"/>
    <w:uiPriority w:val="30"/>
    <w:rPr>
      <w:i/>
      <w:iCs/>
      <w:color w:val="2F5597" w:themeColor="accent1" w:themeShade="BF"/>
    </w:rPr>
  </w:style>
  <w:style w:type="character" w:customStyle="1" w:styleId="35">
    <w:name w:val="Intense Reference"/>
    <w:basedOn w:val="16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618</Words>
  <Characters>3526</Characters>
  <Lines>29</Lines>
  <Paragraphs>8</Paragraphs>
  <TotalTime>43</TotalTime>
  <ScaleCrop>false</ScaleCrop>
  <LinksUpToDate>false</LinksUpToDate>
  <CharactersWithSpaces>4136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2026-01-06T14:41:00Z</dcterms:created>
  <dc:creator>Microsoft Office User</dc:creator>
  <cp:lastModifiedBy>小杨</cp:lastModifiedBy>
  <dcterms:modified xsi:type="dcterms:W3CDTF">2026-01-13T14:53:55Z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6BB0CB2667856C7603EC65696FBDBFED_42</vt:lpwstr>
  </property>
</Properties>
</file>