
<file path=[Content_Types].xml><?xml version="1.0" encoding="utf-8"?>
<Types xmlns="http://schemas.openxmlformats.org/package/2006/content-types">
  <Default Extension="xml" ContentType="application/xml"/>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line="360" w:lineRule="auto"/>
        <w:jc w:val="center"/>
        <w:rPr>
          <w:rFonts w:ascii="Garamond" w:hAnsi="Garamond" w:cs="Calibri"/>
          <w:b/>
          <w:bCs/>
          <w:color w:val="000000" w:themeColor="text1"/>
          <w:sz w:val="44"/>
          <w:szCs w:val="44"/>
          <w14:textFill>
            <w14:solidFill>
              <w14:schemeClr w14:val="tx1"/>
            </w14:solidFill>
          </w14:textFill>
        </w:rPr>
      </w:pPr>
      <w:bookmarkStart w:id="0" w:name="OLE_LINK1559"/>
      <w:bookmarkStart w:id="1" w:name="OLE_LINK1560"/>
      <w:bookmarkStart w:id="2" w:name="OLE_LINK2287"/>
      <w:bookmarkStart w:id="3" w:name="OLE_LINK2288"/>
      <w:bookmarkStart w:id="4" w:name="OLE_LINK2277"/>
      <w:bookmarkStart w:id="5" w:name="OLE_LINK1885"/>
      <w:bookmarkStart w:id="6" w:name="OLE_LINK1886"/>
      <w:bookmarkStart w:id="7" w:name="OLE_LINK1307"/>
      <w:bookmarkStart w:id="8" w:name="OLE_LINK1318"/>
      <w:bookmarkStart w:id="9" w:name="OLE_LINK1304"/>
      <w:bookmarkStart w:id="10" w:name="OLE_LINK1308"/>
      <w:bookmarkStart w:id="11" w:name="OLE_LINK1309"/>
      <w:bookmarkStart w:id="12" w:name="OLE_LINK1306"/>
      <w:bookmarkStart w:id="13" w:name="OLE_LINK1303"/>
      <w:bookmarkStart w:id="14" w:name="OLE_LINK1305"/>
      <w:bookmarkStart w:id="15" w:name="OLE_LINK256"/>
      <w:bookmarkStart w:id="16" w:name="OLE_LINK257"/>
      <w:bookmarkStart w:id="17" w:name="OLE_LINK258"/>
      <w:r>
        <w:rPr>
          <w:rFonts w:ascii="Garamond" w:hAnsi="Garamond" w:cs="Calibri"/>
          <w:b/>
          <w:bCs/>
          <w:color w:val="000000" w:themeColor="text1"/>
          <w:sz w:val="44"/>
          <w:szCs w:val="44"/>
          <w14:textFill>
            <w14:solidFill>
              <w14:schemeClr w14:val="tx1"/>
            </w14:solidFill>
          </w14:textFill>
        </w:rPr>
        <w:t>Supplemental Materials A</w:t>
      </w:r>
    </w:p>
    <w:p>
      <w:pPr>
        <w:pStyle w:val="17"/>
        <w:spacing w:line="360" w:lineRule="auto"/>
        <w:rPr>
          <w:rFonts w:ascii="Garamond" w:hAnsi="Garamond" w:cs="Calibri"/>
          <w:b/>
          <w:bCs/>
          <w:color w:val="000000" w:themeColor="text1"/>
          <w:sz w:val="32"/>
          <w:szCs w:val="32"/>
          <w14:textFill>
            <w14:solidFill>
              <w14:schemeClr w14:val="tx1"/>
            </w14:solidFill>
          </w14:textFill>
        </w:rPr>
      </w:pPr>
      <w:bookmarkStart w:id="18" w:name="OLE_LINK56"/>
      <w:bookmarkStart w:id="19" w:name="OLE_LINK58"/>
      <w:bookmarkStart w:id="20" w:name="OLE_LINK57"/>
      <w:bookmarkEnd w:id="0"/>
      <w:bookmarkEnd w:id="1"/>
      <w:bookmarkEnd w:id="18"/>
      <w:bookmarkEnd w:id="19"/>
      <w:bookmarkEnd w:id="20"/>
    </w:p>
    <w:p>
      <w:pPr>
        <w:spacing w:line="360" w:lineRule="auto"/>
        <w:jc w:val="center"/>
        <w:rPr>
          <w:rFonts w:hint="eastAsia" w:ascii="Garamond" w:hAnsi="Garamond" w:cs="Calibri" w:eastAsiaTheme="minorEastAsia"/>
          <w:b/>
          <w:bCs/>
          <w:color w:val="000000" w:themeColor="text1"/>
          <w:kern w:val="2"/>
          <w:sz w:val="30"/>
          <w:szCs w:val="30"/>
          <w14:textFill>
            <w14:solidFill>
              <w14:schemeClr w14:val="tx1"/>
            </w14:solidFill>
          </w14:textFill>
        </w:rPr>
      </w:pPr>
      <w:bookmarkStart w:id="21" w:name="OLE_LINK1144"/>
      <w:bookmarkStart w:id="22" w:name="OLE_LINK1146"/>
      <w:bookmarkStart w:id="23" w:name="OLE_LINK1145"/>
      <w:r>
        <w:rPr>
          <w:rFonts w:ascii="Garamond" w:hAnsi="Garamond" w:cs="Calibri" w:eastAsiaTheme="minorEastAsia"/>
          <w:b/>
          <w:bCs/>
          <w:color w:val="000000" w:themeColor="text1"/>
          <w:kern w:val="2"/>
          <w:sz w:val="30"/>
          <w:szCs w:val="30"/>
          <w14:textFill>
            <w14:solidFill>
              <w14:schemeClr w14:val="tx1"/>
            </w14:solidFill>
          </w14:textFill>
        </w:rPr>
        <w:t>Association between PFOA exposure and liver enzymes: A systematic review and meta-analysis of longitudinal cohort studies</w:t>
      </w:r>
      <w:bookmarkEnd w:id="21"/>
      <w:bookmarkEnd w:id="22"/>
      <w:bookmarkEnd w:id="23"/>
    </w:p>
    <w:p>
      <w:pPr>
        <w:snapToGrid w:val="0"/>
        <w:spacing w:line="360" w:lineRule="auto"/>
        <w:jc w:val="center"/>
        <w:rPr>
          <w:rFonts w:ascii="Garamond" w:hAnsi="Garamond"/>
          <w:color w:val="000000" w:themeColor="text1"/>
          <w:sz w:val="28"/>
          <w:szCs w:val="28"/>
          <w14:textFill>
            <w14:solidFill>
              <w14:schemeClr w14:val="tx1"/>
            </w14:solidFill>
          </w14:textFill>
        </w:rPr>
      </w:pPr>
      <w:r>
        <w:rPr>
          <w:rFonts w:ascii="Garamond" w:hAnsi="Garamond" w:eastAsia="宋体" w:cs="宋体"/>
          <w:color w:val="000000"/>
          <w:kern w:val="0"/>
          <w:sz w:val="24"/>
          <w:szCs w:val="24"/>
        </w:rPr>
        <w:t>Tian-Qi Wang, Yue-Nan Chen</w:t>
      </w:r>
      <w:r>
        <w:rPr>
          <w:rFonts w:ascii="Garamond" w:hAnsi="Garamond"/>
          <w:sz w:val="24"/>
          <w:szCs w:val="24"/>
        </w:rPr>
        <w:t xml:space="preserve">, </w:t>
      </w:r>
      <w:r>
        <w:rPr>
          <w:rFonts w:ascii="Garamond" w:hAnsi="Garamond" w:eastAsia="宋体" w:cs="宋体"/>
          <w:color w:val="000000"/>
          <w:kern w:val="0"/>
          <w:sz w:val="24"/>
          <w:szCs w:val="24"/>
        </w:rPr>
        <w:t xml:space="preserve">Si-Yu Gui, Zheng-Xuan Jiang, </w:t>
      </w:r>
      <w:r>
        <w:rPr>
          <w:rFonts w:ascii="Garamond" w:hAnsi="Garamond"/>
          <w:sz w:val="24"/>
          <w:szCs w:val="24"/>
        </w:rPr>
        <w:t>Ze-Lian Li</w:t>
      </w:r>
      <w:r>
        <w:rPr>
          <w:rFonts w:ascii="Garamond" w:hAnsi="Garamond" w:eastAsia="宋体" w:cs="宋体"/>
          <w:color w:val="000000"/>
          <w:kern w:val="0"/>
          <w:sz w:val="24"/>
          <w:szCs w:val="24"/>
        </w:rPr>
        <w:t xml:space="preserve">, Heng Jiang, Qi Hong, Jian-Chao Qiao, Ke-Jia Wu, </w:t>
      </w:r>
      <w:r>
        <w:rPr>
          <w:rFonts w:ascii="Garamond" w:hAnsi="Garamond" w:eastAsia="宋体"/>
          <w:color w:val="000000"/>
          <w:kern w:val="0"/>
          <w:sz w:val="24"/>
          <w:szCs w:val="24"/>
        </w:rPr>
        <w:t>Chao Zhang</w:t>
      </w:r>
      <w:r>
        <w:rPr>
          <w:rFonts w:ascii="Garamond" w:hAnsi="Garamond" w:eastAsia="宋体" w:cs="宋体"/>
          <w:color w:val="000000"/>
          <w:kern w:val="0"/>
          <w:sz w:val="24"/>
          <w:szCs w:val="24"/>
        </w:rPr>
        <w:t xml:space="preserve"> </w:t>
      </w:r>
    </w:p>
    <w:p>
      <w:pPr>
        <w:pStyle w:val="17"/>
        <w:spacing w:line="360" w:lineRule="auto"/>
        <w:jc w:val="left"/>
        <w:rPr>
          <w:rFonts w:ascii="Garamond" w:hAnsi="Garamond" w:cs="Calibri"/>
          <w:b/>
          <w:bCs/>
          <w:color w:val="000000" w:themeColor="text1"/>
          <w:sz w:val="30"/>
          <w:szCs w:val="30"/>
          <w14:textFill>
            <w14:solidFill>
              <w14:schemeClr w14:val="tx1"/>
            </w14:solidFill>
          </w14:textFill>
        </w:rPr>
      </w:pPr>
      <w:r>
        <w:rPr>
          <w:rFonts w:ascii="Garamond" w:hAnsi="Garamond" w:cs="Calibri"/>
          <w:b/>
          <w:bCs/>
          <w:color w:val="000000" w:themeColor="text1"/>
          <w:sz w:val="30"/>
          <w:szCs w:val="30"/>
          <w14:textFill>
            <w14:solidFill>
              <w14:schemeClr w14:val="tx1"/>
            </w14:solidFill>
          </w14:textFill>
        </w:rPr>
        <w:t>Table and Figure of contents</w:t>
      </w:r>
      <w:bookmarkEnd w:id="2"/>
      <w:bookmarkEnd w:id="3"/>
    </w:p>
    <w:tbl>
      <w:tblPr>
        <w:tblStyle w:val="12"/>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4" w:hRule="exact"/>
          <w:jc w:val="center"/>
        </w:trPr>
        <w:tc>
          <w:tcPr>
            <w:tcW w:w="13948" w:type="dxa"/>
            <w:vAlign w:val="center"/>
          </w:tcPr>
          <w:p>
            <w:pPr>
              <w:spacing w:line="360" w:lineRule="auto"/>
              <w:jc w:val="both"/>
              <w:rPr>
                <w:rFonts w:ascii="Garamond" w:hAnsi="Garamond"/>
                <w:color w:val="000000" w:themeColor="text1"/>
                <w:sz w:val="28"/>
                <w:szCs w:val="28"/>
                <w14:textFill>
                  <w14:solidFill>
                    <w14:schemeClr w14:val="tx1"/>
                  </w14:solidFill>
                </w14:textFill>
              </w:rPr>
            </w:pPr>
            <w:bookmarkStart w:id="24" w:name="_Hlk34169515"/>
            <w:r>
              <w:rPr>
                <w:rFonts w:hint="eastAsia" w:ascii="Garamond" w:hAnsi="Garamond"/>
                <w:color w:val="000000" w:themeColor="text1"/>
                <w:sz w:val="28"/>
                <w:szCs w:val="28"/>
                <w14:textFill>
                  <w14:solidFill>
                    <w14:schemeClr w14:val="tx1"/>
                  </w14:solidFill>
                </w14:textFill>
              </w:rPr>
              <w:t xml:space="preserve">Table S1. </w:t>
            </w:r>
            <w:bookmarkStart w:id="25" w:name="OLE_LINK11"/>
            <w:r>
              <w:rPr>
                <w:rFonts w:hint="eastAsia" w:ascii="Garamond" w:hAnsi="Garamond"/>
                <w:color w:val="000000" w:themeColor="text1"/>
                <w:sz w:val="28"/>
                <w:szCs w:val="28"/>
                <w14:textFill>
                  <w14:solidFill>
                    <w14:schemeClr w14:val="tx1"/>
                  </w14:solidFill>
                </w14:textFill>
              </w:rPr>
              <w:t xml:space="preserve">Preferred Reporting Items for Systematic reviews and Meta-Analysis </w:t>
            </w:r>
            <w:bookmarkEnd w:id="25"/>
            <w:r>
              <w:rPr>
                <w:rFonts w:hint="eastAsia" w:ascii="Garamond" w:hAnsi="Garamond"/>
                <w:color w:val="000000" w:themeColor="text1"/>
                <w:sz w:val="28"/>
                <w:szCs w:val="28"/>
                <w14:textFill>
                  <w14:solidFill>
                    <w14:schemeClr w14:val="tx1"/>
                  </w14:solidFill>
                </w14:textFill>
              </w:rPr>
              <w:t>(PRISMA) 2009 Checklist</w:t>
            </w:r>
            <w:r>
              <w:rPr>
                <w:rFonts w:ascii="Garamond" w:hAnsi="Garamond"/>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4" w:hRule="exact"/>
          <w:jc w:val="center"/>
        </w:trPr>
        <w:tc>
          <w:tcPr>
            <w:tcW w:w="13948" w:type="dxa"/>
            <w:vAlign w:val="center"/>
          </w:tcPr>
          <w:p>
            <w:pPr>
              <w:spacing w:line="36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Table S2. Literature search strategy (dated to July 10, 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Table S3. Quality assessment of the included studies</w:t>
            </w:r>
            <w:r>
              <w:rPr>
                <w:rFonts w:ascii="Garamond" w:hAnsi="Garamond"/>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Table S4. Criteria for the risk of bias assessment of each included study, adapted from the OHAT and Navigation Guide tool</w:t>
            </w:r>
            <w:r>
              <w:rPr>
                <w:rFonts w:ascii="Garamond" w:hAnsi="Garamond"/>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Table S5. Details of risk of bias assessment for each study included in the systematic review and meta-analysis</w:t>
            </w:r>
            <w:r>
              <w:rPr>
                <w:rFonts w:ascii="Garamond" w:hAnsi="Garamond"/>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Table S6. Sensitivity analyses of the associations between </w:t>
            </w:r>
            <w:r>
              <w:rPr>
                <w:rFonts w:hint="eastAsia" w:ascii="Garamond" w:hAnsi="Garamond"/>
                <w:color w:val="000000" w:themeColor="text1"/>
                <w:sz w:val="28"/>
                <w:szCs w:val="28"/>
                <w14:textFill>
                  <w14:solidFill>
                    <w14:schemeClr w14:val="tx1"/>
                  </w14:solidFill>
                </w14:textFill>
              </w:rPr>
              <w:t>PFOA</w:t>
            </w:r>
            <w:r>
              <w:rPr>
                <w:rFonts w:ascii="Garamond" w:hAnsi="Garamond"/>
                <w:color w:val="000000" w:themeColor="text1"/>
                <w:sz w:val="28"/>
                <w:szCs w:val="28"/>
                <w14:textFill>
                  <w14:solidFill>
                    <w14:schemeClr w14:val="tx1"/>
                  </w14:solidFill>
                </w14:textFill>
              </w:rPr>
              <w:t xml:space="preserve"> with diverse indicators of </w:t>
            </w:r>
            <w:r>
              <w:rPr>
                <w:rFonts w:hint="eastAsia" w:ascii="Garamond" w:hAnsi="Garamond"/>
                <w:color w:val="000000" w:themeColor="text1"/>
                <w:sz w:val="28"/>
                <w:szCs w:val="28"/>
                <w14:textFill>
                  <w14:solidFill>
                    <w14:schemeClr w14:val="tx1"/>
                  </w14:solidFill>
                </w14:textFill>
              </w:rPr>
              <w:t>liver enzymes</w:t>
            </w:r>
            <w:r>
              <w:rPr>
                <w:rFonts w:ascii="Garamond" w:hAnsi="Garamond"/>
                <w:color w:val="000000" w:themeColor="text1"/>
                <w:sz w:val="28"/>
                <w:szCs w:val="28"/>
                <w14:textFill>
                  <w14:solidFill>
                    <w14:schemeClr w14:val="tx1"/>
                  </w14:solidFill>
                </w14:textFill>
              </w:rPr>
              <w:t xml:space="preserve"> for</w:t>
            </w:r>
            <w:r>
              <w:rPr>
                <w:rFonts w:hint="eastAsia" w:ascii="Garamond" w:hAnsi="Garamond"/>
                <w:color w:val="000000" w:themeColor="text1"/>
                <w:sz w:val="28"/>
                <w:szCs w:val="28"/>
                <w14:textFill>
                  <w14:solidFill>
                    <w14:schemeClr w14:val="tx1"/>
                  </w14:solidFill>
                </w14:textFill>
              </w:rPr>
              <w:t xml:space="preserve"> </w:t>
            </w:r>
            <w:r>
              <w:rPr>
                <w:rFonts w:ascii="Garamond" w:hAnsi="Garamond"/>
                <w:color w:val="000000" w:themeColor="text1"/>
                <w:sz w:val="28"/>
                <w:szCs w:val="28"/>
                <w14:textFill>
                  <w14:solidFill>
                    <w14:schemeClr w14:val="tx1"/>
                  </w14:solidFill>
                </w14:textFill>
              </w:rPr>
              <w:t>continuous. exposure</w:t>
            </w:r>
            <w:r>
              <w:rPr>
                <w:rFonts w:hint="eastAsia" w:ascii="Garamond" w:hAnsi="Garamond"/>
                <w:color w:val="000000" w:themeColor="text1"/>
                <w:sz w:val="28"/>
                <w:szCs w:val="28"/>
                <w14:textFill>
                  <w14:solidFill>
                    <w14:schemeClr w14:val="tx1"/>
                  </w14:solidFill>
                </w14:textFill>
              </w:rPr>
              <w:t>.</w:t>
            </w:r>
          </w:p>
          <w:p>
            <w:pPr>
              <w:spacing w:line="360" w:lineRule="auto"/>
              <w:jc w:val="both"/>
              <w:rPr>
                <w:rFonts w:ascii="Garamond" w:hAnsi="Garamond"/>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Table S</w:t>
            </w:r>
            <w:r>
              <w:rPr>
                <w:rFonts w:ascii="Garamond" w:hAnsi="Garamond"/>
                <w:color w:val="000000" w:themeColor="text1"/>
                <w:sz w:val="28"/>
                <w:szCs w:val="28"/>
                <w14:textFill>
                  <w14:solidFill>
                    <w14:schemeClr w14:val="tx1"/>
                  </w14:solidFill>
                </w14:textFill>
              </w:rPr>
              <w:t>7</w:t>
            </w:r>
            <w:r>
              <w:rPr>
                <w:rFonts w:hint="eastAsia" w:ascii="Garamond" w:hAnsi="Garamond"/>
                <w:color w:val="000000" w:themeColor="text1"/>
                <w:sz w:val="28"/>
                <w:szCs w:val="28"/>
                <w14:textFill>
                  <w14:solidFill>
                    <w14:schemeClr w14:val="tx1"/>
                  </w14:solidFill>
                </w14:textFill>
              </w:rPr>
              <w:t>. Confidence in the body of evidence and level of evidence for each exposure-outcome combination.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S1. Forest plot on the effect of PFOA with ALT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S2. Forest plot on the effect of PFOA with AST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S3. Forest plot on the effect of PFOA with GGT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3948" w:type="dxa"/>
            <w:vAlign w:val="center"/>
          </w:tcPr>
          <w:p>
            <w:pPr>
              <w:spacing w:line="36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S4. Forest plot on the effect of PFOA with ALP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1" w:hRule="exact"/>
          <w:jc w:val="center"/>
        </w:trPr>
        <w:tc>
          <w:tcPr>
            <w:tcW w:w="13948" w:type="dxa"/>
            <w:vAlign w:val="center"/>
          </w:tcPr>
          <w:p>
            <w:pPr>
              <w:spacing w:line="24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S5. Doi plot and LFK index analysis of publication bias in reported associations between PFOA with ALT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3" w:hRule="exact"/>
          <w:jc w:val="center"/>
        </w:trPr>
        <w:tc>
          <w:tcPr>
            <w:tcW w:w="13948" w:type="dxa"/>
            <w:vAlign w:val="center"/>
          </w:tcPr>
          <w:p>
            <w:pPr>
              <w:spacing w:line="24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S6. Doi plot and LFK index analysis of publication bias in reported associations between PFOA with AST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9" w:hRule="exact"/>
          <w:jc w:val="center"/>
        </w:trPr>
        <w:tc>
          <w:tcPr>
            <w:tcW w:w="13948" w:type="dxa"/>
            <w:vAlign w:val="center"/>
          </w:tcPr>
          <w:p>
            <w:pPr>
              <w:spacing w:line="24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S7. Doi plot and LFK index analysis of publication bias in reported associations between PFOA with GGT for continuous exposure.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1" w:hRule="exact"/>
          <w:jc w:val="center"/>
        </w:trPr>
        <w:tc>
          <w:tcPr>
            <w:tcW w:w="13948" w:type="dxa"/>
            <w:vAlign w:val="center"/>
          </w:tcPr>
          <w:p>
            <w:pPr>
              <w:spacing w:line="240" w:lineRule="auto"/>
              <w:jc w:val="both"/>
              <w:rPr>
                <w:rFonts w:hint="eastAsia"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Fig S8. Doi plot and LFK index analysis of publication bias in reported associations between PFOA with ALP for continuous exposure.</w:t>
            </w:r>
          </w:p>
        </w:tc>
      </w:tr>
      <w:bookmarkEnd w:id="4"/>
      <w:bookmarkEnd w:id="5"/>
      <w:bookmarkEnd w:id="6"/>
      <w:bookmarkEnd w:id="24"/>
    </w:tbl>
    <w:p>
      <w:pPr>
        <w:spacing w:line="360" w:lineRule="auto"/>
        <w:rPr>
          <w:rFonts w:ascii="Garamond" w:hAnsi="Garamond" w:cs="Calibri"/>
          <w:b/>
          <w:color w:val="000000" w:themeColor="text1"/>
          <w:sz w:val="28"/>
          <w:szCs w:val="28"/>
          <w14:textFill>
            <w14:solidFill>
              <w14:schemeClr w14:val="tx1"/>
            </w14:solidFill>
          </w14:textFill>
        </w:rPr>
      </w:pPr>
      <w:bookmarkStart w:id="137" w:name="_GoBack"/>
      <w:bookmarkEnd w:id="137"/>
      <w:bookmarkStart w:id="26" w:name="OLE_LINK3558"/>
      <w:bookmarkStart w:id="27" w:name="OLE_LINK2280"/>
      <w:bookmarkStart w:id="28" w:name="OLE_LINK3559"/>
      <w:bookmarkStart w:id="29" w:name="OLE_LINK2281"/>
      <w:bookmarkStart w:id="30" w:name="OLE_LINK2291"/>
      <w:bookmarkStart w:id="31" w:name="OLE_LINK2290"/>
      <w:bookmarkStart w:id="32" w:name="OLE_LINK2289"/>
    </w:p>
    <w:p>
      <w:pPr>
        <w:rPr>
          <w:rFonts w:ascii="Garamond" w:hAnsi="Garamond" w:cs="Calibri"/>
          <w:b/>
          <w:color w:val="000000" w:themeColor="text1"/>
          <w:sz w:val="28"/>
          <w:szCs w:val="28"/>
          <w14:textFill>
            <w14:solidFill>
              <w14:schemeClr w14:val="tx1"/>
            </w14:solidFill>
          </w14:textFill>
        </w:rPr>
      </w:pPr>
      <w:r>
        <w:rPr>
          <w:rFonts w:ascii="Garamond" w:hAnsi="Garamond" w:cs="Calibri"/>
          <w:b/>
          <w:color w:val="000000" w:themeColor="text1"/>
          <w:sz w:val="28"/>
          <w:szCs w:val="28"/>
          <w14:textFill>
            <w14:solidFill>
              <w14:schemeClr w14:val="tx1"/>
            </w14:solidFill>
          </w14:textFill>
        </w:rPr>
        <w:br w:type="page"/>
      </w:r>
    </w:p>
    <w:p>
      <w:pPr>
        <w:spacing w:line="360" w:lineRule="auto"/>
        <w:rPr>
          <w:rFonts w:ascii="Garamond" w:hAnsi="Garamond" w:cs="Calibri"/>
          <w:color w:val="000000" w:themeColor="text1"/>
          <w:sz w:val="28"/>
          <w:szCs w:val="28"/>
          <w14:textFill>
            <w14:solidFill>
              <w14:schemeClr w14:val="tx1"/>
            </w14:solidFill>
          </w14:textFill>
        </w:rPr>
      </w:pPr>
      <w:r>
        <w:rPr>
          <w:rFonts w:ascii="Garamond" w:hAnsi="Garamond" w:cs="Calibri"/>
          <w:b/>
          <w:color w:val="000000" w:themeColor="text1"/>
          <w:sz w:val="28"/>
          <w:szCs w:val="28"/>
          <w14:textFill>
            <w14:solidFill>
              <w14:schemeClr w14:val="tx1"/>
            </w14:solidFill>
          </w14:textFill>
        </w:rPr>
        <w:t xml:space="preserve">Table S1. </w:t>
      </w:r>
      <w:r>
        <w:rPr>
          <w:rFonts w:ascii="Garamond" w:hAnsi="Garamond" w:cs="Calibri"/>
          <w:color w:val="000000" w:themeColor="text1"/>
          <w:sz w:val="28"/>
          <w:szCs w:val="28"/>
          <w14:textFill>
            <w14:solidFill>
              <w14:schemeClr w14:val="tx1"/>
            </w14:solidFill>
          </w14:textFill>
        </w:rPr>
        <w:t>Preferred Reporting Items for Systematic reviews and Meta-Analysis (PRISMA) 2009 Checklist.</w:t>
      </w:r>
      <w:bookmarkEnd w:id="26"/>
      <w:bookmarkEnd w:id="27"/>
      <w:bookmarkEnd w:id="28"/>
      <w:bookmarkEnd w:id="29"/>
    </w:p>
    <w:tbl>
      <w:tblPr>
        <w:tblStyle w:val="12"/>
        <w:tblW w:w="16585" w:type="dxa"/>
        <w:tblInd w:w="-1284" w:type="dxa"/>
        <w:tblLayout w:type="autofit"/>
        <w:tblCellMar>
          <w:top w:w="0" w:type="dxa"/>
          <w:left w:w="108" w:type="dxa"/>
          <w:bottom w:w="0" w:type="dxa"/>
          <w:right w:w="108" w:type="dxa"/>
        </w:tblCellMar>
      </w:tblPr>
      <w:tblGrid>
        <w:gridCol w:w="3119"/>
        <w:gridCol w:w="709"/>
        <w:gridCol w:w="11360"/>
        <w:gridCol w:w="1397"/>
      </w:tblGrid>
      <w:tr>
        <w:trPr>
          <w:trHeight w:val="663" w:hRule="atLeast"/>
        </w:trPr>
        <w:tc>
          <w:tcPr>
            <w:tcW w:w="3119" w:type="dxa"/>
            <w:tcBorders>
              <w:top w:val="double" w:color="000000" w:sz="6" w:space="0"/>
              <w:left w:val="single" w:color="000000" w:sz="6" w:space="0"/>
              <w:bottom w:val="double" w:color="FFFFCC" w:sz="2" w:space="0"/>
              <w:right w:val="single" w:color="000000" w:sz="6" w:space="0"/>
            </w:tcBorders>
            <w:shd w:val="clear" w:color="auto" w:fill="63639A"/>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Section/topic </w:t>
            </w:r>
          </w:p>
        </w:tc>
        <w:tc>
          <w:tcPr>
            <w:tcW w:w="709" w:type="dxa"/>
            <w:tcBorders>
              <w:top w:val="double" w:color="000000" w:sz="6" w:space="0"/>
              <w:left w:val="single" w:color="000000" w:sz="6" w:space="0"/>
              <w:bottom w:val="double" w:color="FFFFCC" w:sz="2" w:space="0"/>
              <w:right w:val="single" w:color="000000" w:sz="6" w:space="0"/>
            </w:tcBorders>
            <w:shd w:val="clear" w:color="auto" w:fill="63639A"/>
            <w:vAlign w:val="center"/>
          </w:tcPr>
          <w:p>
            <w:pPr>
              <w:pStyle w:val="19"/>
              <w:snapToGrid w:val="0"/>
              <w:spacing w:line="360" w:lineRule="auto"/>
              <w:jc w:val="both"/>
              <w:rPr>
                <w:rFonts w:ascii="Garamond" w:hAnsi="Garamond"/>
                <w:b/>
                <w:bCs/>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w:t>
            </w:r>
          </w:p>
        </w:tc>
        <w:tc>
          <w:tcPr>
            <w:tcW w:w="11360" w:type="dxa"/>
            <w:tcBorders>
              <w:top w:val="double" w:color="000000" w:sz="6" w:space="0"/>
              <w:left w:val="single" w:color="000000" w:sz="6" w:space="0"/>
              <w:bottom w:val="double" w:color="000000" w:sz="6" w:space="0"/>
              <w:right w:val="single" w:color="000000" w:sz="6" w:space="0"/>
            </w:tcBorders>
            <w:shd w:val="clear" w:color="auto" w:fill="63639A"/>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Checklist item </w:t>
            </w:r>
          </w:p>
        </w:tc>
        <w:tc>
          <w:tcPr>
            <w:tcW w:w="1397" w:type="dxa"/>
            <w:tcBorders>
              <w:top w:val="double" w:color="000000" w:sz="6" w:space="0"/>
              <w:left w:val="single" w:color="000000" w:sz="6" w:space="0"/>
              <w:bottom w:val="double" w:color="000000" w:sz="6" w:space="0"/>
              <w:right w:val="single" w:color="000000" w:sz="6" w:space="0"/>
            </w:tcBorders>
            <w:shd w:val="clear" w:color="auto" w:fill="63639A"/>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Reported on page # </w:t>
            </w:r>
          </w:p>
        </w:tc>
      </w:tr>
      <w:bookmarkEnd w:id="30"/>
      <w:bookmarkEnd w:id="31"/>
      <w:bookmarkEnd w:id="32"/>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TITLE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323" w:hRule="atLeast"/>
        </w:trPr>
        <w:tc>
          <w:tcPr>
            <w:tcW w:w="311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Title </w:t>
            </w:r>
          </w:p>
        </w:tc>
        <w:tc>
          <w:tcPr>
            <w:tcW w:w="70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w:t>
            </w:r>
          </w:p>
        </w:tc>
        <w:tc>
          <w:tcPr>
            <w:tcW w:w="11360"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Identify the report as a systematic review, meta-analysis, or both. </w:t>
            </w:r>
          </w:p>
        </w:tc>
        <w:tc>
          <w:tcPr>
            <w:tcW w:w="1397"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1</w:t>
            </w:r>
          </w:p>
        </w:tc>
      </w:tr>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ABSTRACT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810" w:hRule="atLeast"/>
        </w:trPr>
        <w:tc>
          <w:tcPr>
            <w:tcW w:w="311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Structured summary </w:t>
            </w:r>
          </w:p>
        </w:tc>
        <w:tc>
          <w:tcPr>
            <w:tcW w:w="70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2</w:t>
            </w:r>
          </w:p>
        </w:tc>
        <w:tc>
          <w:tcPr>
            <w:tcW w:w="11360"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397"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2</w:t>
            </w:r>
            <w:r>
              <w:rPr>
                <w:rFonts w:ascii="Garamond" w:hAnsi="Garamond"/>
                <w:color w:val="000000" w:themeColor="text1"/>
                <w:kern w:val="2"/>
                <w:sz w:val="28"/>
                <w:szCs w:val="28"/>
                <w:lang w:eastAsia="zh-CN"/>
                <w14:textFill>
                  <w14:solidFill>
                    <w14:schemeClr w14:val="tx1"/>
                  </w14:solidFill>
                </w14:textFill>
              </w:rPr>
              <w:t>-3</w:t>
            </w:r>
          </w:p>
        </w:tc>
      </w:tr>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INTRODUCTION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333"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Rationale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3</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the rationale for the review in the context of what is already known.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4-6</w:t>
            </w:r>
          </w:p>
        </w:tc>
      </w:tr>
      <w:tr>
        <w:trPr>
          <w:trHeight w:val="568" w:hRule="atLeast"/>
        </w:trPr>
        <w:tc>
          <w:tcPr>
            <w:tcW w:w="311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Objectives </w:t>
            </w:r>
          </w:p>
        </w:tc>
        <w:tc>
          <w:tcPr>
            <w:tcW w:w="709" w:type="dxa"/>
            <w:tcBorders>
              <w:top w:val="single" w:color="000000" w:sz="6" w:space="0"/>
              <w:left w:val="single" w:color="000000" w:sz="6" w:space="0"/>
              <w:bottom w:val="double" w:color="FFFFCC" w:sz="2"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4</w:t>
            </w:r>
          </w:p>
        </w:tc>
        <w:tc>
          <w:tcPr>
            <w:tcW w:w="11360"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Provide an explicit statement of questions being addressed with reference to participants, interventions, comparisons, outcomes, and study design (P</w:t>
            </w:r>
            <w:r>
              <w:rPr>
                <w:rFonts w:hint="eastAsia" w:ascii="Garamond" w:hAnsi="Garamond"/>
                <w:color w:val="000000" w:themeColor="text1"/>
                <w:kern w:val="2"/>
                <w:sz w:val="28"/>
                <w:szCs w:val="28"/>
                <w:lang w:val="en-US" w:eastAsia="zh-CN"/>
                <w14:textFill>
                  <w14:solidFill>
                    <w14:schemeClr w14:val="tx1"/>
                  </w14:solidFill>
                </w14:textFill>
              </w:rPr>
              <w:t>E</w:t>
            </w:r>
            <w:r>
              <w:rPr>
                <w:rFonts w:hint="eastAsia" w:ascii="Garamond" w:hAnsi="Garamond"/>
                <w:color w:val="000000" w:themeColor="text1"/>
                <w:kern w:val="2"/>
                <w:sz w:val="28"/>
                <w:szCs w:val="28"/>
                <w14:textFill>
                  <w14:solidFill>
                    <w14:schemeClr w14:val="tx1"/>
                  </w14:solidFill>
                </w14:textFill>
              </w:rPr>
              <w:t xml:space="preserve">COS). </w:t>
            </w:r>
          </w:p>
        </w:tc>
        <w:tc>
          <w:tcPr>
            <w:tcW w:w="1397"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7</w:t>
            </w:r>
          </w:p>
        </w:tc>
      </w:tr>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METHODS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Protocol and registration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5</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Indicate if a review protocol exists, if and where it can be accessed (e.g., Web address), and, if available, provide registration information including registration number.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NA</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Eligibility criteria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6</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Specify study characteristics (e.g., P</w:t>
            </w:r>
            <w:r>
              <w:rPr>
                <w:rFonts w:hint="eastAsia" w:ascii="Garamond" w:hAnsi="Garamond"/>
                <w:color w:val="000000" w:themeColor="text1"/>
                <w:kern w:val="2"/>
                <w:sz w:val="28"/>
                <w:szCs w:val="28"/>
                <w:lang w:val="en-US" w:eastAsia="zh-CN"/>
                <w14:textFill>
                  <w14:solidFill>
                    <w14:schemeClr w14:val="tx1"/>
                  </w14:solidFill>
                </w14:textFill>
              </w:rPr>
              <w:t>E</w:t>
            </w:r>
            <w:r>
              <w:rPr>
                <w:rFonts w:hint="eastAsia" w:ascii="Garamond" w:hAnsi="Garamond"/>
                <w:color w:val="000000" w:themeColor="text1"/>
                <w:kern w:val="2"/>
                <w:sz w:val="28"/>
                <w:szCs w:val="28"/>
                <w14:textFill>
                  <w14:solidFill>
                    <w14:schemeClr w14:val="tx1"/>
                  </w14:solidFill>
                </w14:textFill>
              </w:rPr>
              <w:t xml:space="preserve">COS, length of follow-up) and report characteristics (e.g., years considered, language, publication status) used as criteria for eligibility, giving rationale.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val="en-US" w:eastAsia="zh-CN"/>
                <w14:textFill>
                  <w14:solidFill>
                    <w14:schemeClr w14:val="tx1"/>
                  </w14:solidFill>
                </w14:textFill>
              </w:rPr>
              <w:t>6</w:t>
            </w:r>
            <w:r>
              <w:rPr>
                <w:rFonts w:ascii="Garamond" w:hAnsi="Garamond"/>
                <w:color w:val="000000" w:themeColor="text1"/>
                <w:kern w:val="2"/>
                <w:sz w:val="28"/>
                <w:szCs w:val="28"/>
                <w:lang w:val="en-US" w:eastAsia="zh-CN"/>
                <w14:textFill>
                  <w14:solidFill>
                    <w14:schemeClr w14:val="tx1"/>
                  </w14:solidFill>
                </w14:textFill>
              </w:rPr>
              <w:t>-7</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Information sources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7</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all information sources (e.g., databases with dates of coverage, contact with study authors to identify additional studies) in the search and date last searched.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eastAsia="zh-CN"/>
                <w14:textFill>
                  <w14:solidFill>
                    <w14:schemeClr w14:val="tx1"/>
                  </w14:solidFill>
                </w14:textFill>
              </w:rPr>
              <w:t>7-8</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Search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8</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Present full electronic search strategy for at least one database, including any limits used, such that it could be repeated.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eastAsia="zh-CN"/>
                <w14:textFill>
                  <w14:solidFill>
                    <w14:schemeClr w14:val="tx1"/>
                  </w14:solidFill>
                </w14:textFill>
              </w:rPr>
              <w:t>7-8</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Study selection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9</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State the process for selecting studies (i.e., screening, eligibility, included in systematic review, and, if applicable, included in the meta-analysis).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eastAsia="zh-CN"/>
                <w14:textFill>
                  <w14:solidFill>
                    <w14:schemeClr w14:val="tx1"/>
                  </w14:solidFill>
                </w14:textFill>
              </w:rPr>
              <w:t>7-8</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Data collection process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hint="eastAsia" w:ascii="Garamond" w:hAnsi="Garamond"/>
                <w:color w:val="000000" w:themeColor="text1"/>
                <w:kern w:val="2"/>
                <w:sz w:val="28"/>
                <w:szCs w:val="28"/>
                <w:lang w:eastAsia="zh-CN"/>
                <w14:textFill>
                  <w14:solidFill>
                    <w14:schemeClr w14:val="tx1"/>
                  </w14:solidFill>
                </w14:textFill>
              </w:rPr>
              <w:t>10</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method of data extraction from reports (e.g., piloted forms, independently, in duplicate) and any processes for obtaining and confirming data from investigators.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eastAsia="zh-CN"/>
                <w14:textFill>
                  <w14:solidFill>
                    <w14:schemeClr w14:val="tx1"/>
                  </w14:solidFill>
                </w14:textFill>
              </w:rPr>
              <w:t>8</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Data items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11</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List and define all variables for which data were sought (e.g., PICOS, funding sources) and any assumptions and simplifications made.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eastAsia="zh-CN"/>
                <w14:textFill>
                  <w14:solidFill>
                    <w14:schemeClr w14:val="tx1"/>
                  </w14:solidFill>
                </w14:textFill>
              </w:rPr>
              <w:t>7-8</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Risk of bias in individual studies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12</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methods used for assessing risk of bias of individual studies (including specification of whether this was done at the study or outcome level), and how this information is to be used in any data synthesis.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8-9</w:t>
            </w:r>
          </w:p>
        </w:tc>
      </w:tr>
      <w:tr>
        <w:trPr>
          <w:trHeight w:val="333"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Summary measures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13</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State the principal summary measures (e.g., risk ratio, difference in means).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9-11</w:t>
            </w:r>
          </w:p>
        </w:tc>
      </w:tr>
      <w:tr>
        <w:trPr>
          <w:trHeight w:val="580"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Synthesis of results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14</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Describe the methods of handling data and combining results of studies, if done, including measures of consistency (e.g., I</w:t>
            </w:r>
            <w:r>
              <w:rPr>
                <w:rFonts w:hint="eastAsia" w:ascii="Garamond" w:hAnsi="Garamond"/>
                <w:color w:val="000000" w:themeColor="text1"/>
                <w:kern w:val="2"/>
                <w:sz w:val="28"/>
                <w:szCs w:val="28"/>
                <w:vertAlign w:val="superscript"/>
                <w14:textFill>
                  <w14:solidFill>
                    <w14:schemeClr w14:val="tx1"/>
                  </w14:solidFill>
                </w14:textFill>
              </w:rPr>
              <w:t>2</w:t>
            </w:r>
            <w:r>
              <w:rPr>
                <w:rFonts w:hint="eastAsia" w:ascii="Garamond" w:hAnsi="Garamond"/>
                <w:color w:val="000000" w:themeColor="text1"/>
                <w:kern w:val="2"/>
                <w:sz w:val="28"/>
                <w:szCs w:val="28"/>
                <w14:textFill>
                  <w14:solidFill>
                    <w14:schemeClr w14:val="tx1"/>
                  </w14:solidFill>
                </w14:textFill>
              </w:rPr>
              <w:t xml:space="preserve">) for each meta-analysis.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9-11</w:t>
            </w:r>
          </w:p>
        </w:tc>
      </w:tr>
      <w:tr>
        <w:trPr>
          <w:trHeight w:val="580"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Risk of bias across studies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15</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Specify any assessment of risk of bias that may affect the cumulative evidence (e.g., publication bias, selective reporting within studies).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11</w:t>
            </w:r>
          </w:p>
        </w:tc>
      </w:tr>
      <w:tr>
        <w:trPr>
          <w:trHeight w:val="580"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Additional analyses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16</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methods of additional analyses (e.g., sensitivity or subgroup analyses, meta-regression), if done, indicating which were pre-specified.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10-11</w:t>
            </w:r>
          </w:p>
        </w:tc>
      </w:tr>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RESULTS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Study selection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17</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Give numbers of studies screened, assessed for eligibility, and included in the review, with reasons for exclusions at each stage, ideally with a flow diagram.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13</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Study characteristics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18</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For each study, present characteristics for which data were extracted (e.g., study size, PICOS, follow-up period) and provide the citations.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13</w:t>
            </w:r>
          </w:p>
        </w:tc>
      </w:tr>
      <w:tr>
        <w:trPr>
          <w:trHeight w:val="333"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Risk of bias within studies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19</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Present data on risk of bias of each study and, if available, any outcome level assessment (see item 12).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13-14</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Results of individual studies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20</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For all outcomes considered (benefits or harms), present, for each study: (a) simple summary data for each intervention group (b) effect estimates and confidence intervals, ideally with a forest plot.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14-15</w:t>
            </w:r>
          </w:p>
        </w:tc>
      </w:tr>
      <w:tr>
        <w:trPr>
          <w:trHeight w:val="335"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Synthesis of results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21</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Present results of each meta-analysis done, including confidence intervals and measures of consistency.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14-15</w:t>
            </w:r>
          </w:p>
        </w:tc>
      </w:tr>
      <w:tr>
        <w:trPr>
          <w:trHeight w:val="333"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Risk of bias across studies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22</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Present results of any assessment of risk of bias across studies (see Item 15).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16-17</w:t>
            </w:r>
          </w:p>
        </w:tc>
      </w:tr>
      <w:tr>
        <w:trPr>
          <w:trHeight w:val="393" w:hRule="atLeast"/>
        </w:trPr>
        <w:tc>
          <w:tcPr>
            <w:tcW w:w="3119"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Additional analysis </w:t>
            </w:r>
          </w:p>
        </w:tc>
        <w:tc>
          <w:tcPr>
            <w:tcW w:w="709"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23</w:t>
            </w:r>
          </w:p>
        </w:tc>
        <w:tc>
          <w:tcPr>
            <w:tcW w:w="11360"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Give results of additional analyses, if done (e.g., sensitivity or subgroup analyses, meta-regression [see Item 16]). </w:t>
            </w:r>
          </w:p>
        </w:tc>
        <w:tc>
          <w:tcPr>
            <w:tcW w:w="1397"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15-16</w:t>
            </w:r>
          </w:p>
        </w:tc>
      </w:tr>
      <w:tr>
        <w:trPr>
          <w:trHeight w:val="335"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DISCUSSION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Summary of evidence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24</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Summarize the main findings including the strength of evidence for each main outcome; consider their relevance to key groups (e.g., healthcare providers, users, and policy makers).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18-26</w:t>
            </w:r>
          </w:p>
        </w:tc>
      </w:tr>
      <w:tr>
        <w:trPr>
          <w:trHeight w:val="578" w:hRule="atLeast"/>
        </w:trPr>
        <w:tc>
          <w:tcPr>
            <w:tcW w:w="311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Limitations </w:t>
            </w:r>
          </w:p>
        </w:tc>
        <w:tc>
          <w:tcPr>
            <w:tcW w:w="709"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25</w:t>
            </w:r>
          </w:p>
        </w:tc>
        <w:tc>
          <w:tcPr>
            <w:tcW w:w="11360"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Discuss limitations at study and outcome level (e.g., risk of bias), and at review-level (e.g., incomplete retrieval of identified research, reporting bias). </w:t>
            </w:r>
          </w:p>
        </w:tc>
        <w:tc>
          <w:tcPr>
            <w:tcW w:w="1397" w:type="dxa"/>
            <w:tcBorders>
              <w:top w:val="single" w:color="000000" w:sz="6" w:space="0"/>
              <w:left w:val="single" w:color="000000" w:sz="6" w:space="0"/>
              <w:bottom w:val="sing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27-29</w:t>
            </w:r>
          </w:p>
        </w:tc>
      </w:tr>
      <w:tr>
        <w:trPr>
          <w:trHeight w:val="420" w:hRule="atLeast"/>
        </w:trPr>
        <w:tc>
          <w:tcPr>
            <w:tcW w:w="3119"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Conclusions </w:t>
            </w:r>
          </w:p>
        </w:tc>
        <w:tc>
          <w:tcPr>
            <w:tcW w:w="709" w:type="dxa"/>
            <w:tcBorders>
              <w:top w:val="single" w:color="000000" w:sz="6" w:space="0"/>
              <w:left w:val="single" w:color="000000" w:sz="6" w:space="0"/>
              <w:bottom w:val="single" w:color="auto" w:sz="4"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26</w:t>
            </w:r>
          </w:p>
        </w:tc>
        <w:tc>
          <w:tcPr>
            <w:tcW w:w="11360"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Provide a general interpretation of the results in the context of other evidence, and implications for future research. </w:t>
            </w:r>
          </w:p>
        </w:tc>
        <w:tc>
          <w:tcPr>
            <w:tcW w:w="1397"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30</w:t>
            </w:r>
          </w:p>
        </w:tc>
      </w:tr>
      <w:tr>
        <w:trPr>
          <w:trHeight w:val="333" w:hRule="atLeast"/>
        </w:trPr>
        <w:tc>
          <w:tcPr>
            <w:tcW w:w="15188" w:type="dxa"/>
            <w:gridSpan w:val="3"/>
            <w:tcBorders>
              <w:top w:val="double" w:color="000000" w:sz="6" w:space="0"/>
              <w:left w:val="single" w:color="000000" w:sz="6" w:space="0"/>
              <w:bottom w:val="single" w:color="000000" w:sz="6" w:space="0"/>
              <w:right w:val="single" w:color="000000" w:sz="6" w:space="0"/>
            </w:tcBorders>
            <w:shd w:val="clear" w:color="auto" w:fill="FFFFCC"/>
            <w:vAlign w:val="center"/>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b/>
                <w:bCs/>
                <w:color w:val="000000" w:themeColor="text1"/>
                <w:kern w:val="2"/>
                <w:sz w:val="28"/>
                <w:szCs w:val="28"/>
                <w14:textFill>
                  <w14:solidFill>
                    <w14:schemeClr w14:val="tx1"/>
                  </w14:solidFill>
                </w14:textFill>
              </w:rPr>
              <w:t xml:space="preserve">FUNDING </w:t>
            </w:r>
          </w:p>
        </w:tc>
        <w:tc>
          <w:tcPr>
            <w:tcW w:w="1397" w:type="dxa"/>
            <w:tcBorders>
              <w:top w:val="double" w:color="000000" w:sz="6" w:space="0"/>
              <w:left w:val="single" w:color="000000" w:sz="6" w:space="0"/>
              <w:bottom w:val="single" w:color="000000" w:sz="6" w:space="0"/>
              <w:right w:val="single" w:color="000000" w:sz="6" w:space="0"/>
            </w:tcBorders>
            <w:shd w:val="clear" w:color="auto" w:fill="FFFFCC"/>
          </w:tcPr>
          <w:p>
            <w:pPr>
              <w:pStyle w:val="19"/>
              <w:snapToGrid w:val="0"/>
              <w:spacing w:line="360" w:lineRule="auto"/>
              <w:jc w:val="both"/>
              <w:rPr>
                <w:rFonts w:ascii="Garamond" w:hAnsi="Garamond"/>
                <w:color w:val="000000" w:themeColor="text1"/>
                <w:kern w:val="2"/>
                <w:sz w:val="28"/>
                <w:szCs w:val="28"/>
                <w14:textFill>
                  <w14:solidFill>
                    <w14:schemeClr w14:val="tx1"/>
                  </w14:solidFill>
                </w14:textFill>
              </w:rPr>
            </w:pPr>
          </w:p>
        </w:tc>
      </w:tr>
      <w:tr>
        <w:trPr>
          <w:trHeight w:val="570" w:hRule="atLeast"/>
        </w:trPr>
        <w:tc>
          <w:tcPr>
            <w:tcW w:w="3119"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Funding </w:t>
            </w:r>
          </w:p>
        </w:tc>
        <w:tc>
          <w:tcPr>
            <w:tcW w:w="709"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27</w:t>
            </w:r>
          </w:p>
        </w:tc>
        <w:tc>
          <w:tcPr>
            <w:tcW w:w="11360"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14:textFill>
                  <w14:solidFill>
                    <w14:schemeClr w14:val="tx1"/>
                  </w14:solidFill>
                </w14:textFill>
              </w:rPr>
            </w:pPr>
            <w:r>
              <w:rPr>
                <w:rFonts w:hint="eastAsia" w:ascii="Garamond" w:hAnsi="Garamond"/>
                <w:color w:val="000000" w:themeColor="text1"/>
                <w:kern w:val="2"/>
                <w:sz w:val="28"/>
                <w:szCs w:val="28"/>
                <w14:textFill>
                  <w14:solidFill>
                    <w14:schemeClr w14:val="tx1"/>
                  </w14:solidFill>
                </w14:textFill>
              </w:rPr>
              <w:t xml:space="preserve">Describe sources of funding for the systematic review and other support (e.g., supply of data); role of funders for the systematic review. </w:t>
            </w:r>
          </w:p>
        </w:tc>
        <w:tc>
          <w:tcPr>
            <w:tcW w:w="1397" w:type="dxa"/>
            <w:tcBorders>
              <w:top w:val="single" w:color="000000" w:sz="6" w:space="0"/>
              <w:left w:val="single" w:color="000000" w:sz="6" w:space="0"/>
              <w:bottom w:val="double" w:color="000000" w:sz="6" w:space="0"/>
              <w:right w:val="single" w:color="000000" w:sz="6" w:space="0"/>
            </w:tcBorders>
          </w:tcPr>
          <w:p>
            <w:pPr>
              <w:pStyle w:val="19"/>
              <w:snapToGrid w:val="0"/>
              <w:spacing w:before="40" w:after="40" w:line="360" w:lineRule="auto"/>
              <w:jc w:val="both"/>
              <w:rPr>
                <w:rFonts w:ascii="Garamond" w:hAnsi="Garamond"/>
                <w:color w:val="000000" w:themeColor="text1"/>
                <w:kern w:val="2"/>
                <w:sz w:val="28"/>
                <w:szCs w:val="28"/>
                <w:lang w:val="en-US" w:eastAsia="zh-CN"/>
                <w14:textFill>
                  <w14:solidFill>
                    <w14:schemeClr w14:val="tx1"/>
                  </w14:solidFill>
                </w14:textFill>
              </w:rPr>
            </w:pPr>
            <w:r>
              <w:rPr>
                <w:rFonts w:ascii="Garamond" w:hAnsi="Garamond"/>
                <w:color w:val="000000" w:themeColor="text1"/>
                <w:kern w:val="2"/>
                <w:sz w:val="28"/>
                <w:szCs w:val="28"/>
                <w:lang w:val="en-US" w:eastAsia="zh-CN"/>
                <w14:textFill>
                  <w14:solidFill>
                    <w14:schemeClr w14:val="tx1"/>
                  </w14:solidFill>
                </w14:textFill>
              </w:rPr>
              <w:t>30</w:t>
            </w:r>
          </w:p>
        </w:tc>
      </w:tr>
    </w:tbl>
    <w:p>
      <w:pPr>
        <w:pStyle w:val="21"/>
        <w:spacing w:line="360" w:lineRule="auto"/>
        <w:ind w:left="0"/>
        <w:jc w:val="left"/>
        <w:rPr>
          <w:rFonts w:ascii="Garamond" w:hAnsi="Garamond"/>
          <w:bCs/>
          <w:color w:val="000000" w:themeColor="text1"/>
          <w:sz w:val="28"/>
          <w:szCs w:val="28"/>
          <w14:textFill>
            <w14:solidFill>
              <w14:schemeClr w14:val="tx1"/>
            </w14:solidFill>
          </w14:textFill>
        </w:rPr>
      </w:pPr>
      <w:bookmarkStart w:id="33" w:name="OLE_LINK2207"/>
      <w:bookmarkStart w:id="34" w:name="OLE_LINK2292"/>
      <w:bookmarkStart w:id="35" w:name="OLE_LINK2309"/>
      <w:bookmarkStart w:id="36" w:name="OLE_LINK2294"/>
      <w:bookmarkStart w:id="37" w:name="OLE_LINK2208"/>
      <w:bookmarkStart w:id="38" w:name="OLE_LINK2293"/>
      <w:bookmarkStart w:id="39" w:name="OLE_LINK2298"/>
      <w:r>
        <w:rPr>
          <w:rFonts w:ascii="Garamond" w:hAnsi="Garamond"/>
          <w:b/>
          <w:color w:val="000000" w:themeColor="text1"/>
          <w:sz w:val="28"/>
          <w:szCs w:val="28"/>
          <w14:textFill>
            <w14:solidFill>
              <w14:schemeClr w14:val="tx1"/>
            </w14:solidFill>
          </w14:textFill>
        </w:rPr>
        <w:t xml:space="preserve">Table S2. </w:t>
      </w:r>
      <w:r>
        <w:rPr>
          <w:rFonts w:ascii="Garamond" w:hAnsi="Garamond"/>
          <w:bCs/>
          <w:color w:val="000000" w:themeColor="text1"/>
          <w:sz w:val="28"/>
          <w:szCs w:val="28"/>
          <w14:textFill>
            <w14:solidFill>
              <w14:schemeClr w14:val="tx1"/>
            </w14:solidFill>
          </w14:textFill>
        </w:rPr>
        <w:t>Literature search strategy (dated to July 10, 2021)</w:t>
      </w:r>
      <w:bookmarkEnd w:id="7"/>
      <w:bookmarkEnd w:id="8"/>
      <w:bookmarkEnd w:id="9"/>
      <w:bookmarkEnd w:id="10"/>
      <w:bookmarkEnd w:id="11"/>
      <w:bookmarkEnd w:id="12"/>
      <w:bookmarkEnd w:id="13"/>
      <w:bookmarkEnd w:id="14"/>
      <w:bookmarkEnd w:id="33"/>
      <w:bookmarkEnd w:id="34"/>
      <w:bookmarkEnd w:id="35"/>
      <w:bookmarkEnd w:id="36"/>
      <w:bookmarkEnd w:id="37"/>
      <w:bookmarkEnd w:id="38"/>
      <w:bookmarkEnd w:id="39"/>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8"/>
        <w:gridCol w:w="10741"/>
        <w:gridCol w:w="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8" w:type="dxa"/>
          </w:tcPr>
          <w:p>
            <w:pPr>
              <w:adjustRightInd w:val="0"/>
              <w:spacing w:line="360" w:lineRule="auto"/>
              <w:rPr>
                <w:rFonts w:ascii="Garamond" w:hAnsi="Garamond" w:cs="Calibri"/>
                <w:color w:val="000000" w:themeColor="text1"/>
                <w:sz w:val="28"/>
                <w:szCs w:val="28"/>
                <w14:textFill>
                  <w14:solidFill>
                    <w14:schemeClr w14:val="tx1"/>
                  </w14:solidFill>
                </w14:textFill>
              </w:rPr>
            </w:pPr>
            <w:bookmarkStart w:id="40" w:name="_Hlk34742488"/>
            <w:bookmarkStart w:id="41" w:name="OLE_LINK1738"/>
            <w:bookmarkStart w:id="42" w:name="OLE_LINK1737"/>
            <w:bookmarkStart w:id="43" w:name="OLE_LINK1739"/>
            <w:bookmarkStart w:id="44" w:name="OLE_LINK1317"/>
            <w:bookmarkStart w:id="45" w:name="OLE_LINK1289"/>
            <w:bookmarkStart w:id="46" w:name="OLE_LINK1288"/>
            <w:r>
              <w:rPr>
                <w:rFonts w:hint="eastAsia" w:ascii="Garamond" w:hAnsi="Garamond" w:cs="Calibri"/>
                <w:color w:val="000000" w:themeColor="text1"/>
                <w:sz w:val="28"/>
                <w:szCs w:val="28"/>
                <w14:textFill>
                  <w14:solidFill>
                    <w14:schemeClr w14:val="tx1"/>
                  </w14:solidFill>
                </w14:textFill>
              </w:rPr>
              <w:t>Database</w:t>
            </w:r>
          </w:p>
        </w:tc>
        <w:tc>
          <w:tcPr>
            <w:tcW w:w="10741" w:type="dxa"/>
          </w:tcPr>
          <w:p>
            <w:pPr>
              <w:adjustRightInd w:val="0"/>
              <w:spacing w:line="360" w:lineRule="auto"/>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Search strategies</w:t>
            </w:r>
          </w:p>
        </w:tc>
        <w:tc>
          <w:tcPr>
            <w:tcW w:w="0" w:type="auto"/>
          </w:tcPr>
          <w:p>
            <w:pPr>
              <w:adjustRightInd w:val="0"/>
              <w:spacing w:line="360" w:lineRule="auto"/>
              <w:rPr>
                <w:rFonts w:ascii="Garamond" w:hAnsi="Garamond" w:cs="Calibri"/>
                <w:b/>
                <w:bCs/>
                <w:color w:val="000000" w:themeColor="text1"/>
                <w:sz w:val="28"/>
                <w:szCs w:val="28"/>
                <w14:textFill>
                  <w14:solidFill>
                    <w14:schemeClr w14:val="tx1"/>
                  </w14:solidFill>
                </w14:textFill>
              </w:rPr>
            </w:pPr>
            <w:r>
              <w:rPr>
                <w:rFonts w:hint="eastAsia" w:ascii="Garamond" w:hAnsi="Garamond" w:cs="Calibri"/>
                <w:b/>
                <w:bCs/>
                <w:color w:val="000000" w:themeColor="text1"/>
                <w:sz w:val="28"/>
                <w:szCs w:val="28"/>
                <w14:textFill>
                  <w14:solidFill>
                    <w14:schemeClr w14:val="tx1"/>
                  </w14:solidFill>
                </w14:textFill>
              </w:rPr>
              <w:t>Results</w:t>
            </w:r>
          </w:p>
        </w:tc>
      </w:tr>
      <w:bookmarkEnd w:id="4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8" w:type="dxa"/>
          </w:tcPr>
          <w:p>
            <w:pPr>
              <w:adjustRightInd w:val="0"/>
              <w:rPr>
                <w:rFonts w:ascii="Garamond" w:hAnsi="Garamond" w:cs="Calibri"/>
                <w:color w:val="000000" w:themeColor="text1"/>
                <w:sz w:val="28"/>
                <w:szCs w:val="28"/>
                <w14:textFill>
                  <w14:solidFill>
                    <w14:schemeClr w14:val="tx1"/>
                  </w14:solidFill>
                </w14:textFill>
              </w:rPr>
            </w:pPr>
            <w:bookmarkStart w:id="47" w:name="_Hlk34742474"/>
            <w:bookmarkStart w:id="48" w:name="_Hlk45283604"/>
            <w:bookmarkStart w:id="49" w:name="_Hlk34744982"/>
            <w:r>
              <w:rPr>
                <w:rFonts w:hint="eastAsia" w:ascii="Garamond" w:hAnsi="Garamond" w:cs="Calibri"/>
                <w:color w:val="000000" w:themeColor="text1"/>
                <w:sz w:val="28"/>
                <w:szCs w:val="28"/>
                <w14:textFill>
                  <w14:solidFill>
                    <w14:schemeClr w14:val="tx1"/>
                  </w14:solidFill>
                </w14:textFill>
              </w:rPr>
              <w:t>PubMed</w:t>
            </w:r>
          </w:p>
        </w:tc>
        <w:tc>
          <w:tcPr>
            <w:tcW w:w="10741" w:type="dxa"/>
          </w:tcPr>
          <w:p>
            <w:pPr>
              <w:adjustRightInd w:val="0"/>
              <w:jc w:val="both"/>
              <w:rPr>
                <w:rFonts w:ascii="Garamond" w:hAnsi="Garamond" w:cs="Calibri"/>
                <w:color w:val="000000" w:themeColor="text1"/>
                <w14:textFill>
                  <w14:solidFill>
                    <w14:schemeClr w14:val="tx1"/>
                  </w14:solidFill>
                </w14:textFill>
              </w:rPr>
            </w:pPr>
            <w:r>
              <w:rPr>
                <w:rFonts w:hint="eastAsia" w:ascii="Garamond" w:hAnsi="Garamond" w:cs="Calibri"/>
                <w:color w:val="000000" w:themeColor="text1"/>
                <w14:textFill>
                  <w14:solidFill>
                    <w14:schemeClr w14:val="tx1"/>
                  </w14:solidFill>
                </w14:textFill>
              </w:rPr>
              <w:t>(liver enzyme</w:t>
            </w:r>
            <w:r>
              <w:rPr>
                <w:rFonts w:ascii="Garamond" w:hAnsi="Garamond" w:cs="Calibri"/>
                <w:color w:val="000000" w:themeColor="text1"/>
                <w14:textFill>
                  <w14:solidFill>
                    <w14:schemeClr w14:val="tx1"/>
                  </w14:solidFill>
                </w14:textFill>
              </w:rPr>
              <w:t>*</w:t>
            </w:r>
            <w:r>
              <w:rPr>
                <w:rFonts w:hint="eastAsia" w:ascii="Garamond" w:hAnsi="Garamond" w:cs="Calibri"/>
                <w:color w:val="000000" w:themeColor="text1"/>
                <w14:textFill>
                  <w14:solidFill>
                    <w14:schemeClr w14:val="tx1"/>
                  </w14:solidFill>
                </w14:textFill>
              </w:rPr>
              <w:t>[Title/Abstract] OR hepatase[Title/Abstract] OR hepatic enzyme</w:t>
            </w:r>
            <w:r>
              <w:rPr>
                <w:rFonts w:ascii="Garamond" w:hAnsi="Garamond" w:cs="Calibri"/>
                <w:color w:val="000000" w:themeColor="text1"/>
                <w14:textFill>
                  <w14:solidFill>
                    <w14:schemeClr w14:val="tx1"/>
                  </w14:solidFill>
                </w14:textFill>
              </w:rPr>
              <w:t>*</w:t>
            </w:r>
            <w:r>
              <w:rPr>
                <w:rFonts w:hint="eastAsia" w:ascii="Garamond" w:hAnsi="Garamond" w:cs="Calibri"/>
                <w:color w:val="000000" w:themeColor="text1"/>
                <w14:textFill>
                  <w14:solidFill>
                    <w14:schemeClr w14:val="tx1"/>
                  </w14:solidFill>
                </w14:textFill>
              </w:rPr>
              <w:t>[Title/Abstract] OR ALT[Title/Abstract] OR Alanine transaminase[Title/Abstract] OR AST[Title/Abstract] OR aspartate transaminase[Title/Abstract] OR GGT[Title/Abstract] OR γ-glutamyl transpeptadase[Title/Abstract] OR ALP[Title/Abstract] OR alkaline phosphatase[Title/Abstract]) AND (PFOA[Title/Abstract] OR pfoa[Title/Abstract] OR Perfluorooctanoic Acid[Title/Abstract] OR Pentadecafluorooctanoic acid[Title/Abstract] OR Perfluorocaprylic acid[Title/Abstract])</w:t>
            </w:r>
          </w:p>
        </w:tc>
        <w:tc>
          <w:tcPr>
            <w:tcW w:w="0" w:type="auto"/>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35</w:t>
            </w:r>
          </w:p>
        </w:tc>
      </w:tr>
      <w:bookmarkEnd w:id="4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8" w:type="dxa"/>
          </w:tcPr>
          <w:p>
            <w:pPr>
              <w:adjustRightInd w:val="0"/>
              <w:rPr>
                <w:rFonts w:ascii="Garamond" w:hAnsi="Garamond" w:cs="Calibri"/>
                <w:color w:val="000000" w:themeColor="text1"/>
                <w:sz w:val="28"/>
                <w:szCs w:val="28"/>
                <w14:textFill>
                  <w14:solidFill>
                    <w14:schemeClr w14:val="tx1"/>
                  </w14:solidFill>
                </w14:textFill>
              </w:rPr>
            </w:pPr>
            <w:bookmarkStart w:id="50" w:name="_Hlk45283028"/>
            <w:r>
              <w:rPr>
                <w:rFonts w:hint="eastAsia" w:ascii="Garamond" w:hAnsi="Garamond" w:cs="Calibri"/>
                <w:color w:val="000000" w:themeColor="text1"/>
                <w:sz w:val="28"/>
                <w:szCs w:val="28"/>
                <w14:textFill>
                  <w14:solidFill>
                    <w14:schemeClr w14:val="tx1"/>
                  </w14:solidFill>
                </w14:textFill>
              </w:rPr>
              <w:t>Web of Science</w:t>
            </w:r>
          </w:p>
        </w:tc>
        <w:tc>
          <w:tcPr>
            <w:tcW w:w="10741" w:type="dxa"/>
          </w:tcPr>
          <w:p>
            <w:pPr>
              <w:adjustRightInd w:val="0"/>
              <w:jc w:val="both"/>
              <w:rPr>
                <w:rFonts w:ascii="Garamond" w:hAnsi="Garamond" w:cs="Calibri"/>
                <w:color w:val="000000" w:themeColor="text1"/>
                <w14:textFill>
                  <w14:solidFill>
                    <w14:schemeClr w14:val="tx1"/>
                  </w14:solidFill>
                </w14:textFill>
              </w:rPr>
            </w:pPr>
            <w:r>
              <w:rPr>
                <w:rFonts w:hint="eastAsia" w:ascii="Garamond" w:hAnsi="Garamond" w:cs="Calibri"/>
                <w:color w:val="000000" w:themeColor="text1"/>
                <w14:textFill>
                  <w14:solidFill>
                    <w14:schemeClr w14:val="tx1"/>
                  </w14:solidFill>
                </w14:textFill>
              </w:rPr>
              <w:t>TOPIC: (liver enzyme OR liver enzymes  OR hepatase  OR hepatic enzyme  OR ALT  OR Alanine transaminase  OR AST OR aspartate transaminase  OR GGT  OR γ-glutamyl transpeptadase  OR ALP  OR alkaline phosphatase) AND TOPIC: (PFOA OR pfoa  OR Perfluorooctanoic Acid  OR Pentadecafluorooctanoic acid  OR Perfluorocaprylic acid)</w:t>
            </w:r>
          </w:p>
        </w:tc>
        <w:tc>
          <w:tcPr>
            <w:tcW w:w="0" w:type="auto"/>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133</w:t>
            </w:r>
          </w:p>
        </w:tc>
      </w:tr>
      <w:bookmarkEnd w:id="48"/>
      <w:bookmarkEnd w:id="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EMBASE</w:t>
            </w:r>
          </w:p>
        </w:tc>
        <w:tc>
          <w:tcPr>
            <w:tcW w:w="10741" w:type="dxa"/>
          </w:tcPr>
          <w:p>
            <w:pPr>
              <w:jc w:val="both"/>
              <w:rPr>
                <w:rFonts w:ascii="Garamond" w:hAnsi="Garamond" w:cs="Calibri"/>
                <w:color w:val="000000" w:themeColor="text1"/>
                <w14:textFill>
                  <w14:solidFill>
                    <w14:schemeClr w14:val="tx1"/>
                  </w14:solidFill>
                </w14:textFill>
              </w:rPr>
            </w:pPr>
            <w:r>
              <w:rPr>
                <w:rFonts w:hint="eastAsia" w:ascii="Garamond" w:hAnsi="Garamond" w:cs="Calibri"/>
                <w:color w:val="000000" w:themeColor="text1"/>
                <w14:textFill>
                  <w14:solidFill>
                    <w14:schemeClr w14:val="tx1"/>
                  </w14:solidFill>
                </w14:textFill>
              </w:rPr>
              <w:t>('liver enzyme or liver enzymes':ti,ab,kw OR hepatase:ti,ab,kw OR 'hepatic enzyme':ti,ab,kw OR alt:ti,ab,kw OR 'alanine transaminase':ti,ab,kw OR 'ast or aspartate transaminase':ti,ab,kw OR ggt:ti,ab,kw OR 'γ-glutamyl transpeptadase':ti,ab,kw OR alp:ti,ab,kw OR 'alkaline phosphatase':ti,ab,kw) AND ('pfoa or pfoa':ti,ab,kw OR 'perfluorooctanoic acid':ti,ab,kw OR 'pentadecafluorooctanoic acid':ti,ab,kw OR 'perfluorocaprylic acid':ti,ab,kw)</w:t>
            </w:r>
          </w:p>
        </w:tc>
        <w:tc>
          <w:tcPr>
            <w:tcW w:w="0" w:type="auto"/>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18</w:t>
            </w:r>
          </w:p>
        </w:tc>
      </w:tr>
      <w:bookmarkEnd w:id="15"/>
      <w:bookmarkEnd w:id="16"/>
      <w:bookmarkEnd w:id="17"/>
      <w:bookmarkEnd w:id="41"/>
      <w:bookmarkEnd w:id="42"/>
      <w:bookmarkEnd w:id="43"/>
      <w:bookmarkEnd w:id="44"/>
      <w:bookmarkEnd w:id="45"/>
      <w:bookmarkEnd w:id="46"/>
      <w:bookmarkEnd w:id="49"/>
    </w:tbl>
    <w:p>
      <w:pPr>
        <w:spacing w:line="360" w:lineRule="auto"/>
        <w:rPr>
          <w:rFonts w:ascii="Garamond" w:hAnsi="Garamond" w:cs="Times New Roman"/>
          <w:b/>
          <w:color w:val="000000" w:themeColor="text1"/>
          <w:sz w:val="28"/>
          <w:szCs w:val="28"/>
          <w:lang w:val="en-GB"/>
          <w14:textFill>
            <w14:solidFill>
              <w14:schemeClr w14:val="tx1"/>
            </w14:solidFill>
          </w14:textFill>
        </w:rPr>
      </w:pPr>
      <w:bookmarkStart w:id="51" w:name="OLE_LINK2303"/>
      <w:bookmarkStart w:id="52" w:name="OLE_LINK2305"/>
      <w:bookmarkStart w:id="53" w:name="OLE_LINK2297"/>
      <w:bookmarkStart w:id="54" w:name="OLE_LINK2296"/>
      <w:bookmarkStart w:id="55" w:name="OLE_LINK2306"/>
      <w:bookmarkStart w:id="56" w:name="OLE_LINK3548"/>
      <w:bookmarkStart w:id="57" w:name="OLE_LINK2300"/>
      <w:bookmarkStart w:id="58" w:name="OLE_LINK2301"/>
      <w:bookmarkStart w:id="59" w:name="OLE_LINK2299"/>
      <w:bookmarkStart w:id="60" w:name="OLE_LINK2307"/>
      <w:bookmarkStart w:id="61" w:name="OLE_LINK2295"/>
      <w:bookmarkStart w:id="62" w:name="OLE_LINK2308"/>
      <w:bookmarkStart w:id="63" w:name="OLE_LINK2304"/>
      <w:bookmarkStart w:id="64" w:name="OLE_LINK2302"/>
      <w:bookmarkStart w:id="65" w:name="OLE_LINK6"/>
      <w:bookmarkStart w:id="66" w:name="OLE_LINK549"/>
      <w:bookmarkStart w:id="67" w:name="OLE_LINK5"/>
      <w:bookmarkStart w:id="68" w:name="OLE_LINK878"/>
      <w:bookmarkStart w:id="69" w:name="OLE_LINK881"/>
      <w:bookmarkStart w:id="70" w:name="OLE_LINK879"/>
      <w:bookmarkStart w:id="71" w:name="OLE_LINK883"/>
      <w:bookmarkStart w:id="72" w:name="OLE_LINK882"/>
      <w:bookmarkStart w:id="73" w:name="OLE_LINK880"/>
      <w:bookmarkStart w:id="74" w:name="OLE_LINK897"/>
      <w:bookmarkStart w:id="75" w:name="OLE_LINK884"/>
      <w:bookmarkStart w:id="76" w:name="OLE_LINK75"/>
      <w:bookmarkStart w:id="77" w:name="OLE_LINK877"/>
      <w:bookmarkStart w:id="78" w:name="OLE_LINK74"/>
      <w:bookmarkStart w:id="79" w:name="OLE_LINK7"/>
      <w:bookmarkStart w:id="80" w:name="OLE_LINK548"/>
      <w:r>
        <w:rPr>
          <w:rFonts w:ascii="Garamond" w:hAnsi="Garamond" w:cs="Times New Roman"/>
          <w:b/>
          <w:color w:val="000000" w:themeColor="text1"/>
          <w:sz w:val="28"/>
          <w:szCs w:val="28"/>
          <w:lang w:val="en-GB"/>
          <w14:textFill>
            <w14:solidFill>
              <w14:schemeClr w14:val="tx1"/>
            </w14:solidFill>
          </w14:textFill>
        </w:rPr>
        <w:br w:type="page"/>
      </w:r>
      <w:r>
        <w:rPr>
          <w:rFonts w:ascii="Garamond" w:hAnsi="Garamond" w:cs="Times New Roman"/>
          <w:b/>
          <w:color w:val="000000" w:themeColor="text1"/>
          <w:sz w:val="28"/>
          <w:szCs w:val="28"/>
          <w:lang w:val="en-GB"/>
          <w14:textFill>
            <w14:solidFill>
              <w14:schemeClr w14:val="tx1"/>
            </w14:solidFill>
          </w14:textFill>
        </w:rPr>
        <w:t xml:space="preserve">Table S3. </w:t>
      </w:r>
      <w:r>
        <w:rPr>
          <w:rFonts w:ascii="Garamond" w:hAnsi="Garamond" w:cs="Times New Roman"/>
          <w:color w:val="000000" w:themeColor="text1"/>
          <w:sz w:val="28"/>
          <w:szCs w:val="28"/>
          <w:lang w:val="en-GB"/>
          <w14:textFill>
            <w14:solidFill>
              <w14:schemeClr w14:val="tx1"/>
            </w14:solidFill>
          </w14:textFill>
        </w:rPr>
        <w:t>Q</w:t>
      </w:r>
      <w:r>
        <w:rPr>
          <w:rFonts w:ascii="Garamond" w:hAnsi="Garamond" w:cs="TimesNewRomanPSMT"/>
          <w:color w:val="000000" w:themeColor="text1"/>
          <w:sz w:val="28"/>
          <w:szCs w:val="28"/>
          <w:lang w:val="en-GB"/>
          <w14:textFill>
            <w14:solidFill>
              <w14:schemeClr w14:val="tx1"/>
            </w14:solidFill>
          </w14:textFill>
        </w:rPr>
        <w:t>uality assessment of the included studies.</w:t>
      </w:r>
    </w:p>
    <w:tbl>
      <w:tblPr>
        <w:tblStyle w:val="12"/>
        <w:tblW w:w="15876"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9"/>
        <w:gridCol w:w="870"/>
        <w:gridCol w:w="797"/>
        <w:gridCol w:w="714"/>
        <w:gridCol w:w="748"/>
        <w:gridCol w:w="1041"/>
        <w:gridCol w:w="1105"/>
        <w:gridCol w:w="1214"/>
        <w:gridCol w:w="1271"/>
        <w:gridCol w:w="1799"/>
        <w:gridCol w:w="1339"/>
        <w:gridCol w:w="1701"/>
        <w:gridCol w:w="1190"/>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bookmarkStart w:id="81" w:name="OLE_LINK62"/>
            <w:bookmarkStart w:id="82" w:name="OLE_LINK4353"/>
            <w:bookmarkStart w:id="83" w:name="OLE_LINK4355"/>
            <w:bookmarkStart w:id="84" w:name="OLE_LINK2"/>
            <w:bookmarkStart w:id="85" w:name="OLE_LINK61"/>
            <w:bookmarkStart w:id="86" w:name="OLE_LINK4354"/>
            <w:r>
              <w:rPr>
                <w:rFonts w:hint="eastAsia" w:ascii="Garamond" w:hAnsi="Garamond"/>
                <w:b/>
                <w:bCs/>
                <w:color w:val="000000" w:themeColor="text1"/>
                <w:sz w:val="21"/>
                <w:szCs w:val="21"/>
                <w14:textFill>
                  <w14:solidFill>
                    <w14:schemeClr w14:val="tx1"/>
                  </w14:solidFill>
                </w14:textFill>
              </w:rPr>
              <w:t>Reference</w:t>
            </w:r>
          </w:p>
        </w:tc>
        <w:tc>
          <w:tcPr>
            <w:tcW w:w="870" w:type="dxa"/>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Sample size</w:t>
            </w:r>
          </w:p>
        </w:tc>
        <w:tc>
          <w:tcPr>
            <w:tcW w:w="0" w:type="auto"/>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Study design</w:t>
            </w:r>
          </w:p>
        </w:tc>
        <w:tc>
          <w:tcPr>
            <w:tcW w:w="0" w:type="auto"/>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Study site</w:t>
            </w:r>
          </w:p>
        </w:tc>
        <w:tc>
          <w:tcPr>
            <w:tcW w:w="0" w:type="auto"/>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Time frame</w:t>
            </w:r>
          </w:p>
        </w:tc>
        <w:tc>
          <w:tcPr>
            <w:tcW w:w="0" w:type="auto"/>
            <w:tcBorders>
              <w:top w:val="single" w:color="auto" w:sz="4" w:space="0"/>
              <w:left w:val="nil"/>
              <w:bottom w:val="single" w:color="auto" w:sz="4" w:space="0"/>
              <w:right w:val="single" w:color="auto" w:sz="4" w:space="0"/>
            </w:tcBorders>
            <w:shd w:val="clear" w:color="auto" w:fill="auto"/>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Response rate</w:t>
            </w:r>
          </w:p>
        </w:tc>
        <w:tc>
          <w:tcPr>
            <w:tcW w:w="0" w:type="auto"/>
            <w:tcBorders>
              <w:top w:val="single" w:color="auto" w:sz="4" w:space="0"/>
              <w:left w:val="nil"/>
              <w:bottom w:val="single" w:color="auto" w:sz="4" w:space="0"/>
              <w:right w:val="single" w:color="auto" w:sz="4" w:space="0"/>
            </w:tcBorders>
            <w:shd w:val="clear" w:color="auto" w:fill="auto"/>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Outcome definition</w:t>
            </w:r>
          </w:p>
        </w:tc>
        <w:tc>
          <w:tcPr>
            <w:tcW w:w="0" w:type="auto"/>
            <w:tcBorders>
              <w:top w:val="single" w:color="auto" w:sz="4" w:space="0"/>
              <w:left w:val="nil"/>
              <w:bottom w:val="single" w:color="auto" w:sz="4" w:space="0"/>
              <w:right w:val="single" w:color="auto" w:sz="4" w:space="0"/>
            </w:tcBorders>
            <w:shd w:val="clear" w:color="auto" w:fill="auto"/>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Outcome assessment</w:t>
            </w:r>
          </w:p>
        </w:tc>
        <w:tc>
          <w:tcPr>
            <w:tcW w:w="0" w:type="auto"/>
            <w:tcBorders>
              <w:top w:val="single" w:color="auto" w:sz="4" w:space="0"/>
              <w:left w:val="nil"/>
              <w:bottom w:val="single" w:color="auto" w:sz="4" w:space="0"/>
              <w:right w:val="single" w:color="auto" w:sz="4" w:space="0"/>
            </w:tcBorders>
            <w:shd w:val="clear" w:color="auto" w:fill="auto"/>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Assessment of PFOA</w:t>
            </w:r>
          </w:p>
        </w:tc>
        <w:tc>
          <w:tcPr>
            <w:tcW w:w="1799" w:type="dxa"/>
            <w:tcBorders>
              <w:top w:val="single" w:color="auto" w:sz="4" w:space="0"/>
              <w:left w:val="nil"/>
              <w:bottom w:val="single" w:color="auto" w:sz="4" w:space="0"/>
              <w:right w:val="single" w:color="auto" w:sz="4" w:space="0"/>
            </w:tcBorders>
            <w:shd w:val="clear" w:color="auto" w:fill="auto"/>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Bio-phsyco-social plausibility</w:t>
            </w:r>
          </w:p>
        </w:tc>
        <w:tc>
          <w:tcPr>
            <w:tcW w:w="1339" w:type="dxa"/>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Adjustments for personal covariates</w:t>
            </w:r>
          </w:p>
        </w:tc>
        <w:tc>
          <w:tcPr>
            <w:tcW w:w="1701" w:type="dxa"/>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Adjustments for environmental covariates</w:t>
            </w:r>
          </w:p>
        </w:tc>
        <w:tc>
          <w:tcPr>
            <w:tcW w:w="1190" w:type="dxa"/>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Effect size calculation</w:t>
            </w:r>
          </w:p>
        </w:tc>
        <w:tc>
          <w:tcPr>
            <w:tcW w:w="877" w:type="dxa"/>
            <w:tcBorders>
              <w:top w:val="single" w:color="auto" w:sz="4" w:space="0"/>
              <w:left w:val="nil"/>
              <w:bottom w:val="single" w:color="auto" w:sz="4" w:space="0"/>
              <w:right w:val="single" w:color="auto" w:sz="4" w:space="0"/>
            </w:tcBorders>
            <w:vAlign w:val="center"/>
          </w:tcPr>
          <w:p>
            <w:pPr>
              <w:pStyle w:val="17"/>
              <w:adjustRightInd w:val="0"/>
              <w:snapToGrid w:val="0"/>
              <w:spacing w:line="360" w:lineRule="auto"/>
              <w:jc w:val="center"/>
              <w:rPr>
                <w:rFonts w:ascii="Garamond" w:hAnsi="Garamond"/>
                <w:b/>
                <w:bCs/>
                <w:color w:val="000000" w:themeColor="text1"/>
                <w:sz w:val="21"/>
                <w:szCs w:val="21"/>
                <w14:textFill>
                  <w14:solidFill>
                    <w14:schemeClr w14:val="tx1"/>
                  </w14:solidFill>
                </w14:textFill>
              </w:rPr>
            </w:pPr>
            <w:r>
              <w:rPr>
                <w:rFonts w:hint="eastAsia" w:ascii="Garamond" w:hAnsi="Garamond"/>
                <w:b/>
                <w:bCs/>
                <w:color w:val="000000" w:themeColor="text1"/>
                <w:sz w:val="21"/>
                <w:szCs w:val="21"/>
                <w14:textFill>
                  <w14:solidFill>
                    <w14:schemeClr w14:val="tx1"/>
                  </w14:solidFill>
                </w14:textFill>
              </w:rPr>
              <w:t>Quality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bookmarkStart w:id="87" w:name="OLE_LINK8"/>
            <w:bookmarkStart w:id="88" w:name="OLE_LINK10" w:colFirst="1" w:colLast="12"/>
            <w:r>
              <w:rPr>
                <w:rFonts w:ascii="Garamond" w:hAnsi="Garamond" w:cs="Arial"/>
                <w:b/>
                <w:bCs/>
                <w:color w:val="000000" w:themeColor="text1"/>
                <w:sz w:val="18"/>
                <w:szCs w:val="18"/>
                <w14:textFill>
                  <w14:solidFill>
                    <w14:schemeClr w14:val="tx1"/>
                  </w14:solidFill>
                </w14:textFill>
              </w:rPr>
              <w:t xml:space="preserve">Lyndsey A. Darrow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2016</w:t>
            </w:r>
            <w:bookmarkEnd w:id="87"/>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.75</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 xml:space="preserve">Edward Anthony Emmett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2006</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0.75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s="Times"/>
                <w:color w:val="000000" w:themeColor="text1"/>
                <w:kern w:val="0"/>
                <w:sz w:val="21"/>
                <w:szCs w:val="21"/>
                <w14:textFill>
                  <w14:solidFill>
                    <w14:schemeClr w14:val="tx1"/>
                  </w14:solidFill>
                </w14:textFill>
              </w:rPr>
            </w:pPr>
            <w:r>
              <w:rPr>
                <w:rFonts w:hint="eastAsia" w:ascii="Garamond" w:hAnsi="Garamond" w:cs="Times"/>
                <w:color w:val="000000" w:themeColor="text1"/>
                <w:kern w:val="0"/>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s="Times"/>
                <w:color w:val="000000" w:themeColor="text1"/>
                <w:kern w:val="0"/>
                <w:sz w:val="21"/>
                <w:szCs w:val="21"/>
                <w14:textFill>
                  <w14:solidFill>
                    <w14:schemeClr w14:val="tx1"/>
                  </w14:solidFill>
                </w14:textFill>
              </w:rPr>
            </w:pPr>
            <w:r>
              <w:rPr>
                <w:rFonts w:hint="eastAsia" w:ascii="Garamond" w:hAnsi="Garamond" w:cs="Times"/>
                <w:color w:val="000000" w:themeColor="text1"/>
                <w:kern w:val="0"/>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.25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s="Times"/>
                <w:color w:val="000000" w:themeColor="text1"/>
                <w:kern w:val="0"/>
                <w:sz w:val="21"/>
                <w:szCs w:val="21"/>
                <w14:textFill>
                  <w14:solidFill>
                    <w14:schemeClr w14:val="tx1"/>
                  </w14:solidFill>
                </w14:textFill>
              </w:rPr>
            </w:pPr>
            <w:r>
              <w:rPr>
                <w:rFonts w:hint="eastAsia" w:ascii="Garamond" w:hAnsi="Garamond" w:cs="Times"/>
                <w:color w:val="000000" w:themeColor="text1"/>
                <w:kern w:val="0"/>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 xml:space="preserve">Chien-Yu Lin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2010</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eastAsia="DengXian"/>
                <w:color w:val="000000" w:themeColor="text1"/>
                <w:sz w:val="21"/>
                <w:szCs w:val="21"/>
                <w14:textFill>
                  <w14:solidFill>
                    <w14:schemeClr w14:val="tx1"/>
                  </w14:solidFill>
                </w14:textFill>
              </w:rPr>
            </w:pPr>
            <w:r>
              <w:rPr>
                <w:rFonts w:hint="eastAsia" w:ascii="Garamond" w:hAnsi="Garamond" w:eastAsia="DengXian"/>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eastAsia="DengXian"/>
                <w:color w:val="000000" w:themeColor="text1"/>
                <w:sz w:val="21"/>
                <w:szCs w:val="21"/>
                <w14:textFill>
                  <w14:solidFill>
                    <w14:schemeClr w14:val="tx1"/>
                  </w14:solidFill>
                </w14:textFill>
              </w:rPr>
            </w:pPr>
            <w:r>
              <w:rPr>
                <w:rFonts w:hint="eastAsia" w:ascii="Garamond" w:hAnsi="Garamond" w:eastAsia="DengXian"/>
                <w:color w:val="000000" w:themeColor="text1"/>
                <w:sz w:val="21"/>
                <w:szCs w:val="21"/>
                <w14:textFill>
                  <w14:solidFill>
                    <w14:schemeClr w14:val="tx1"/>
                  </w14:solidFill>
                </w14:textFill>
              </w:rPr>
              <w:t>0</w:t>
            </w:r>
            <w:r>
              <w:rPr>
                <w:rFonts w:ascii="Garamond" w:hAnsi="Garamond" w:eastAsia="DengXian"/>
                <w:color w:val="000000" w:themeColor="text1"/>
                <w:sz w:val="21"/>
                <w:szCs w:val="21"/>
                <w14:textFill>
                  <w14:solidFill>
                    <w14:schemeClr w14:val="tx1"/>
                  </w14:solidFill>
                </w14:textFill>
              </w:rPr>
              <w:t>.75</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 xml:space="preserve">Ana M. Mora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2018</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.75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bookmarkStart w:id="89" w:name="OLE_LINK12"/>
            <w:r>
              <w:rPr>
                <w:rFonts w:ascii="Garamond" w:hAnsi="Garamond" w:cs="Arial"/>
                <w:b/>
                <w:bCs/>
                <w:color w:val="000000" w:themeColor="text1"/>
                <w:sz w:val="18"/>
                <w:szCs w:val="18"/>
                <w14:textFill>
                  <w14:solidFill>
                    <w14:schemeClr w14:val="tx1"/>
                  </w14:solidFill>
                </w14:textFill>
              </w:rPr>
              <w:t xml:space="preserve">Min Nian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2019</w:t>
            </w:r>
            <w:r>
              <w:rPr>
                <w:rFonts w:hint="eastAsia" w:ascii="Garamond" w:hAnsi="Garamond" w:cs="Arial"/>
                <w:b/>
                <w:bCs/>
                <w:color w:val="000000" w:themeColor="text1"/>
                <w:sz w:val="18"/>
                <w:szCs w:val="18"/>
                <w14:textFill>
                  <w14:solidFill>
                    <w14:schemeClr w14:val="tx1"/>
                  </w14:solidFill>
                </w14:textFill>
              </w:rPr>
              <w:t>)</w:t>
            </w:r>
            <w:bookmarkEnd w:id="89"/>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.75</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 xml:space="preserve">Geary W. Olsen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2000</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Geary W. Olsen</w:t>
            </w:r>
            <w:r>
              <w:rPr>
                <w:rFonts w:hint="eastAsia" w:ascii="Garamond" w:hAnsi="Garamond" w:cs="Arial"/>
                <w:b/>
                <w:bCs/>
                <w:color w:val="000000" w:themeColor="text1"/>
                <w:sz w:val="18"/>
                <w:szCs w:val="18"/>
                <w14:textFill>
                  <w14:solidFill>
                    <w14:schemeClr w14:val="tx1"/>
                  </w14:solidFill>
                </w14:textFill>
              </w:rPr>
              <w:t xml:space="preserve"> (</w:t>
            </w:r>
            <w:r>
              <w:rPr>
                <w:rFonts w:ascii="Garamond" w:hAnsi="Garamond" w:cs="Arial"/>
                <w:b/>
                <w:bCs/>
                <w:color w:val="000000" w:themeColor="text1"/>
                <w:sz w:val="18"/>
                <w:szCs w:val="18"/>
                <w14:textFill>
                  <w14:solidFill>
                    <w14:schemeClr w14:val="tx1"/>
                  </w14:solidFill>
                </w14:textFill>
              </w:rPr>
              <w:t>2007</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eastAsia="DengXian"/>
                <w:color w:val="000000" w:themeColor="text1"/>
                <w:sz w:val="21"/>
                <w:szCs w:val="21"/>
                <w14:textFill>
                  <w14:solidFill>
                    <w14:schemeClr w14:val="tx1"/>
                  </w14:solidFill>
                </w14:textFill>
              </w:rPr>
            </w:pPr>
            <w:r>
              <w:rPr>
                <w:rFonts w:hint="eastAsia" w:ascii="Garamond" w:hAnsi="Garamond" w:eastAsia="DengXian"/>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eastAsia="DengXian"/>
                <w:color w:val="000000" w:themeColor="text1"/>
                <w:sz w:val="21"/>
                <w:szCs w:val="21"/>
                <w14:textFill>
                  <w14:solidFill>
                    <w14:schemeClr w14:val="tx1"/>
                  </w14:solidFill>
                </w14:textFill>
              </w:rPr>
            </w:pPr>
            <w:r>
              <w:rPr>
                <w:rFonts w:hint="eastAsia" w:ascii="Garamond" w:hAnsi="Garamond" w:eastAsia="DengXian"/>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eastAsia="DengXian"/>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r>
              <w:rPr>
                <w:rFonts w:ascii="Garamond" w:hAnsi="Garamond" w:cs="Arial"/>
                <w:b/>
                <w:bCs/>
                <w:color w:val="000000" w:themeColor="text1"/>
                <w:sz w:val="18"/>
                <w:szCs w:val="18"/>
                <w14:textFill>
                  <w14:solidFill>
                    <w14:schemeClr w14:val="tx1"/>
                  </w14:solidFill>
                </w14:textFill>
              </w:rPr>
              <w:t xml:space="preserve">Geary W. Olsen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2012</w:t>
            </w:r>
            <w:r>
              <w:rPr>
                <w:rFonts w:hint="eastAsia" w:ascii="Garamond" w:hAnsi="Garamond" w:cs="Arial"/>
                <w:b/>
                <w:bCs/>
                <w:color w:val="000000" w:themeColor="text1"/>
                <w:sz w:val="18"/>
                <w:szCs w:val="18"/>
                <w14:textFill>
                  <w14:solidFill>
                    <w14:schemeClr w14:val="tx1"/>
                  </w14:solidFill>
                </w14:textFill>
              </w:rPr>
              <w:t>)</w:t>
            </w:r>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45" w:hRule="atLeast"/>
        </w:trPr>
        <w:tc>
          <w:tcPr>
            <w:tcW w:w="1209" w:type="dxa"/>
            <w:tcBorders>
              <w:top w:val="single" w:color="auto" w:sz="4" w:space="0"/>
              <w:left w:val="single" w:color="auto" w:sz="4" w:space="0"/>
              <w:bottom w:val="single" w:color="auto" w:sz="4" w:space="0"/>
              <w:right w:val="single" w:color="auto" w:sz="4" w:space="0"/>
            </w:tcBorders>
            <w:vAlign w:val="center"/>
          </w:tcPr>
          <w:p>
            <w:pPr>
              <w:pStyle w:val="17"/>
              <w:snapToGrid w:val="0"/>
              <w:spacing w:line="360" w:lineRule="auto"/>
              <w:jc w:val="center"/>
              <w:rPr>
                <w:rFonts w:ascii="Garamond" w:hAnsi="Garamond"/>
                <w:b/>
                <w:bCs/>
                <w:color w:val="000000" w:themeColor="text1"/>
                <w:sz w:val="18"/>
                <w:szCs w:val="18"/>
                <w14:textFill>
                  <w14:solidFill>
                    <w14:schemeClr w14:val="tx1"/>
                  </w14:solidFill>
                </w14:textFill>
              </w:rPr>
            </w:pPr>
            <w:bookmarkStart w:id="90" w:name="OLE_LINK4"/>
            <w:r>
              <w:rPr>
                <w:rFonts w:ascii="Garamond" w:hAnsi="Garamond" w:cs="Arial"/>
                <w:b/>
                <w:bCs/>
                <w:color w:val="000000" w:themeColor="text1"/>
                <w:sz w:val="18"/>
                <w:szCs w:val="18"/>
                <w14:textFill>
                  <w14:solidFill>
                    <w14:schemeClr w14:val="tx1"/>
                  </w14:solidFill>
                </w14:textFill>
              </w:rPr>
              <w:t xml:space="preserve">Jianshe Wang </w:t>
            </w:r>
            <w:r>
              <w:rPr>
                <w:rFonts w:hint="eastAsia" w:ascii="Garamond" w:hAnsi="Garamond" w:cs="Arial"/>
                <w:b/>
                <w:bCs/>
                <w:color w:val="000000" w:themeColor="text1"/>
                <w:sz w:val="18"/>
                <w:szCs w:val="18"/>
                <w14:textFill>
                  <w14:solidFill>
                    <w14:schemeClr w14:val="tx1"/>
                  </w14:solidFill>
                </w14:textFill>
              </w:rPr>
              <w:t>(</w:t>
            </w:r>
            <w:r>
              <w:rPr>
                <w:rFonts w:ascii="Garamond" w:hAnsi="Garamond" w:cs="Arial"/>
                <w:b/>
                <w:bCs/>
                <w:color w:val="000000" w:themeColor="text1"/>
                <w:sz w:val="18"/>
                <w:szCs w:val="18"/>
                <w14:textFill>
                  <w14:solidFill>
                    <w14:schemeClr w14:val="tx1"/>
                  </w14:solidFill>
                </w14:textFill>
              </w:rPr>
              <w:t>2012</w:t>
            </w:r>
            <w:r>
              <w:rPr>
                <w:rFonts w:hint="eastAsia" w:ascii="Garamond" w:hAnsi="Garamond" w:cs="Arial"/>
                <w:b/>
                <w:bCs/>
                <w:color w:val="000000" w:themeColor="text1"/>
                <w:sz w:val="18"/>
                <w:szCs w:val="18"/>
                <w14:textFill>
                  <w14:solidFill>
                    <w14:schemeClr w14:val="tx1"/>
                  </w14:solidFill>
                </w14:textFill>
              </w:rPr>
              <w:t>)</w:t>
            </w:r>
            <w:bookmarkEnd w:id="90"/>
          </w:p>
        </w:tc>
        <w:tc>
          <w:tcPr>
            <w:tcW w:w="87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.75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ascii="Garamond" w:hAnsi="Garamond"/>
                <w:color w:val="000000" w:themeColor="text1"/>
                <w:sz w:val="21"/>
                <w:szCs w:val="21"/>
                <w14:textFill>
                  <w14:solidFill>
                    <w14:schemeClr w14:val="tx1"/>
                  </w14:solidFill>
                </w14:textFill>
              </w:rPr>
              <w:t>0.5</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0" w:type="auto"/>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79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0.75</w:t>
            </w:r>
          </w:p>
        </w:tc>
        <w:tc>
          <w:tcPr>
            <w:tcW w:w="1339"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0</w:t>
            </w:r>
            <w:r>
              <w:rPr>
                <w:rFonts w:ascii="Garamond" w:hAnsi="Garamond"/>
                <w:color w:val="000000" w:themeColor="text1"/>
                <w:sz w:val="21"/>
                <w:szCs w:val="21"/>
                <w14:textFill>
                  <w14:solidFill>
                    <w14:schemeClr w14:val="tx1"/>
                  </w14:solidFill>
                </w14:textFill>
              </w:rPr>
              <w:t>.5</w:t>
            </w:r>
          </w:p>
        </w:tc>
        <w:tc>
          <w:tcPr>
            <w:tcW w:w="1701"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1190" w:type="dxa"/>
            <w:tcBorders>
              <w:top w:val="single" w:color="auto" w:sz="4" w:space="0"/>
              <w:left w:val="nil"/>
              <w:bottom w:val="single" w:color="auto" w:sz="4" w:space="0"/>
              <w:right w:val="single" w:color="auto" w:sz="4" w:space="0"/>
            </w:tcBorders>
            <w:vAlign w:val="center"/>
          </w:tcPr>
          <w:p>
            <w:pPr>
              <w:pStyle w:val="17"/>
              <w:snapToGrid w:val="0"/>
              <w:spacing w:line="360" w:lineRule="auto"/>
              <w:jc w:val="center"/>
              <w:rPr>
                <w:rFonts w:ascii="Garamond" w:hAnsi="Garamond"/>
                <w:color w:val="000000" w:themeColor="text1"/>
                <w:sz w:val="21"/>
                <w:szCs w:val="21"/>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1</w:t>
            </w:r>
          </w:p>
        </w:tc>
        <w:tc>
          <w:tcPr>
            <w:tcW w:w="877" w:type="dxa"/>
            <w:tcBorders>
              <w:top w:val="single" w:color="auto" w:sz="4" w:space="0"/>
              <w:left w:val="nil"/>
              <w:bottom w:val="single" w:color="auto" w:sz="4" w:space="0"/>
              <w:right w:val="single" w:color="auto" w:sz="4" w:space="0"/>
            </w:tcBorders>
            <w:vAlign w:val="center"/>
          </w:tcPr>
          <w:p>
            <w:pPr>
              <w:spacing w:line="360" w:lineRule="auto"/>
              <w:jc w:val="right"/>
              <w:textAlignment w:val="center"/>
              <w:rPr>
                <w:rFonts w:ascii="Garamond" w:hAnsi="Garamond"/>
                <w:color w:val="000000" w:themeColor="text1"/>
                <w:sz w:val="21"/>
                <w:szCs w:val="21"/>
                <w14:textFill>
                  <w14:solidFill>
                    <w14:schemeClr w14:val="tx1"/>
                  </w14:solidFill>
                </w14:textFill>
              </w:rPr>
            </w:pPr>
            <w:r>
              <w:rPr>
                <w:rFonts w:hint="eastAsia"/>
                <w:color w:val="000000" w:themeColor="text1"/>
                <w:sz w:val="22"/>
                <w:szCs w:val="22"/>
                <w:lang w:bidi="ar"/>
                <w14:textFill>
                  <w14:solidFill>
                    <w14:schemeClr w14:val="tx1"/>
                  </w14:solidFill>
                </w14:textFill>
              </w:rPr>
              <w:t>0.88</w:t>
            </w:r>
          </w:p>
        </w:tc>
      </w:tr>
      <w:bookmarkEnd w:id="81"/>
      <w:bookmarkEnd w:id="82"/>
      <w:bookmarkEnd w:id="83"/>
      <w:bookmarkEnd w:id="84"/>
      <w:bookmarkEnd w:id="85"/>
      <w:bookmarkEnd w:id="86"/>
      <w:bookmarkEnd w:id="88"/>
    </w:tbl>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b/>
          <w:color w:val="000000" w:themeColor="text1"/>
          <w:sz w:val="28"/>
          <w:szCs w:val="28"/>
          <w:lang w:val="en-GB"/>
          <w14:textFill>
            <w14:solidFill>
              <w14:schemeClr w14:val="tx1"/>
            </w14:solidFill>
          </w14:textFill>
        </w:rPr>
        <w:t>Not</w:t>
      </w:r>
      <w:r>
        <w:rPr>
          <w:rFonts w:ascii="Garamond" w:hAnsi="Garamond"/>
          <w:b/>
          <w:color w:val="000000" w:themeColor="text1"/>
          <w:sz w:val="28"/>
          <w:szCs w:val="28"/>
          <w14:textFill>
            <w14:solidFill>
              <w14:schemeClr w14:val="tx1"/>
            </w14:solidFill>
          </w14:textFill>
        </w:rPr>
        <w:t>e</w:t>
      </w:r>
      <w:r>
        <w:rPr>
          <w:rFonts w:hint="eastAsia" w:ascii="Garamond" w:hAnsi="Garamond"/>
          <w:b/>
          <w:color w:val="000000" w:themeColor="text1"/>
          <w:sz w:val="28"/>
          <w:szCs w:val="28"/>
          <w14:textFill>
            <w14:solidFill>
              <w14:schemeClr w14:val="tx1"/>
            </w14:solidFill>
          </w14:textFill>
        </w:rPr>
        <w:t>:</w:t>
      </w:r>
      <w:r>
        <w:rPr>
          <w:rFonts w:ascii="Garamond" w:hAnsi="Garamond"/>
          <w:color w:val="000000" w:themeColor="text1"/>
          <w:sz w:val="28"/>
          <w:szCs w:val="28"/>
          <w14:textFill>
            <w14:solidFill>
              <w14:schemeClr w14:val="tx1"/>
            </w14:solidFill>
          </w14:textFill>
        </w:rPr>
        <w:t xml:space="preserve">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Sample size: 1 – completely satisfactory/justified by power analysis; 0.5 – somewhat satisfactory; 0 – not sufficient/not justified.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Design: 1 – cohort; 0.75 – case-control; 0.25 – cross-sectional/ecological.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Study country: 1 – with good working and living conditions/high socio-economic standard; 0.5 – difficult conditions/lower socio-economic standard; 0.25 – very difficult conditions/very low socio-economic standard; 0 – not reported.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Timeframe: 1 – reported; 0 – not reported.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Response rate: 1 – ≥ 80%/considerable part of the population; 0.75 – 60 to 80 %; 0.5 – &lt; 60%; 0 – not reported.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Definition of outcome: 1 – clearly define all outcomes; 0.5 – define partly outcomes; 0 – not reported.</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Assessment of outcome: 1 – medical records/physician’s exam/valid database; 0.25 – self-report; 0 – not specified.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Assessment of PFAS exposure: 1 – Testing by body fluids (serum indicators); 0.75 –The diet-history questionnaire or environmental measurements in living (occupationally exposed) areas report ; 0.5 – not study-specific official records; 0.25 – self-report.  </w:t>
      </w:r>
    </w:p>
    <w:p>
      <w:pPr>
        <w:pStyle w:val="17"/>
        <w:adjustRightInd w:val="0"/>
        <w:snapToGrid w:val="0"/>
        <w:spacing w:line="360" w:lineRule="auto"/>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Adjustments for personal covariates (cov): 1 – </w:t>
      </w:r>
      <w:r>
        <w:rPr>
          <w:rFonts w:hint="eastAsia" w:ascii="Garamond" w:hAnsi="Garamond"/>
          <w:color w:val="000000" w:themeColor="text1"/>
          <w:sz w:val="28"/>
          <w:szCs w:val="28"/>
          <w14:textFill>
            <w14:solidFill>
              <w14:schemeClr w14:val="tx1"/>
            </w14:solidFill>
          </w14:textFill>
        </w:rPr>
        <w:t>12</w:t>
      </w:r>
      <w:r>
        <w:rPr>
          <w:rFonts w:ascii="Garamond" w:hAnsi="Garamond"/>
          <w:color w:val="000000" w:themeColor="text1"/>
          <w:sz w:val="28"/>
          <w:szCs w:val="28"/>
          <w14:textFill>
            <w14:solidFill>
              <w14:schemeClr w14:val="tx1"/>
            </w14:solidFill>
          </w14:textFill>
        </w:rPr>
        <w:t xml:space="preserve"> to </w:t>
      </w:r>
      <w:r>
        <w:rPr>
          <w:rFonts w:hint="eastAsia" w:ascii="Garamond" w:hAnsi="Garamond"/>
          <w:color w:val="000000" w:themeColor="text1"/>
          <w:sz w:val="28"/>
          <w:szCs w:val="28"/>
          <w14:textFill>
            <w14:solidFill>
              <w14:schemeClr w14:val="tx1"/>
            </w14:solidFill>
          </w14:textFill>
        </w:rPr>
        <w:t>17</w:t>
      </w:r>
      <w:r>
        <w:rPr>
          <w:rFonts w:ascii="Garamond" w:hAnsi="Garamond"/>
          <w:color w:val="000000" w:themeColor="text1"/>
          <w:sz w:val="28"/>
          <w:szCs w:val="28"/>
          <w14:textFill>
            <w14:solidFill>
              <w14:schemeClr w14:val="tx1"/>
            </w14:solidFill>
          </w14:textFill>
        </w:rPr>
        <w:t xml:space="preserve"> (cov) including </w:t>
      </w:r>
      <w:bookmarkStart w:id="91" w:name="OLE_LINK1"/>
      <w:r>
        <w:rPr>
          <w:rFonts w:hint="eastAsia" w:ascii="Garamond" w:hAnsi="Garamond"/>
          <w:color w:val="000000" w:themeColor="text1"/>
          <w:sz w:val="28"/>
          <w:szCs w:val="28"/>
          <w14:textFill>
            <w14:solidFill>
              <w14:schemeClr w14:val="tx1"/>
            </w14:solidFill>
          </w14:textFill>
        </w:rPr>
        <w:t>age</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alcohol</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smoking or BIM</w:t>
      </w:r>
      <w:bookmarkEnd w:id="91"/>
      <w:r>
        <w:rPr>
          <w:rFonts w:hint="eastAsia" w:ascii="Garamond" w:hAnsi="Garamond"/>
          <w:color w:val="000000" w:themeColor="text1"/>
          <w:sz w:val="28"/>
          <w:szCs w:val="28"/>
          <w14:textFill>
            <w14:solidFill>
              <w14:schemeClr w14:val="tx1"/>
            </w14:solidFill>
          </w14:textFill>
        </w:rPr>
        <w:t xml:space="preserve"> ;</w:t>
      </w:r>
      <w:r>
        <w:rPr>
          <w:rFonts w:ascii="Garamond" w:hAnsi="Garamond"/>
          <w:color w:val="000000" w:themeColor="text1"/>
          <w:sz w:val="28"/>
          <w:szCs w:val="28"/>
          <w14:textFill>
            <w14:solidFill>
              <w14:schemeClr w14:val="tx1"/>
            </w14:solidFill>
          </w14:textFill>
        </w:rPr>
        <w:t xml:space="preserve"> 0.75 – </w:t>
      </w:r>
      <w:r>
        <w:rPr>
          <w:rFonts w:hint="eastAsia" w:ascii="Garamond" w:hAnsi="Garamond"/>
          <w:color w:val="000000" w:themeColor="text1"/>
          <w:sz w:val="28"/>
          <w:szCs w:val="28"/>
          <w14:textFill>
            <w14:solidFill>
              <w14:schemeClr w14:val="tx1"/>
            </w14:solidFill>
          </w14:textFill>
        </w:rPr>
        <w:t>6</w:t>
      </w:r>
      <w:r>
        <w:rPr>
          <w:rFonts w:ascii="Garamond" w:hAnsi="Garamond"/>
          <w:color w:val="000000" w:themeColor="text1"/>
          <w:sz w:val="28"/>
          <w:szCs w:val="28"/>
          <w14:textFill>
            <w14:solidFill>
              <w14:schemeClr w14:val="tx1"/>
            </w14:solidFill>
          </w14:textFill>
        </w:rPr>
        <w:t xml:space="preserve"> to </w:t>
      </w:r>
      <w:r>
        <w:rPr>
          <w:rFonts w:hint="eastAsia" w:ascii="Garamond" w:hAnsi="Garamond"/>
          <w:color w:val="000000" w:themeColor="text1"/>
          <w:sz w:val="28"/>
          <w:szCs w:val="28"/>
          <w14:textFill>
            <w14:solidFill>
              <w14:schemeClr w14:val="tx1"/>
            </w14:solidFill>
          </w14:textFill>
        </w:rPr>
        <w:t>12</w:t>
      </w:r>
      <w:r>
        <w:rPr>
          <w:rFonts w:ascii="Garamond" w:hAnsi="Garamond"/>
          <w:color w:val="000000" w:themeColor="text1"/>
          <w:sz w:val="28"/>
          <w:szCs w:val="28"/>
          <w14:textFill>
            <w14:solidFill>
              <w14:schemeClr w14:val="tx1"/>
            </w14:solidFill>
          </w14:textFill>
        </w:rPr>
        <w:t xml:space="preserve"> (cov) including </w:t>
      </w:r>
      <w:r>
        <w:rPr>
          <w:rFonts w:hint="eastAsia" w:ascii="Garamond" w:hAnsi="Garamond"/>
          <w:color w:val="000000" w:themeColor="text1"/>
          <w:sz w:val="28"/>
          <w:szCs w:val="28"/>
          <w14:textFill>
            <w14:solidFill>
              <w14:schemeClr w14:val="tx1"/>
            </w14:solidFill>
          </w14:textFill>
        </w:rPr>
        <w:t>age</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alcohol</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smoking or BIM</w:t>
      </w:r>
      <w:r>
        <w:rPr>
          <w:rFonts w:ascii="Garamond" w:hAnsi="Garamond"/>
          <w:color w:val="000000" w:themeColor="text1"/>
          <w:sz w:val="28"/>
          <w:szCs w:val="28"/>
          <w14:textFill>
            <w14:solidFill>
              <w14:schemeClr w14:val="tx1"/>
            </w14:solidFill>
          </w14:textFill>
        </w:rPr>
        <w:t xml:space="preserve">; 0.5 – 1 to </w:t>
      </w:r>
      <w:r>
        <w:rPr>
          <w:rFonts w:hint="eastAsia" w:ascii="Garamond" w:hAnsi="Garamond"/>
          <w:color w:val="000000" w:themeColor="text1"/>
          <w:sz w:val="28"/>
          <w:szCs w:val="28"/>
          <w14:textFill>
            <w14:solidFill>
              <w14:schemeClr w14:val="tx1"/>
            </w14:solidFill>
          </w14:textFill>
        </w:rPr>
        <w:t>6</w:t>
      </w:r>
      <w:r>
        <w:rPr>
          <w:rFonts w:ascii="Garamond" w:hAnsi="Garamond"/>
          <w:color w:val="000000" w:themeColor="text1"/>
          <w:sz w:val="28"/>
          <w:szCs w:val="28"/>
          <w14:textFill>
            <w14:solidFill>
              <w14:schemeClr w14:val="tx1"/>
            </w14:solidFill>
          </w14:textFill>
        </w:rPr>
        <w:t xml:space="preserve"> (cov) including </w:t>
      </w:r>
      <w:r>
        <w:rPr>
          <w:rFonts w:hint="eastAsia" w:ascii="Garamond" w:hAnsi="Garamond"/>
          <w:color w:val="000000" w:themeColor="text1"/>
          <w:sz w:val="28"/>
          <w:szCs w:val="28"/>
          <w14:textFill>
            <w14:solidFill>
              <w14:schemeClr w14:val="tx1"/>
            </w14:solidFill>
          </w14:textFill>
        </w:rPr>
        <w:t>age</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alcohol</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smoking or BIM</w:t>
      </w:r>
      <w:r>
        <w:rPr>
          <w:rFonts w:ascii="Garamond" w:hAnsi="Garamond"/>
          <w:color w:val="000000" w:themeColor="text1"/>
          <w:sz w:val="28"/>
          <w:szCs w:val="28"/>
          <w14:textFill>
            <w14:solidFill>
              <w14:schemeClr w14:val="tx1"/>
            </w14:solidFill>
          </w14:textFill>
        </w:rPr>
        <w:t xml:space="preserve">; 0.25 – </w:t>
      </w:r>
      <w:r>
        <w:rPr>
          <w:rFonts w:hint="eastAsia" w:ascii="Garamond" w:hAnsi="Garamond"/>
          <w:color w:val="000000" w:themeColor="text1"/>
          <w:sz w:val="28"/>
          <w:szCs w:val="28"/>
          <w14:textFill>
            <w14:solidFill>
              <w14:schemeClr w14:val="tx1"/>
            </w14:solidFill>
          </w14:textFill>
        </w:rPr>
        <w:t>6</w:t>
      </w:r>
      <w:r>
        <w:rPr>
          <w:rFonts w:ascii="Garamond" w:hAnsi="Garamond"/>
          <w:color w:val="000000" w:themeColor="text1"/>
          <w:sz w:val="28"/>
          <w:szCs w:val="28"/>
          <w14:textFill>
            <w14:solidFill>
              <w14:schemeClr w14:val="tx1"/>
            </w14:solidFill>
          </w14:textFill>
        </w:rPr>
        <w:t xml:space="preserve"> to </w:t>
      </w:r>
      <w:r>
        <w:rPr>
          <w:rFonts w:hint="eastAsia" w:ascii="Garamond" w:hAnsi="Garamond"/>
          <w:color w:val="000000" w:themeColor="text1"/>
          <w:sz w:val="28"/>
          <w:szCs w:val="28"/>
          <w14:textFill>
            <w14:solidFill>
              <w14:schemeClr w14:val="tx1"/>
            </w14:solidFill>
          </w14:textFill>
        </w:rPr>
        <w:t>17</w:t>
      </w:r>
      <w:r>
        <w:rPr>
          <w:rFonts w:ascii="Garamond" w:hAnsi="Garamond"/>
          <w:color w:val="000000" w:themeColor="text1"/>
          <w:sz w:val="28"/>
          <w:szCs w:val="28"/>
          <w14:textFill>
            <w14:solidFill>
              <w14:schemeClr w14:val="tx1"/>
            </w14:solidFill>
          </w14:textFill>
        </w:rPr>
        <w:t xml:space="preserve"> (cov) without </w:t>
      </w:r>
      <w:r>
        <w:rPr>
          <w:rFonts w:hint="eastAsia" w:ascii="Garamond" w:hAnsi="Garamond"/>
          <w:color w:val="000000" w:themeColor="text1"/>
          <w:sz w:val="28"/>
          <w:szCs w:val="28"/>
          <w14:textFill>
            <w14:solidFill>
              <w14:schemeClr w14:val="tx1"/>
            </w14:solidFill>
          </w14:textFill>
        </w:rPr>
        <w:t>age</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alcohol</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smoking or BIM</w:t>
      </w:r>
      <w:r>
        <w:rPr>
          <w:rFonts w:ascii="Garamond" w:hAnsi="Garamond"/>
          <w:color w:val="000000" w:themeColor="text1"/>
          <w:sz w:val="28"/>
          <w:szCs w:val="28"/>
          <w14:textFill>
            <w14:solidFill>
              <w14:schemeClr w14:val="tx1"/>
            </w14:solidFill>
          </w14:textFill>
        </w:rPr>
        <w:t xml:space="preserve">; 0.1 – 1 to </w:t>
      </w:r>
      <w:r>
        <w:rPr>
          <w:rFonts w:hint="eastAsia" w:ascii="Garamond" w:hAnsi="Garamond"/>
          <w:color w:val="000000" w:themeColor="text1"/>
          <w:sz w:val="28"/>
          <w:szCs w:val="28"/>
          <w14:textFill>
            <w14:solidFill>
              <w14:schemeClr w14:val="tx1"/>
            </w14:solidFill>
          </w14:textFill>
        </w:rPr>
        <w:t>6</w:t>
      </w:r>
      <w:r>
        <w:rPr>
          <w:rFonts w:ascii="Garamond" w:hAnsi="Garamond"/>
          <w:color w:val="000000" w:themeColor="text1"/>
          <w:sz w:val="28"/>
          <w:szCs w:val="28"/>
          <w14:textFill>
            <w14:solidFill>
              <w14:schemeClr w14:val="tx1"/>
            </w14:solidFill>
          </w14:textFill>
        </w:rPr>
        <w:t xml:space="preserve"> (cov) without </w:t>
      </w:r>
      <w:r>
        <w:rPr>
          <w:rFonts w:hint="eastAsia" w:ascii="Garamond" w:hAnsi="Garamond"/>
          <w:color w:val="000000" w:themeColor="text1"/>
          <w:sz w:val="28"/>
          <w:szCs w:val="28"/>
          <w14:textFill>
            <w14:solidFill>
              <w14:schemeClr w14:val="tx1"/>
            </w14:solidFill>
          </w14:textFill>
        </w:rPr>
        <w:t>age</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alcohol</w:t>
      </w:r>
      <w:r>
        <w:rPr>
          <w:rFonts w:ascii="Garamond" w:hAnsi="Garamond"/>
          <w:color w:val="000000" w:themeColor="text1"/>
          <w:sz w:val="28"/>
          <w:szCs w:val="28"/>
          <w14:textFill>
            <w14:solidFill>
              <w14:schemeClr w14:val="tx1"/>
            </w14:solidFill>
          </w14:textFill>
        </w:rPr>
        <w:t xml:space="preserve"> or </w:t>
      </w:r>
      <w:r>
        <w:rPr>
          <w:rFonts w:hint="eastAsia" w:ascii="Garamond" w:hAnsi="Garamond"/>
          <w:color w:val="000000" w:themeColor="text1"/>
          <w:sz w:val="28"/>
          <w:szCs w:val="28"/>
          <w14:textFill>
            <w14:solidFill>
              <w14:schemeClr w14:val="tx1"/>
            </w14:solidFill>
          </w14:textFill>
        </w:rPr>
        <w:t>smoking or BIM</w:t>
      </w:r>
      <w:r>
        <w:rPr>
          <w:rFonts w:ascii="Garamond" w:hAnsi="Garamond"/>
          <w:color w:val="000000" w:themeColor="text1"/>
          <w:sz w:val="28"/>
          <w:szCs w:val="28"/>
          <w14:textFill>
            <w14:solidFill>
              <w14:schemeClr w14:val="tx1"/>
            </w14:solidFill>
          </w14:textFill>
        </w:rPr>
        <w:t>; 0 – no covariates</w:t>
      </w:r>
      <w:r>
        <w:rPr>
          <w:rFonts w:hint="eastAsia" w:ascii="Garamond" w:hAnsi="Garamond"/>
          <w:color w:val="000000" w:themeColor="text1"/>
          <w:sz w:val="28"/>
          <w:szCs w:val="28"/>
          <w14:textFill>
            <w14:solidFill>
              <w14:schemeClr w14:val="tx1"/>
            </w14:solidFill>
          </w14:textFill>
        </w:rPr>
        <w:t>;(According to</w:t>
      </w:r>
      <w:r>
        <w:rPr>
          <w:rFonts w:ascii="Garamond" w:hAnsi="Garamond"/>
          <w:color w:val="000000" w:themeColor="text1"/>
          <w:sz w:val="28"/>
          <w:szCs w:val="28"/>
          <w14:textFill>
            <w14:solidFill>
              <w14:schemeClr w14:val="tx1"/>
            </w14:solidFill>
          </w14:textFill>
        </w:rPr>
        <w:t xml:space="preserve"> the </w:t>
      </w:r>
      <w:r>
        <w:rPr>
          <w:rFonts w:hint="eastAsia" w:ascii="Garamond" w:hAnsi="Garamond"/>
          <w:color w:val="000000" w:themeColor="text1"/>
          <w:sz w:val="28"/>
          <w:szCs w:val="28"/>
          <w14:textFill>
            <w14:solidFill>
              <w14:schemeClr w14:val="tx1"/>
            </w14:solidFill>
          </w14:textFill>
        </w:rPr>
        <w:t xml:space="preserve">sex, body mass index (BMI), alcohol consumption, race, regular exercise, smoking status, education, household income, fasting status, history of working at DuPont plant, and insulin resistance </w:t>
      </w:r>
      <w:r>
        <w:rPr>
          <w:rFonts w:ascii="Garamond" w:hAnsi="Garamond"/>
          <w:color w:val="000000" w:themeColor="text1"/>
          <w:sz w:val="28"/>
          <w:szCs w:val="28"/>
          <w14:textFill>
            <w14:solidFill>
              <w14:schemeClr w14:val="tx1"/>
            </w14:solidFill>
          </w14:textFill>
        </w:rPr>
        <w:t xml:space="preserve">described by </w:t>
      </w:r>
      <w:r>
        <w:rPr>
          <w:rFonts w:ascii="Garamond" w:hAnsi="Garamond"/>
          <w:color w:val="000000" w:themeColor="text1"/>
          <w:sz w:val="28"/>
          <w:szCs w:val="28"/>
          <w14:textFill>
            <w14:solidFill>
              <w14:schemeClr w14:val="tx1"/>
            </w14:solidFill>
          </w14:textFill>
        </w:rPr>
        <w:fldChar w:fldCharType="begin">
          <w:fldData xml:space="preserve">PEVuZE5vdGU+PENpdGU+PEF1dGhvcj5QeWtvPC9BdXRob3I+PFllYXI+MjAxNTwvWWVhcj48UmVj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</w:fldData>
        </w:fldChar>
      </w:r>
      <w:r>
        <w:rPr>
          <w:rFonts w:ascii="Garamond" w:hAnsi="Garamond"/>
          <w:color w:val="000000" w:themeColor="text1"/>
          <w:sz w:val="28"/>
          <w:szCs w:val="28"/>
          <w14:textFill>
            <w14:solidFill>
              <w14:schemeClr w14:val="tx1"/>
            </w14:solidFill>
          </w14:textFill>
        </w:rPr>
        <w:instrText xml:space="preserve"> ADDIN EN.CITE </w:instrText>
      </w:r>
      <w:r>
        <w:rPr>
          <w:rFonts w:ascii="Garamond" w:hAnsi="Garamond"/>
          <w:color w:val="000000" w:themeColor="text1"/>
          <w:sz w:val="28"/>
          <w:szCs w:val="28"/>
          <w14:textFill>
            <w14:solidFill>
              <w14:schemeClr w14:val="tx1"/>
            </w14:solidFill>
          </w14:textFill>
        </w:rPr>
        <w:fldChar w:fldCharType="begin">
          <w:fldData xml:space="preserve">PEVuZE5vdGU+PENpdGU+PEF1dGhvcj5QeWtvPC9BdXRob3I+PFllYXI+MjAxNTwvWWVhcj48UmVj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</w:fldData>
        </w:fldChar>
      </w:r>
      <w:r>
        <w:rPr>
          <w:rFonts w:ascii="Garamond" w:hAnsi="Garamond"/>
          <w:color w:val="000000" w:themeColor="text1"/>
          <w:sz w:val="28"/>
          <w:szCs w:val="28"/>
          <w14:textFill>
            <w14:solidFill>
              <w14:schemeClr w14:val="tx1"/>
            </w14:solidFill>
          </w14:textFill>
        </w:rPr>
        <w:instrText xml:space="preserve"> ADDIN EN.CITE.DATA </w:instrText>
      </w:r>
      <w:r>
        <w:rPr>
          <w:rFonts w:ascii="Garamond" w:hAnsi="Garamond"/>
          <w:color w:val="000000" w:themeColor="text1"/>
          <w:sz w:val="28"/>
          <w:szCs w:val="28"/>
          <w14:textFill>
            <w14:solidFill>
              <w14:schemeClr w14:val="tx1"/>
            </w14:solidFill>
          </w14:textFill>
        </w:rPr>
        <w:fldChar w:fldCharType="end"/>
      </w:r>
      <w:r>
        <w:rPr>
          <w:rFonts w:ascii="Garamond" w:hAnsi="Garamond"/>
          <w:color w:val="000000" w:themeColor="text1"/>
          <w:sz w:val="28"/>
          <w:szCs w:val="28"/>
          <w14:textFill>
            <w14:solidFill>
              <w14:schemeClr w14:val="tx1"/>
            </w14:solidFill>
          </w14:textFill>
        </w:rPr>
        <w:fldChar w:fldCharType="separate"/>
      </w:r>
      <w:r>
        <w:rPr>
          <w:rFonts w:ascii="Garamond" w:hAnsi="Garamond"/>
          <w:color w:val="000000" w:themeColor="text1"/>
          <w:sz w:val="28"/>
          <w:szCs w:val="28"/>
          <w14:textFill>
            <w14:solidFill>
              <w14:schemeClr w14:val="tx1"/>
            </w14:solidFill>
          </w14:textFill>
        </w:rPr>
        <w:t>(</w:t>
      </w:r>
      <w:r>
        <w:rPr>
          <w:rFonts w:ascii="Garamond" w:hAnsi="Garamond"/>
          <w:color w:val="000000" w:themeColor="text1"/>
          <w:sz w:val="28"/>
          <w:szCs w:val="28"/>
          <w14:textFill>
            <w14:solidFill>
              <w14:schemeClr w14:val="tx1"/>
            </w14:solidFill>
          </w14:textFill>
        </w:rPr>
        <w:fldChar w:fldCharType="end"/>
      </w:r>
      <w:bookmarkStart w:id="92" w:name="OLE_LINK13"/>
      <w:r>
        <w:rPr>
          <w:rFonts w:hint="eastAsia" w:ascii="Garamond" w:hAnsi="Garamond"/>
          <w:color w:val="000000" w:themeColor="text1"/>
          <w:sz w:val="28"/>
          <w:szCs w:val="28"/>
          <w14:textFill>
            <w14:solidFill>
              <w14:schemeClr w14:val="tx1"/>
            </w14:solidFill>
          </w14:textFill>
        </w:rPr>
        <w:t>Modeled Perfluorooctanoic Acid (PFOA) Exposure and Liver Function in a Mid-Ohio Valley Community: 2005 or 2006 in the C8HP</w:t>
      </w:r>
      <w:r>
        <w:rPr>
          <w:rFonts w:ascii="Garamond" w:hAnsi="Garamond"/>
          <w:color w:val="000000" w:themeColor="text1"/>
          <w:sz w:val="28"/>
          <w:szCs w:val="28"/>
          <w14:textFill>
            <w14:solidFill>
              <w14:schemeClr w14:val="tx1"/>
            </w14:solidFill>
          </w14:textFill>
        </w:rPr>
        <w:t>, 2016</w:t>
      </w:r>
      <w:bookmarkEnd w:id="92"/>
      <w:r>
        <w:rPr>
          <w:rFonts w:ascii="Garamond" w:hAnsi="Garamond"/>
          <w:color w:val="000000" w:themeColor="text1"/>
          <w:sz w:val="28"/>
          <w:szCs w:val="28"/>
          <w14:textFill>
            <w14:solidFill>
              <w14:schemeClr w14:val="tx1"/>
            </w14:solidFill>
          </w14:textFill>
        </w:rPr>
        <w:t xml:space="preserve">)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Adjustments for environmental covariates: 1 – organochlorine pesticides (OCPs) + polybrominated diphenylethers (PBDEs) + polychlorinated biphenyls (PCBs); 0.75 – organochlorine pesticides (OCPs) + polybrominated diphenylethers (PBDEs); 0.5 – one or two of OCPs + PBDEs + PCBs, 0 – no adjustments. </w:t>
      </w:r>
    </w:p>
    <w:p>
      <w:pPr>
        <w:pStyle w:val="17"/>
        <w:adjustRightInd w:val="0"/>
        <w:snapToGrid w:val="0"/>
        <w:spacing w:line="360" w:lineRule="auto"/>
        <w:jc w:val="left"/>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Effect size calculation for meta-analysis: 1 – no transformations and no data imputation; 0.75 – mild transformation and no data imputation; 0.5 – several transformations and no data imputation, 0.25 – considerable transformations and data imputation.</w:t>
      </w:r>
    </w:p>
    <w:p>
      <w:pPr>
        <w:spacing w:line="360" w:lineRule="auto"/>
        <w:rPr>
          <w:rFonts w:ascii="Garamond" w:hAnsi="Garamond" w:eastAsia="Times New Roman" w:cs="Calibri"/>
          <w:b/>
          <w:color w:val="000000" w:themeColor="text1"/>
          <w:sz w:val="28"/>
          <w:szCs w:val="28"/>
          <w14:textFill>
            <w14:solidFill>
              <w14:schemeClr w14:val="tx1"/>
            </w14:solidFill>
          </w14:textFill>
        </w:rPr>
      </w:pPr>
    </w:p>
    <w:p>
      <w:pPr>
        <w:rPr>
          <w:rFonts w:ascii="Garamond" w:hAnsi="Garamond" w:eastAsia="Times New Roman" w:cs="Calibri"/>
          <w:b/>
          <w:color w:val="000000" w:themeColor="text1"/>
          <w:sz w:val="28"/>
          <w:szCs w:val="28"/>
          <w14:textFill>
            <w14:solidFill>
              <w14:schemeClr w14:val="tx1"/>
            </w14:solidFill>
          </w14:textFill>
        </w:rPr>
      </w:pPr>
      <w:r>
        <w:rPr>
          <w:rFonts w:ascii="Garamond" w:hAnsi="Garamond" w:eastAsia="Times New Roman" w:cs="Calibri"/>
          <w:b/>
          <w:color w:val="000000" w:themeColor="text1"/>
          <w:sz w:val="28"/>
          <w:szCs w:val="28"/>
          <w14:textFill>
            <w14:solidFill>
              <w14:schemeClr w14:val="tx1"/>
            </w14:solidFill>
          </w14:textFill>
        </w:rPr>
        <w:br w:type="page"/>
      </w:r>
    </w:p>
    <w:p>
      <w:pPr>
        <w:widowControl w:val="0"/>
        <w:tabs>
          <w:tab w:val="left" w:pos="-1080"/>
          <w:tab w:val="left" w:pos="-720"/>
          <w:tab w:val="left" w:pos="270"/>
        </w:tabs>
        <w:autoSpaceDE w:val="0"/>
        <w:autoSpaceDN w:val="0"/>
        <w:adjustRightInd w:val="0"/>
        <w:snapToGrid w:val="0"/>
        <w:spacing w:line="360" w:lineRule="auto"/>
        <w:jc w:val="both"/>
        <w:rPr>
          <w:rFonts w:ascii="Garamond" w:hAnsi="Garamond" w:eastAsia="Times New Roman" w:cs="Calibri"/>
          <w:bCs/>
          <w:color w:val="000000" w:themeColor="text1"/>
          <w:sz w:val="28"/>
          <w:szCs w:val="28"/>
          <w14:textFill>
            <w14:solidFill>
              <w14:schemeClr w14:val="tx1"/>
            </w14:solidFill>
          </w14:textFill>
        </w:rPr>
      </w:pPr>
      <w:r>
        <w:rPr>
          <w:rFonts w:ascii="Garamond" w:hAnsi="Garamond" w:eastAsia="Times New Roman" w:cs="Calibri"/>
          <w:b/>
          <w:color w:val="000000" w:themeColor="text1"/>
          <w:sz w:val="28"/>
          <w:szCs w:val="28"/>
          <w14:textFill>
            <w14:solidFill>
              <w14:schemeClr w14:val="tx1"/>
            </w14:solidFill>
          </w14:textFill>
        </w:rPr>
        <w:t xml:space="preserve">Table S4. </w:t>
      </w:r>
      <w:r>
        <w:rPr>
          <w:rFonts w:ascii="Garamond" w:hAnsi="Garamond" w:eastAsia="Times New Roman" w:cs="Calibri"/>
          <w:bCs/>
          <w:color w:val="000000" w:themeColor="text1"/>
          <w:sz w:val="28"/>
          <w:szCs w:val="28"/>
          <w14:textFill>
            <w14:solidFill>
              <w14:schemeClr w14:val="tx1"/>
            </w14:solidFill>
          </w14:textFill>
        </w:rPr>
        <w:t>Criteria for the risk of bias assessment of each included study, adapted from the OHAT and Navigation Guide tool.</w:t>
      </w:r>
      <w:bookmarkEnd w:id="51"/>
      <w:bookmarkEnd w:id="52"/>
      <w:bookmarkEnd w:id="53"/>
      <w:bookmarkEnd w:id="54"/>
      <w:bookmarkEnd w:id="55"/>
      <w:bookmarkEnd w:id="56"/>
      <w:bookmarkEnd w:id="57"/>
      <w:bookmarkEnd w:id="58"/>
      <w:bookmarkEnd w:id="59"/>
      <w:bookmarkEnd w:id="60"/>
      <w:bookmarkEnd w:id="61"/>
      <w:bookmarkEnd w:id="62"/>
      <w:bookmarkEnd w:id="63"/>
      <w:bookmarkEnd w:id="64"/>
    </w:p>
    <w:tbl>
      <w:tblPr>
        <w:tblStyle w:val="12"/>
        <w:tblW w:w="16585" w:type="dxa"/>
        <w:tblInd w:w="-1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3119"/>
        <w:gridCol w:w="5245"/>
        <w:gridCol w:w="6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spacing w:line="360" w:lineRule="auto"/>
              <w:rPr>
                <w:rFonts w:ascii="Garamond" w:hAnsi="Garamond" w:cs="Calibri"/>
                <w:color w:val="000000" w:themeColor="text1"/>
                <w:sz w:val="28"/>
                <w:szCs w:val="28"/>
                <w14:textFill>
                  <w14:solidFill>
                    <w14:schemeClr w14:val="tx1"/>
                  </w14:solidFill>
                </w14:textFill>
              </w:rPr>
            </w:pPr>
            <w:bookmarkStart w:id="93" w:name="OLE_LINK76"/>
            <w:bookmarkStart w:id="94" w:name="OLE_LINK77"/>
            <w:r>
              <w:rPr>
                <w:rFonts w:hint="eastAsia" w:ascii="Garamond" w:hAnsi="Garamond" w:cs="Calibri"/>
                <w:b/>
                <w:color w:val="000000" w:themeColor="text1"/>
                <w:sz w:val="28"/>
                <w:szCs w:val="28"/>
                <w14:textFill>
                  <w14:solidFill>
                    <w14:schemeClr w14:val="tx1"/>
                  </w14:solidFill>
                </w14:textFill>
              </w:rPr>
              <w:t>Bias</w:t>
            </w:r>
          </w:p>
        </w:tc>
        <w:tc>
          <w:tcPr>
            <w:tcW w:w="3119" w:type="dxa"/>
          </w:tcPr>
          <w:p>
            <w:pPr>
              <w:adjustRightInd w:val="0"/>
              <w:spacing w:line="360" w:lineRule="auto"/>
              <w:rPr>
                <w:rFonts w:ascii="Garamond" w:hAnsi="Garamond" w:cs="Calibri"/>
                <w:color w:val="000000" w:themeColor="text1"/>
                <w:sz w:val="28"/>
                <w:szCs w:val="28"/>
                <w14:textFill>
                  <w14:solidFill>
                    <w14:schemeClr w14:val="tx1"/>
                  </w14:solidFill>
                </w14:textFill>
              </w:rPr>
            </w:pPr>
          </w:p>
        </w:tc>
        <w:tc>
          <w:tcPr>
            <w:tcW w:w="5245" w:type="dxa"/>
          </w:tcPr>
          <w:p>
            <w:pPr>
              <w:adjustRightInd w:val="0"/>
              <w:spacing w:line="360" w:lineRule="auto"/>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Risk of Bias Domains and Ratings</w:t>
            </w:r>
          </w:p>
        </w:tc>
        <w:tc>
          <w:tcPr>
            <w:tcW w:w="6378" w:type="dxa"/>
          </w:tcPr>
          <w:p>
            <w:pPr>
              <w:adjustRightInd w:val="0"/>
              <w:spacing w:line="360" w:lineRule="auto"/>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Answer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bookmarkStart w:id="95" w:name="_Hlk32937904"/>
            <w:r>
              <w:rPr>
                <w:rFonts w:hint="eastAsia" w:ascii="Garamond" w:hAnsi="Garamond" w:cs="Calibri"/>
                <w:b/>
                <w:color w:val="000000" w:themeColor="text1"/>
                <w:sz w:val="28"/>
                <w:szCs w:val="28"/>
                <w14:textFill>
                  <w14:solidFill>
                    <w14:schemeClr w14:val="tx1"/>
                  </w14:solidFill>
                </w14:textFill>
              </w:rPr>
              <w:t>Key Criteria</w:t>
            </w: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Detection bias, exposure assessment</w:t>
            </w:r>
          </w:p>
        </w:tc>
        <w:tc>
          <w:tcPr>
            <w:tcW w:w="5245" w:type="dxa"/>
          </w:tcPr>
          <w:p>
            <w:pPr>
              <w:adjustRightInd w:val="0"/>
              <w:rPr>
                <w:rFonts w:ascii="Garamond" w:hAnsi="Garamond" w:cs="Calibri"/>
                <w:color w:val="000000" w:themeColor="text1"/>
                <w:sz w:val="28"/>
                <w:szCs w:val="28"/>
                <w14:textFill>
                  <w14:solidFill>
                    <w14:schemeClr w14:val="tx1"/>
                  </w14:solidFill>
                </w14:textFill>
              </w:rPr>
            </w:pPr>
            <w:bookmarkStart w:id="96" w:name="OLE_LINK1181"/>
            <w:bookmarkStart w:id="97" w:name="OLE_LINK1180"/>
            <w:r>
              <w:rPr>
                <w:rFonts w:hint="eastAsia" w:ascii="Garamond" w:hAnsi="Garamond" w:cs="Calibri"/>
                <w:color w:val="000000" w:themeColor="text1"/>
                <w:sz w:val="28"/>
                <w:szCs w:val="28"/>
                <w14:textFill>
                  <w14:solidFill>
                    <w14:schemeClr w14:val="tx1"/>
                  </w14:solidFill>
                </w14:textFill>
              </w:rPr>
              <w:t xml:space="preserve">Can we be confident in the exposure characterization? </w:t>
            </w:r>
            <w:bookmarkEnd w:id="96"/>
            <w:bookmarkEnd w:id="97"/>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There is high confidence that the exposure to residential greenness is the true average population exposure.</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-PROBABLY LOW: There is indirect evidence that suggests low risk of bias.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is insufficient information to permit a judgment of high risk of bias, but there is indirect evidence that suggests high risk of bias.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Times New Roman"/>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-HIGH risk: There is direct evidence of high risk of misclassification bias.</w:t>
            </w:r>
          </w:p>
        </w:tc>
      </w:tr>
      <w:bookmarkEnd w:id="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Detection bias, outcome assessment</w:t>
            </w:r>
          </w:p>
        </w:tc>
        <w:tc>
          <w:tcPr>
            <w:tcW w:w="5245"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Can we be confident in the outcome assessment?</w:t>
            </w: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Outcome was classified based on diagnosis standard criteria (International Classification System code) and provided by a national or regional database.</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Outcome was assessed based on diagnosis standard criteria and collected by researcher</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Outcome was not assessed based on standard diagnosis criteria AND is accompanied by validation sub-study or sensitivity analysis to suggest that the risk is minimum.</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-HIGH risk: Outcome was assessed based on self-reports (parents, family) and data collected by the researcher.</w:t>
            </w:r>
          </w:p>
          <w:p>
            <w:pPr>
              <w:adjustRightInd w:val="0"/>
              <w:rPr>
                <w:rFonts w:ascii="Garamond" w:hAnsi="Garamond" w:cs="Calibri"/>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Confounding bias</w:t>
            </w:r>
          </w:p>
        </w:tc>
        <w:tc>
          <w:tcPr>
            <w:tcW w:w="5245" w:type="dxa"/>
          </w:tcPr>
          <w:p>
            <w:pPr>
              <w:pStyle w:val="19"/>
              <w:rPr>
                <w:rFonts w:ascii="Garamond" w:hAnsi="Garamond"/>
                <w:color w:val="000000" w:themeColor="text1"/>
                <w:sz w:val="28"/>
                <w:szCs w:val="28"/>
                <w:lang w:val="en-US"/>
                <w14:textFill>
                  <w14:solidFill>
                    <w14:schemeClr w14:val="tx1"/>
                  </w14:solidFill>
                </w14:textFill>
              </w:rPr>
            </w:pPr>
            <w:r>
              <w:rPr>
                <w:rFonts w:hint="eastAsia" w:ascii="Garamond" w:hAnsi="Garamond"/>
                <w:color w:val="000000" w:themeColor="text1"/>
                <w:sz w:val="28"/>
                <w:szCs w:val="28"/>
                <w:lang w:val="en-US"/>
                <w14:textFill>
                  <w14:solidFill>
                    <w14:schemeClr w14:val="tx1"/>
                  </w14:solidFill>
                </w14:textFill>
              </w:rPr>
              <w:t xml:space="preserve">Did the study design or analysis account for important confounding and modifying variables?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-LOW risk: Study accounted for all important confounders which were measured consistently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Study accounted for most of confounders AND is not expected to introduce bias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Study accounted for some but not all of confounders AND is expected to introduce bias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-HIGH risk: Study did not account for potential confounders OR were inappropriately measured </w:t>
            </w:r>
          </w:p>
          <w:p>
            <w:pPr>
              <w:adjustRightInd w:val="0"/>
              <w:rPr>
                <w:rFonts w:ascii="Garamond" w:hAnsi="Garamond" w:cs="Calibri"/>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vMerge w:val="restart"/>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Other Criteria</w:t>
            </w: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Selection bias</w:t>
            </w:r>
          </w:p>
        </w:tc>
        <w:tc>
          <w:tcPr>
            <w:tcW w:w="5245" w:type="dxa"/>
          </w:tcPr>
          <w:p>
            <w:pPr>
              <w:pStyle w:val="19"/>
              <w:rPr>
                <w:rFonts w:ascii="Garamond" w:hAnsi="Garamond"/>
                <w:color w:val="000000" w:themeColor="text1"/>
                <w:sz w:val="28"/>
                <w:szCs w:val="28"/>
                <w:lang w:val="en-US"/>
                <w14:textFill>
                  <w14:solidFill>
                    <w14:schemeClr w14:val="tx1"/>
                  </w14:solidFill>
                </w14:textFill>
              </w:rPr>
            </w:pPr>
            <w:r>
              <w:rPr>
                <w:rFonts w:hint="eastAsia" w:ascii="Garamond" w:hAnsi="Garamond"/>
                <w:color w:val="000000" w:themeColor="text1"/>
                <w:sz w:val="28"/>
                <w:szCs w:val="28"/>
                <w:lang w:val="en-US"/>
                <w14:textFill>
                  <w14:solidFill>
                    <w14:schemeClr w14:val="tx1"/>
                  </w14:solidFill>
                </w14:textFill>
              </w:rPr>
              <w:t xml:space="preserve">Did selection of study participants result in appropriate comparison groups?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p>
        </w:tc>
        <w:tc>
          <w:tcPr>
            <w:tcW w:w="6378" w:type="dxa"/>
          </w:tcPr>
          <w:p>
            <w:pPr>
              <w:autoSpaceDE w:val="0"/>
              <w:autoSpaceDN w:val="0"/>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The descriptions of the studied population were sufficiently detailed to support the assertion that risk of selection effects was minimal.</w:t>
            </w:r>
          </w:p>
          <w:p>
            <w:pPr>
              <w:autoSpaceDE w:val="0"/>
              <w:autoSpaceDN w:val="0"/>
              <w:adjustRightInd w:val="0"/>
              <w:rPr>
                <w:rFonts w:ascii="Garamond" w:hAnsi="Garamond" w:cs="Calibri"/>
                <w:color w:val="000000" w:themeColor="text1"/>
                <w:sz w:val="28"/>
                <w:szCs w:val="28"/>
                <w14:textFill>
                  <w14:solidFill>
                    <w14:schemeClr w14:val="tx1"/>
                  </w14:solidFill>
                </w14:textFill>
              </w:rPr>
            </w:pPr>
          </w:p>
          <w:p>
            <w:pPr>
              <w:autoSpaceDE w:val="0"/>
              <w:autoSpaceDN w:val="0"/>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risk: There is insufficient information about population selection to permit a judgment of low risk of bias, but there is indirect evidence that suggests low risk of bias.</w:t>
            </w:r>
          </w:p>
          <w:p>
            <w:pPr>
              <w:autoSpaceDE w:val="0"/>
              <w:autoSpaceDN w:val="0"/>
              <w:adjustRightInd w:val="0"/>
              <w:rPr>
                <w:rFonts w:ascii="Garamond" w:hAnsi="Garamond" w:cs="Calibri"/>
                <w:color w:val="000000" w:themeColor="text1"/>
                <w:sz w:val="28"/>
                <w:szCs w:val="28"/>
                <w14:textFill>
                  <w14:solidFill>
                    <w14:schemeClr w14:val="tx1"/>
                  </w14:solidFill>
                </w14:textFill>
              </w:rPr>
            </w:pPr>
          </w:p>
          <w:p>
            <w:pPr>
              <w:autoSpaceDE w:val="0"/>
              <w:autoSpaceDN w:val="0"/>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is insufficient information about population selection to permit a judgment of high risk of bias, but there is indirect evidence that suggests high risk of bias.</w:t>
            </w:r>
          </w:p>
          <w:p>
            <w:pPr>
              <w:autoSpaceDE w:val="0"/>
              <w:autoSpaceDN w:val="0"/>
              <w:adjustRightInd w:val="0"/>
              <w:rPr>
                <w:rFonts w:ascii="Garamond" w:hAnsi="Garamond" w:cs="Calibri"/>
                <w:color w:val="000000" w:themeColor="text1"/>
                <w:sz w:val="28"/>
                <w:szCs w:val="28"/>
                <w14:textFill>
                  <w14:solidFill>
                    <w14:schemeClr w14:val="tx1"/>
                  </w14:solidFill>
                </w14:textFill>
              </w:rPr>
            </w:pPr>
          </w:p>
          <w:p>
            <w:pPr>
              <w:autoSpaceDE w:val="0"/>
              <w:autoSpaceDN w:val="0"/>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 HIGH risk: There were indications from descriptions of the studied population of high risk of bias.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vMerge w:val="continue"/>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Attrition/exclusion bias</w:t>
            </w:r>
          </w:p>
        </w:tc>
        <w:tc>
          <w:tcPr>
            <w:tcW w:w="5245" w:type="dxa"/>
          </w:tcPr>
          <w:p>
            <w:pPr>
              <w:pStyle w:val="19"/>
              <w:rPr>
                <w:rFonts w:ascii="Garamond" w:hAnsi="Garamond"/>
                <w:color w:val="000000" w:themeColor="text1"/>
                <w:sz w:val="28"/>
                <w:szCs w:val="28"/>
                <w:lang w:val="en-US"/>
                <w14:textFill>
                  <w14:solidFill>
                    <w14:schemeClr w14:val="tx1"/>
                  </w14:solidFill>
                </w14:textFill>
              </w:rPr>
            </w:pPr>
            <w:r>
              <w:rPr>
                <w:rFonts w:hint="eastAsia" w:ascii="Garamond" w:hAnsi="Garamond"/>
                <w:color w:val="000000" w:themeColor="text1"/>
                <w:sz w:val="28"/>
                <w:szCs w:val="28"/>
                <w:lang w:val="en-US"/>
                <w14:textFill>
                  <w14:solidFill>
                    <w14:schemeClr w14:val="tx1"/>
                  </w14:solidFill>
                </w14:textFill>
              </w:rPr>
              <w:t xml:space="preserve">Were outcome data complete without attrition or exclusion from analysis? </w:t>
            </w:r>
          </w:p>
          <w:p>
            <w:pPr>
              <w:adjustRightInd w:val="0"/>
              <w:rPr>
                <w:rFonts w:ascii="Garamond" w:hAnsi="Garamond" w:cs="Calibri"/>
                <w:color w:val="000000" w:themeColor="text1"/>
                <w:sz w:val="28"/>
                <w:szCs w:val="28"/>
                <w14:textFill>
                  <w14:solidFill>
                    <w14:schemeClr w14:val="tx1"/>
                  </w14:solidFill>
                </w14:textFill>
              </w:rPr>
            </w:pPr>
          </w:p>
          <w:p>
            <w:pPr>
              <w:pStyle w:val="19"/>
              <w:rPr>
                <w:rFonts w:ascii="Garamond" w:hAnsi="Garamond"/>
                <w:color w:val="000000" w:themeColor="text1"/>
                <w:sz w:val="28"/>
                <w:szCs w:val="28"/>
                <w:lang w:val="en-US"/>
                <w14:textFill>
                  <w14:solidFill>
                    <w14:schemeClr w14:val="tx1"/>
                  </w14:solidFill>
                </w14:textFill>
              </w:rPr>
            </w:pP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-LOW risk: There were no missing outcome data or missing data unrelated to true outcome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There was insufficient information about incomplete data to judge for low risk, but indirect evidence that suggests low risk of bias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was insufficient information about incomplete data to judge for high risk, but indirect evidence that suggests high risk</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-HIGH risk: Missing outcome data is related to true outcome </w:t>
            </w:r>
          </w:p>
          <w:p>
            <w:pPr>
              <w:adjustRightInd w:val="0"/>
              <w:rPr>
                <w:rFonts w:ascii="Garamond" w:hAnsi="Garamond" w:cs="Calibri"/>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Selective reporting bias</w:t>
            </w:r>
          </w:p>
        </w:tc>
        <w:tc>
          <w:tcPr>
            <w:tcW w:w="5245" w:type="dxa"/>
          </w:tcPr>
          <w:p>
            <w:pPr>
              <w:pStyle w:val="19"/>
              <w:rPr>
                <w:rFonts w:ascii="Garamond" w:hAnsi="Garamond"/>
                <w:color w:val="000000" w:themeColor="text1"/>
                <w:sz w:val="28"/>
                <w:szCs w:val="28"/>
                <w:lang w:val="en-US"/>
                <w14:textFill>
                  <w14:solidFill>
                    <w14:schemeClr w14:val="tx1"/>
                  </w14:solidFill>
                </w14:textFill>
              </w:rPr>
            </w:pPr>
            <w:r>
              <w:rPr>
                <w:rFonts w:hint="eastAsia" w:ascii="Garamond" w:hAnsi="Garamond"/>
                <w:color w:val="000000" w:themeColor="text1"/>
                <w:sz w:val="28"/>
                <w:szCs w:val="28"/>
                <w:lang w:val="en-US"/>
                <w14:textFill>
                  <w14:solidFill>
                    <w14:schemeClr w14:val="tx1"/>
                  </w14:solidFill>
                </w14:textFill>
              </w:rPr>
              <w:t xml:space="preserve">Were all measured outcomes reported? </w:t>
            </w:r>
          </w:p>
          <w:p>
            <w:pPr>
              <w:adjustRightInd w:val="0"/>
              <w:rPr>
                <w:rFonts w:ascii="Garamond" w:hAnsi="Garamond" w:cs="Calibri"/>
                <w:color w:val="000000" w:themeColor="text1"/>
                <w:sz w:val="28"/>
                <w:szCs w:val="28"/>
                <w14:textFill>
                  <w14:solidFill>
                    <w14:schemeClr w14:val="tx1"/>
                  </w14:solidFill>
                </w14:textFill>
              </w:rPr>
            </w:pP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All of the studies pre-specified outcomes and findings are reported</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There was insufficient information about selective outcome to judge for low risk, but indirect evidence that suggests study was free of selective report</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was insufficient information about selective reporting to judge for high risk, but indirect evidence suggests that study was not free of selective reporting</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-HIGH risk: Not all pre-specified outcomes and findings were reported, or one/more of the primary outcomes or analyses were assessed or executed with other methods than the pre-specified one, or one/more of the reported outcomes/findings was/were not pre-specified</w:t>
            </w:r>
          </w:p>
          <w:p>
            <w:pPr>
              <w:adjustRightInd w:val="0"/>
              <w:rPr>
                <w:rFonts w:ascii="Garamond" w:hAnsi="Garamond" w:cs="Calibri"/>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Conflict of interest</w:t>
            </w:r>
          </w:p>
        </w:tc>
        <w:tc>
          <w:tcPr>
            <w:tcW w:w="5245"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Potential source of bias in reporting through source of funding </w:t>
            </w: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The study did not receive funding from an entity with financial interest in the outcome of study</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-PROBABLY LOW: There is insufficient information to judge for low risk, but indirect evidence suggests study was free of financial interest </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is insufficient information to judge for high risk, but indirect evidence suggests study was not free of financial interest</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-HIGH risk: The study received support from an entity with financial interest in the outcome of study</w:t>
            </w:r>
          </w:p>
          <w:p>
            <w:pPr>
              <w:adjustRightInd w:val="0"/>
              <w:rPr>
                <w:rFonts w:ascii="Garamond" w:hAnsi="Garamond" w:cs="Calibri"/>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43" w:type="dxa"/>
          </w:tcPr>
          <w:p>
            <w:pPr>
              <w:adjustRightInd w:val="0"/>
              <w:rPr>
                <w:rFonts w:ascii="Garamond" w:hAnsi="Garamond" w:cs="Calibri"/>
                <w:color w:val="000000" w:themeColor="text1"/>
                <w:sz w:val="28"/>
                <w:szCs w:val="28"/>
                <w14:textFill>
                  <w14:solidFill>
                    <w14:schemeClr w14:val="tx1"/>
                  </w14:solidFill>
                </w14:textFill>
              </w:rPr>
            </w:pPr>
          </w:p>
        </w:tc>
        <w:tc>
          <w:tcPr>
            <w:tcW w:w="3119" w:type="dxa"/>
          </w:tcPr>
          <w:p>
            <w:pPr>
              <w:adjustRightInd w:val="0"/>
              <w:rPr>
                <w:rFonts w:ascii="Garamond" w:hAnsi="Garamond" w:cs="Calibri"/>
                <w:b/>
                <w:color w:val="000000" w:themeColor="text1"/>
                <w:sz w:val="28"/>
                <w:szCs w:val="28"/>
                <w14:textFill>
                  <w14:solidFill>
                    <w14:schemeClr w14:val="tx1"/>
                  </w14:solidFill>
                </w14:textFill>
              </w:rPr>
            </w:pPr>
            <w:r>
              <w:rPr>
                <w:rFonts w:hint="eastAsia" w:ascii="Garamond" w:hAnsi="Garamond" w:cs="Calibri"/>
                <w:b/>
                <w:color w:val="000000" w:themeColor="text1"/>
                <w:sz w:val="28"/>
                <w:szCs w:val="28"/>
                <w14:textFill>
                  <w14:solidFill>
                    <w14:schemeClr w14:val="tx1"/>
                  </w14:solidFill>
                </w14:textFill>
              </w:rPr>
              <w:t>Other source of bias</w:t>
            </w:r>
          </w:p>
        </w:tc>
        <w:tc>
          <w:tcPr>
            <w:tcW w:w="5245"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Bias due to other problems not covered elsewhere (statistical methods were appropriate and researchers adhere to the study protocol)</w:t>
            </w:r>
          </w:p>
        </w:tc>
        <w:tc>
          <w:tcPr>
            <w:tcW w:w="6378" w:type="dxa"/>
          </w:tcPr>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-LOW risk: No other sources of bias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LOW: There is insufficient information to judge for low risk, but indirect evidence suggests study was free of other problems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-PROBABLY HIGH risk: There is insufficient information to judge for high risk, but indirect evidence suggests study was not free of other problems</w:t>
            </w:r>
          </w:p>
          <w:p>
            <w:pPr>
              <w:adjustRightInd w:val="0"/>
              <w:rPr>
                <w:rFonts w:ascii="Garamond" w:hAnsi="Garamond" w:cs="Calibri"/>
                <w:color w:val="000000" w:themeColor="text1"/>
                <w:sz w:val="28"/>
                <w:szCs w:val="28"/>
                <w14:textFill>
                  <w14:solidFill>
                    <w14:schemeClr w14:val="tx1"/>
                  </w14:solidFill>
                </w14:textFill>
              </w:rPr>
            </w:pPr>
          </w:p>
          <w:p>
            <w:pPr>
              <w:adjustRightInd w:val="0"/>
              <w:rPr>
                <w:rFonts w:ascii="Garamond" w:hAnsi="Garamond" w:cs="Calibri"/>
                <w:color w:val="000000" w:themeColor="text1"/>
                <w:sz w:val="28"/>
                <w:szCs w:val="28"/>
                <w14:textFill>
                  <w14:solidFill>
                    <w14:schemeClr w14:val="tx1"/>
                  </w14:solidFill>
                </w14:textFill>
              </w:rPr>
            </w:pPr>
            <w:r>
              <w:rPr>
                <w:rFonts w:hint="eastAsia" w:ascii="Garamond" w:hAnsi="Garamond" w:cs="Calibri"/>
                <w:color w:val="000000" w:themeColor="text1"/>
                <w:sz w:val="28"/>
                <w:szCs w:val="28"/>
                <w14:textFill>
                  <w14:solidFill>
                    <w14:schemeClr w14:val="tx1"/>
                  </w14:solidFill>
                </w14:textFill>
              </w:rPr>
              <w:t xml:space="preserve">-HIGH risk: There was at least one important risk of bias </w:t>
            </w:r>
          </w:p>
          <w:p>
            <w:pPr>
              <w:adjustRightInd w:val="0"/>
              <w:rPr>
                <w:rFonts w:ascii="Garamond" w:hAnsi="Garamond" w:cs="Calibri"/>
                <w:color w:val="000000" w:themeColor="text1"/>
                <w:sz w:val="28"/>
                <w:szCs w:val="28"/>
                <w14:textFill>
                  <w14:solidFill>
                    <w14:schemeClr w14:val="tx1"/>
                  </w14:solidFill>
                </w14:textFill>
              </w:rPr>
            </w:pPr>
          </w:p>
        </w:tc>
      </w:t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93"/>
      <w:bookmarkEnd w:id="94"/>
    </w:tbl>
    <w:p>
      <w:pPr>
        <w:spacing w:line="360" w:lineRule="auto"/>
        <w:rPr>
          <w:rFonts w:ascii="Calibri" w:hAnsi="Calibri" w:cs="Calibri"/>
          <w:b/>
          <w:bCs/>
          <w:color w:val="000000" w:themeColor="text1"/>
          <w:sz w:val="28"/>
          <w:szCs w:val="28"/>
          <w14:textFill>
            <w14:solidFill>
              <w14:schemeClr w14:val="tx1"/>
            </w14:solidFill>
          </w14:textFill>
        </w:rPr>
      </w:pPr>
    </w:p>
    <w:p>
      <w:pPr>
        <w:pStyle w:val="19"/>
        <w:snapToGrid w:val="0"/>
        <w:spacing w:line="360" w:lineRule="auto"/>
        <w:jc w:val="both"/>
        <w:rPr>
          <w:rFonts w:ascii="Garamond" w:hAnsi="Garamond"/>
          <w:b/>
          <w:bCs/>
          <w:color w:val="000000" w:themeColor="text1"/>
          <w:sz w:val="28"/>
          <w:szCs w:val="28"/>
          <w:lang w:val="en-GB" w:eastAsia="zh-CN"/>
          <w14:textFill>
            <w14:solidFill>
              <w14:schemeClr w14:val="tx1"/>
            </w14:solidFill>
          </w14:textFill>
        </w:rPr>
      </w:pPr>
      <w:bookmarkStart w:id="98" w:name="OLE_LINK4089"/>
      <w:bookmarkStart w:id="99" w:name="OLE_LINK4090"/>
      <w:bookmarkStart w:id="100" w:name="OLE_LINK3542"/>
      <w:bookmarkStart w:id="101" w:name="OLE_LINK3540"/>
      <w:bookmarkStart w:id="102" w:name="OLE_LINK3538"/>
      <w:bookmarkStart w:id="103" w:name="OLE_LINK3541"/>
      <w:bookmarkStart w:id="104" w:name="OLE_LINK3539"/>
      <w:bookmarkStart w:id="105" w:name="OLE_LINK3593"/>
      <w:bookmarkStart w:id="106" w:name="OLE_LINK3543"/>
      <w:bookmarkEnd w:id="98"/>
      <w:bookmarkEnd w:id="99"/>
    </w:p>
    <w:p>
      <w:pPr>
        <w:rPr>
          <w:rFonts w:ascii="Garamond" w:hAnsi="Garamond"/>
          <w:b/>
          <w:bCs/>
          <w:color w:val="000000" w:themeColor="text1"/>
          <w:sz w:val="28"/>
          <w:szCs w:val="28"/>
          <w:lang w:val="en-GB"/>
          <w14:textFill>
            <w14:solidFill>
              <w14:schemeClr w14:val="tx1"/>
            </w14:solidFill>
          </w14:textFill>
        </w:rPr>
      </w:pPr>
      <w:bookmarkStart w:id="107" w:name="OLE_LINK4223"/>
      <w:bookmarkStart w:id="108" w:name="OLE_LINK4222"/>
      <w:bookmarkStart w:id="109" w:name="OLE_LINK4224"/>
      <w:r>
        <w:rPr>
          <w:rFonts w:ascii="Garamond" w:hAnsi="Garamond"/>
          <w:b/>
          <w:bCs/>
          <w:color w:val="000000" w:themeColor="text1"/>
          <w:sz w:val="28"/>
          <w:szCs w:val="28"/>
          <w:lang w:val="en-GB"/>
          <w14:textFill>
            <w14:solidFill>
              <w14:schemeClr w14:val="tx1"/>
            </w14:solidFill>
          </w14:textFill>
        </w:rPr>
        <w:br w:type="page"/>
      </w:r>
    </w:p>
    <w:p>
      <w:pPr>
        <w:spacing w:line="360" w:lineRule="auto"/>
        <w:rPr>
          <w:rFonts w:ascii="Garamond" w:hAnsi="Garamond"/>
          <w:b/>
          <w:bCs/>
          <w:color w:val="000000" w:themeColor="text1"/>
          <w:sz w:val="28"/>
          <w:szCs w:val="28"/>
          <w:lang w:val="en-GB"/>
          <w14:textFill>
            <w14:solidFill>
              <w14:schemeClr w14:val="tx1"/>
            </w14:solidFill>
          </w14:textFill>
        </w:rPr>
      </w:pPr>
      <w:r>
        <w:rPr>
          <w:rFonts w:ascii="Garamond" w:hAnsi="Garamond"/>
          <w:b/>
          <w:bCs/>
          <w:color w:val="000000" w:themeColor="text1"/>
          <w:sz w:val="28"/>
          <w:szCs w:val="28"/>
          <w:lang w:val="en-GB"/>
          <w14:textFill>
            <w14:solidFill>
              <w14:schemeClr w14:val="tx1"/>
            </w14:solidFill>
          </w14:textFill>
        </w:rPr>
        <w:t xml:space="preserve">Table S5. </w:t>
      </w:r>
      <w:r>
        <w:rPr>
          <w:rFonts w:ascii="Garamond" w:hAnsi="Garamond"/>
          <w:color w:val="000000" w:themeColor="text1"/>
          <w:sz w:val="28"/>
          <w:szCs w:val="28"/>
          <w14:textFill>
            <w14:solidFill>
              <w14:schemeClr w14:val="tx1"/>
            </w14:solidFill>
          </w14:textFill>
        </w:rPr>
        <w:t>Details of risk of bias assessment for each study included in the systematic review and meta-analysis.</w:t>
      </w:r>
      <w:bookmarkEnd w:id="100"/>
      <w:bookmarkEnd w:id="101"/>
      <w:bookmarkEnd w:id="102"/>
      <w:bookmarkEnd w:id="103"/>
      <w:bookmarkEnd w:id="104"/>
      <w:bookmarkEnd w:id="105"/>
      <w:bookmarkEnd w:id="106"/>
      <w:bookmarkEnd w:id="107"/>
      <w:bookmarkEnd w:id="108"/>
      <w:bookmarkEnd w:id="109"/>
    </w:p>
    <w:tbl>
      <w:tblPr>
        <w:tblStyle w:val="12"/>
        <w:tblW w:w="16440" w:type="dxa"/>
        <w:jc w:val="center"/>
        <w:tblLayout w:type="fixed"/>
        <w:tblCellMar>
          <w:top w:w="0" w:type="dxa"/>
          <w:left w:w="108" w:type="dxa"/>
          <w:bottom w:w="0" w:type="dxa"/>
          <w:right w:w="108" w:type="dxa"/>
        </w:tblCellMar>
      </w:tblPr>
      <w:tblGrid>
        <w:gridCol w:w="2065"/>
        <w:gridCol w:w="3336"/>
        <w:gridCol w:w="1965"/>
        <w:gridCol w:w="9074"/>
      </w:tblGrid>
      <w:tr>
        <w:trPr>
          <w:jc w:val="center"/>
        </w:trPr>
        <w:tc>
          <w:tcPr>
            <w:tcW w:w="2065" w:type="dxa"/>
            <w:tcBorders>
              <w:top w:val="single" w:color="auto" w:sz="4" w:space="0"/>
              <w:left w:val="single" w:color="auto" w:sz="4" w:space="0"/>
              <w:bottom w:val="single" w:color="auto" w:sz="4" w:space="0"/>
              <w:right w:val="single" w:color="auto" w:sz="4" w:space="0"/>
            </w:tcBorders>
            <w:vAlign w:val="center"/>
          </w:tcPr>
          <w:p>
            <w:pPr>
              <w:pStyle w:val="19"/>
              <w:spacing w:line="360" w:lineRule="auto"/>
              <w:jc w:val="both"/>
              <w:rPr>
                <w:rFonts w:ascii="Garamond" w:hAnsi="Garamond"/>
                <w:b/>
                <w:bCs/>
                <w:color w:val="000000" w:themeColor="text1"/>
                <w:sz w:val="28"/>
                <w:szCs w:val="28"/>
                <w14:textFill>
                  <w14:solidFill>
                    <w14:schemeClr w14:val="tx1"/>
                  </w14:solidFill>
                </w14:textFill>
              </w:rPr>
            </w:pPr>
            <w:bookmarkStart w:id="110" w:name="OLE_LINK94"/>
            <w:r>
              <w:rPr>
                <w:rFonts w:hint="eastAsia" w:ascii="Garamond" w:hAnsi="Garamond"/>
                <w:b/>
                <w:bCs/>
                <w:color w:val="000000" w:themeColor="text1"/>
                <w:sz w:val="28"/>
                <w:szCs w:val="28"/>
                <w14:textFill>
                  <w14:solidFill>
                    <w14:schemeClr w14:val="tx1"/>
                  </w14:solidFill>
                </w14:textFill>
              </w:rPr>
              <w:t>Study ID</w:t>
            </w:r>
            <w:bookmarkEnd w:id="110"/>
          </w:p>
        </w:tc>
        <w:tc>
          <w:tcPr>
            <w:tcW w:w="3336" w:type="dxa"/>
            <w:tcBorders>
              <w:top w:val="single" w:color="auto" w:sz="4" w:space="0"/>
              <w:left w:val="nil"/>
              <w:bottom w:val="single" w:color="auto" w:sz="4" w:space="0"/>
              <w:right w:val="single" w:color="auto" w:sz="4" w:space="0"/>
            </w:tcBorders>
            <w:vAlign w:val="center"/>
          </w:tcPr>
          <w:p>
            <w:pPr>
              <w:pStyle w:val="19"/>
              <w:spacing w:line="360" w:lineRule="auto"/>
              <w:jc w:val="both"/>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Domain</w:t>
            </w:r>
          </w:p>
        </w:tc>
        <w:tc>
          <w:tcPr>
            <w:tcW w:w="1965" w:type="dxa"/>
            <w:tcBorders>
              <w:top w:val="single" w:color="auto" w:sz="4" w:space="0"/>
              <w:left w:val="nil"/>
              <w:bottom w:val="single" w:color="auto" w:sz="4" w:space="0"/>
              <w:right w:val="single" w:color="auto" w:sz="4" w:space="0"/>
            </w:tcBorders>
            <w:vAlign w:val="center"/>
          </w:tcPr>
          <w:p>
            <w:pPr>
              <w:pStyle w:val="19"/>
              <w:spacing w:line="360" w:lineRule="auto"/>
              <w:jc w:val="both"/>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Judgement</w:t>
            </w:r>
          </w:p>
        </w:tc>
        <w:tc>
          <w:tcPr>
            <w:tcW w:w="9074" w:type="dxa"/>
            <w:tcBorders>
              <w:top w:val="single" w:color="auto" w:sz="4" w:space="0"/>
              <w:left w:val="nil"/>
              <w:bottom w:val="single" w:color="auto" w:sz="4" w:space="0"/>
              <w:right w:val="single" w:color="auto" w:sz="4" w:space="0"/>
            </w:tcBorders>
            <w:vAlign w:val="center"/>
          </w:tcPr>
          <w:p>
            <w:pPr>
              <w:pStyle w:val="19"/>
              <w:spacing w:line="360" w:lineRule="auto"/>
              <w:jc w:val="both"/>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Comment</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b/>
                <w:bCs/>
                <w:color w:val="000000" w:themeColor="text1"/>
                <w:sz w:val="21"/>
                <w:szCs w:val="21"/>
                <w:lang w:val="en-US" w:eastAsia="zh-CN"/>
                <w14:textFill>
                  <w14:solidFill>
                    <w14:schemeClr w14:val="tx1"/>
                  </w14:solidFill>
                </w14:textFill>
              </w:rPr>
            </w:pPr>
            <w:r>
              <w:rPr>
                <w:rFonts w:hint="eastAsia" w:ascii="Garamond" w:hAnsi="Garamond"/>
                <w:color w:val="000000" w:themeColor="text1"/>
                <w:sz w:val="21"/>
                <w:szCs w:val="21"/>
                <w14:textFill>
                  <w14:solidFill>
                    <w14:schemeClr w14:val="tx1"/>
                  </w14:solidFill>
                </w14:textFill>
              </w:rPr>
              <w:t xml:space="preserve">Lyndsey A. Darrow </w:t>
            </w:r>
            <w:r>
              <w:rPr>
                <w:rFonts w:hint="eastAsia" w:ascii="Garamond" w:hAnsi="Garamond"/>
                <w:color w:val="000000" w:themeColor="text1"/>
                <w:sz w:val="21"/>
                <w:szCs w:val="21"/>
                <w:lang w:val="en-US" w:eastAsia="zh-CN"/>
                <w14:textFill>
                  <w14:solidFill>
                    <w14:schemeClr w14:val="tx1"/>
                  </w14:solidFill>
                </w14:textFill>
              </w:rPr>
              <w:t>(</w:t>
            </w:r>
            <w:r>
              <w:rPr>
                <w:rFonts w:hint="eastAsia" w:ascii="Garamond" w:hAnsi="Garamond"/>
                <w:color w:val="000000" w:themeColor="text1"/>
                <w:sz w:val="21"/>
                <w:szCs w:val="21"/>
                <w14:textFill>
                  <w14:solidFill>
                    <w14:schemeClr w14:val="tx1"/>
                  </w14:solidFill>
                </w14:textFill>
              </w:rPr>
              <w:t>2016</w:t>
            </w:r>
            <w:r>
              <w:rPr>
                <w:rFonts w:hint="eastAsia" w:ascii="Garamond" w:hAnsi="Garamond"/>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25"/>
              <w:adjustRightInd w:val="0"/>
              <w:rPr>
                <w:rFonts w:ascii="Garamond" w:hAnsi="Garamond"/>
                <w:color w:val="000000" w:themeColor="text1"/>
                <w14:textFill>
                  <w14:solidFill>
                    <w14:schemeClr w14:val="tx1"/>
                  </w14:solidFill>
                </w14:textFill>
              </w:rPr>
            </w:pPr>
            <w:r>
              <w:rPr>
                <w:rFonts w:hint="eastAsia" w:ascii="Garamond" w:hAnsi="Garamond"/>
                <w:color w:val="000000" w:themeColor="text1"/>
                <w14:textFill>
                  <w14:solidFill>
                    <w14:schemeClr w14:val="tx1"/>
                  </w14:solidFill>
                </w14:textFill>
              </w:rPr>
              <w:t>For each follow-up year for each subject, we calculated a measure of cumulative serum PFOA exposure by summing all previous yearly estimates of PFOA serum concentrations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w:t>
            </w:r>
            <w:r>
              <w:rPr>
                <w:rFonts w:ascii="Garamond" w:hAnsi="Garamond"/>
                <w:color w:val="000000" w:themeColor="text1"/>
                <w:sz w:val="28"/>
                <w:szCs w:val="28"/>
                <w14:textFill>
                  <w14:solidFill>
                    <w14:schemeClr w14:val="tx1"/>
                  </w14:solidFill>
                </w14:textFill>
              </w:rPr>
              <w:t xml:space="preserve">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kern w:val="2"/>
                <w14:textFill>
                  <w14:solidFill>
                    <w14:schemeClr w14:val="tx1"/>
                  </w14:solidFill>
                </w14:textFill>
              </w:rPr>
            </w:pPr>
            <w:r>
              <w:rPr>
                <w:rFonts w:hint="eastAsia" w:ascii="Garamond" w:hAnsi="Garamond" w:cs="Times New Roman"/>
                <w:color w:val="000000" w:themeColor="text1"/>
                <w:kern w:val="2"/>
                <w14:textFill>
                  <w14:solidFill>
                    <w14:schemeClr w14:val="tx1"/>
                  </w14:solidFill>
                </w14:textFill>
              </w:rPr>
              <w:t>We examined three markers of liver injury measured in 2005–2006 for the C8HP.</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Definitely</w:t>
            </w:r>
            <w:r>
              <w:rPr>
                <w:rFonts w:hint="eastAsia" w:ascii="Garamond" w:hAnsi="Garamond"/>
                <w:color w:val="000000" w:themeColor="text1"/>
                <w:sz w:val="28"/>
                <w:szCs w:val="28"/>
                <w14:textFill>
                  <w14:solidFill>
                    <w14:schemeClr w14:val="tx1"/>
                  </w14:solidFill>
                </w14:textFill>
              </w:rPr>
              <w:t xml:space="preserve">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kern w:val="2"/>
                <w14:textFill>
                  <w14:solidFill>
                    <w14:schemeClr w14:val="tx1"/>
                  </w14:solidFill>
                </w14:textFill>
              </w:rPr>
            </w:pPr>
            <w:r>
              <w:rPr>
                <w:rFonts w:hint="eastAsia" w:ascii="Garamond" w:hAnsi="Garamond" w:cs="Times New Roman"/>
                <w:color w:val="000000" w:themeColor="text1"/>
                <w:kern w:val="2"/>
                <w14:textFill>
                  <w14:solidFill>
                    <w14:schemeClr w14:val="tx1"/>
                  </w14:solidFill>
                </w14:textFill>
              </w:rPr>
              <w:t>Analysis adjusted age, sex, BMI, alcohol consumption, regular exercise, smoking status, education, insulin resistance, fasting status, history of working at DuPont plant, and race.</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Definitely</w:t>
            </w:r>
            <w:r>
              <w:rPr>
                <w:rFonts w:hint="eastAsia" w:ascii="Garamond" w:hAnsi="Garamond"/>
                <w:color w:val="000000" w:themeColor="text1"/>
                <w:sz w:val="28"/>
                <w:szCs w:val="28"/>
                <w14:textFill>
                  <w14:solidFill>
                    <w14:schemeClr w14:val="tx1"/>
                  </w14:solidFill>
                </w14:textFill>
              </w:rPr>
              <w:t xml:space="preserve">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bCs/>
                <w:iCs/>
                <w:color w:val="000000" w:themeColor="text1"/>
                <w14:textFill>
                  <w14:solidFill>
                    <w14:schemeClr w14:val="tx1"/>
                  </w14:solidFill>
                </w14:textFill>
              </w:rPr>
            </w:pPr>
            <w:r>
              <w:rPr>
                <w:rFonts w:ascii="Garamond" w:hAnsi="Garamond" w:cs="Times New Roman"/>
                <w:bCs/>
                <w:iCs/>
                <w:color w:val="000000" w:themeColor="text1"/>
                <w14:textFill>
                  <w14:solidFill>
                    <w14:schemeClr w14:val="tx1"/>
                  </w14:solidFill>
                </w14:textFill>
              </w:rPr>
              <w:t xml:space="preserve">The authors stated: “We used data from </w:t>
            </w:r>
            <w:r>
              <w:rPr>
                <w:rFonts w:hint="eastAsia" w:ascii="Garamond" w:hAnsi="Garamond" w:cs="Times New Roman"/>
                <w:bCs/>
                <w:iCs/>
                <w:color w:val="000000" w:themeColor="text1"/>
                <w14:textFill>
                  <w14:solidFill>
                    <w14:schemeClr w14:val="tx1"/>
                  </w14:solidFill>
                </w14:textFill>
              </w:rPr>
              <w:t xml:space="preserve"> markers of liver toxicity, were obtained from blood samples collected in the C8 Health Project (2005–2006)</w:t>
            </w:r>
            <w:r>
              <w:rPr>
                <w:rFonts w:ascii="Garamond" w:hAnsi="Garamond" w:cs="Times New Roman"/>
                <w:bCs/>
                <w:iCs/>
                <w:color w:val="000000" w:themeColor="text1"/>
                <w14:textFill>
                  <w14:solidFill>
                    <w14:schemeClr w14:val="tx1"/>
                  </w14:solidFill>
                </w14:textFill>
              </w:rPr>
              <w:t>”. Thus, selection bias may be ruled out.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 exclusion from analysis?</w:t>
            </w:r>
          </w:p>
        </w:tc>
        <w:tc>
          <w:tcPr>
            <w:tcW w:w="1965"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kern w:val="2"/>
                <w:sz w:val="28"/>
                <w:szCs w:val="28"/>
                <w14:textFill>
                  <w14:solidFill>
                    <w14:schemeClr w14:val="tx1"/>
                  </w14:solidFill>
                </w14:textFill>
              </w:rPr>
            </w:pPr>
            <w:r>
              <w:rPr>
                <w:rFonts w:hint="eastAsia" w:ascii="Garamond" w:hAnsi="Garamond" w:cs="Times New Roman"/>
                <w:color w:val="000000" w:themeColor="text1"/>
                <w:kern w:val="2"/>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25"/>
              <w:adjustRightInd w:val="0"/>
              <w:rPr>
                <w:rFonts w:ascii="Garamond" w:hAnsi="Garamond"/>
                <w:bCs/>
                <w:iCs/>
                <w:color w:val="000000" w:themeColor="text1"/>
                <w14:textFill>
                  <w14:solidFill>
                    <w14:schemeClr w14:val="tx1"/>
                  </w14:solidFill>
                </w14:textFill>
              </w:rPr>
            </w:pPr>
            <w:r>
              <w:rPr>
                <w:rFonts w:ascii="Garamond" w:hAnsi="Garamond"/>
                <w:bCs/>
                <w:iCs/>
                <w:color w:val="000000" w:themeColor="text1"/>
                <w14:textFill>
                  <w14:solidFill>
                    <w14:schemeClr w14:val="tx1"/>
                  </w14:solidFill>
                </w14:textFill>
              </w:rPr>
              <w:t>There is no evidence of exclusions that may bias the results reported in the</w:t>
            </w:r>
            <w:r>
              <w:rPr>
                <w:rFonts w:hint="eastAsia" w:ascii="Garamond" w:hAnsi="Garamond"/>
                <w:bCs/>
                <w:iCs/>
                <w:color w:val="000000" w:themeColor="text1"/>
                <w14:textFill>
                  <w14:solidFill>
                    <w14:schemeClr w14:val="tx1"/>
                  </w14:solidFill>
                </w14:textFill>
              </w:rPr>
              <w:t> </w:t>
            </w:r>
            <w:r>
              <w:rPr>
                <w:rFonts w:ascii="Garamond" w:hAnsi="Garamond"/>
                <w:bCs/>
                <w:iCs/>
                <w:color w:val="000000" w:themeColor="text1"/>
                <w14:textFill>
                  <w14:solidFill>
                    <w14:schemeClr w14:val="tx1"/>
                  </w14:solidFill>
                </w14:textFill>
              </w:rPr>
              <w:t>manuscript. The cross-sectional design prevents the loss of follow-up of participants.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r>
              <w:rPr>
                <w:rFonts w:hint="eastAsia" w:ascii="Garamond" w:hAnsi="Garamond" w:cs="Times New Roman"/>
                <w:color w:val="000000" w:themeColor="text1"/>
                <w14:textFill>
                  <w14:solidFill>
                    <w14:schemeClr w14:val="tx1"/>
                  </w14:solidFill>
                </w14:textFill>
              </w:rPr>
              <w:t>Results are consistent with previous cross-sectional studies showing association between PFOA and ALT, a marker of hepatocellular damage.</w:t>
            </w:r>
            <w:r>
              <w:rPr>
                <w:rFonts w:ascii="Garamond" w:hAnsi="Garamond" w:cs="Times New Roman"/>
                <w:color w:val="000000" w:themeColor="text1"/>
                <w14:textFill>
                  <w14:solidFill>
                    <w14:schemeClr w14:val="tx1"/>
                  </w14:solidFill>
                </w14:textFill>
              </w:rPr>
              <w:t>.</w:t>
            </w:r>
            <w:bookmarkStart w:id="111" w:name="OLE_LINK9"/>
            <w:r>
              <w:rPr>
                <w:rFonts w:ascii="Garamond" w:hAnsi="Garamond" w:cs="Times New Roman"/>
                <w:color w:val="000000" w:themeColor="text1"/>
                <w14:textFill>
                  <w14:solidFill>
                    <w14:schemeClr w14:val="tx1"/>
                  </w14:solidFill>
                </w14:textFill>
              </w:rPr>
              <w:t>”</w:t>
            </w:r>
            <w:bookmarkEnd w:id="111"/>
            <w:r>
              <w:rPr>
                <w:rFonts w:ascii="Garamond" w:hAnsi="Garamond" w:cs="Times New Roman"/>
                <w:color w:val="000000" w:themeColor="text1"/>
                <w14:textFill>
                  <w14:solidFill>
                    <w14:schemeClr w14:val="tx1"/>
                  </w14:solidFill>
                </w14:textFill>
              </w:rPr>
              <w:t>. So, all the outcomes have been reported.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bookmarkStart w:id="112" w:name="OLE_LINK4339"/>
            <w:r>
              <w:rPr>
                <w:rFonts w:hint="eastAsia" w:ascii="Garamond" w:hAnsi="Garamond"/>
                <w:color w:val="000000" w:themeColor="text1"/>
                <w:sz w:val="28"/>
                <w:szCs w:val="28"/>
                <w14:textFill>
                  <w14:solidFill>
                    <w14:schemeClr w14:val="tx1"/>
                  </w14:solidFill>
                </w14:textFill>
              </w:rPr>
              <w:t>Probably low</w:t>
            </w:r>
            <w:bookmarkEnd w:id="112"/>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eastAsia="Calibri" w:cs="Times New Roman"/>
                <w:color w:val="000000" w:themeColor="text1"/>
                <w14:textFill>
                  <w14:solidFill>
                    <w14:schemeClr w14:val="tx1"/>
                  </w14:solidFill>
                </w14:textFill>
              </w:rPr>
            </w:pPr>
            <w:r>
              <w:rPr>
                <w:rFonts w:hint="eastAsia" w:ascii="Garamond" w:hAnsi="Garamond" w:eastAsia="Calibri" w:cs="Times New Roman"/>
                <w:color w:val="000000" w:themeColor="text1"/>
                <w14:textFill>
                  <w14:solidFill>
                    <w14:schemeClr w14:val="tx1"/>
                  </w14:solidFill>
                </w14:textFill>
              </w:rPr>
              <w:t>The authors declare they have no actual or potential competing financial interests.</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adjustRightInd w:val="0"/>
              <w:jc w:val="both"/>
              <w:rPr>
                <w:rFonts w:ascii="Garamond" w:hAnsi="Garamond" w:cs="Calibri" w:eastAsiaTheme="minorEastAsia"/>
                <w:color w:val="000000" w:themeColor="text1"/>
                <w:sz w:val="21"/>
                <w:szCs w:val="21"/>
                <w14:textFill>
                  <w14:solidFill>
                    <w14:schemeClr w14:val="tx1"/>
                  </w14:solidFill>
                </w14:textFill>
              </w:rPr>
            </w:pPr>
            <w:r>
              <w:rPr>
                <w:rFonts w:hint="eastAsia" w:ascii="Garamond" w:hAnsi="Garamond" w:cs="Calibri"/>
                <w:color w:val="000000" w:themeColor="text1"/>
                <w:sz w:val="21"/>
                <w:szCs w:val="21"/>
                <w14:textFill>
                  <w14:solidFill>
                    <w14:schemeClr w14:val="tx1"/>
                  </w14:solidFill>
                </w14:textFill>
              </w:rPr>
              <w:t>Edward Anthony Emmett (2006)</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 xml:space="preserve"> PFOA was analyzed using HPLC/tandem mass spectrometer</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ascii="Garamond" w:hAnsi="Garamond"/>
                <w:color w:val="000000" w:themeColor="text1"/>
                <w:sz w:val="28"/>
                <w:szCs w:val="28"/>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r>
              <w:rPr>
                <w:rFonts w:hint="eastAsia" w:ascii="Garamond" w:hAnsi="Garamond" w:cs="Times New Roman"/>
                <w:color w:val="000000" w:themeColor="text1"/>
                <w14:textFill>
                  <w14:solidFill>
                    <w14:schemeClr w14:val="tx1"/>
                  </w14:solidFill>
                </w14:textFill>
              </w:rPr>
              <w:t>). Thirty milliliters of blood were drawn into red-topped Vacationer tubes:</w:t>
            </w:r>
          </w:p>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10 ml were immediately sent for serum chemistry</w:t>
            </w:r>
            <w:r>
              <w:rPr>
                <w:rFonts w:ascii="Garamond" w:hAnsi="Garamond" w:cs="Times New Roman"/>
                <w:color w:val="000000" w:themeColor="text1"/>
                <w14:textFill>
                  <w14:solidFill>
                    <w14:schemeClr w14:val="tx1"/>
                  </w14:solidFill>
                </w14:textFill>
              </w:rPr>
              <w:t>”.</w:t>
            </w:r>
            <w:bookmarkStart w:id="113" w:name="OLE_LINK4344"/>
            <w:bookmarkEnd w:id="113"/>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 xml:space="preserve">high  </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No adjustment was made for confounding factors.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bookmarkStart w:id="114" w:name="OLE_LINK3"/>
            <w:r>
              <w:rPr>
                <w:rFonts w:hint="eastAsia" w:ascii="Garamond" w:hAnsi="Garamond"/>
                <w:color w:val="000000" w:themeColor="text1"/>
                <w:sz w:val="28"/>
                <w:szCs w:val="28"/>
                <w14:textFill>
                  <w14:solidFill>
                    <w14:schemeClr w14:val="tx1"/>
                  </w14:solidFill>
                </w14:textFill>
              </w:rPr>
              <w:t>Probably</w:t>
            </w:r>
            <w:bookmarkEnd w:id="114"/>
            <w:r>
              <w:rPr>
                <w:rFonts w:hint="eastAsia" w:ascii="Garamond" w:hAnsi="Garamond"/>
                <w:color w:val="000000" w:themeColor="text1"/>
                <w:sz w:val="28"/>
                <w:szCs w:val="28"/>
                <w:lang w:val="en-US" w:eastAsia="zh-CN"/>
                <w14:textFill>
                  <w14:solidFill>
                    <w14:schemeClr w14:val="tx1"/>
                  </w14:solidFill>
                </w14:textFill>
              </w:rPr>
              <w:t xml:space="preserve"> </w:t>
            </w:r>
            <w:r>
              <w:rPr>
                <w:rFonts w:hint="eastAsia" w:ascii="Garamond" w:hAnsi="Garamond"/>
                <w:color w:val="000000" w:themeColor="text1"/>
                <w:sz w:val="28"/>
                <w:szCs w:val="28"/>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b/>
                <w:bCs/>
                <w:color w:val="000000" w:themeColor="text1"/>
                <w:sz w:val="28"/>
                <w:szCs w:val="28"/>
                <w14:textFill>
                  <w14:solidFill>
                    <w14:schemeClr w14:val="tx1"/>
                  </w14:solidFill>
                </w14:textFill>
              </w:rPr>
            </w:pPr>
            <w:r>
              <w:rPr>
                <w:rFonts w:hint="eastAsia" w:ascii="Garamond" w:hAnsi="Garamond" w:cs="Times New Roman"/>
                <w:color w:val="000000" w:themeColor="text1"/>
                <w14:textFill>
                  <w14:solidFill>
                    <w14:schemeClr w14:val="tx1"/>
                  </w14:solidFill>
                </w14:textFill>
              </w:rPr>
              <w:t>Serum (PFOA), hematologic and biochemical biomarkers, and a questionnaire were administered to 371 residents selected by stratified random sampling and a lottery among volunteers.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 exclusion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Theme="minorHAnsi" w:hAnsiTheme="minorHAnsi"/>
                <w:color w:val="000000" w:themeColor="text1"/>
                <w:sz w:val="21"/>
                <w:szCs w:val="22"/>
                <w14:textFill>
                  <w14:solidFill>
                    <w14:schemeClr w14:val="tx1"/>
                  </w14:solidFill>
                </w14:textFill>
              </w:rPr>
            </w:pPr>
            <w:r>
              <w:rPr>
                <w:rFonts w:ascii="Garamond" w:hAnsi="Garamond"/>
                <w:bCs/>
                <w:iCs/>
                <w:color w:val="000000" w:themeColor="text1"/>
                <w14:textFill>
                  <w14:solidFill>
                    <w14:schemeClr w14:val="tx1"/>
                  </w14:solidFill>
                </w14:textFill>
              </w:rPr>
              <w:t>There is no evidence of exclusions that may bias the results reported in the</w:t>
            </w:r>
            <w:r>
              <w:rPr>
                <w:rFonts w:hint="eastAsia" w:ascii="Garamond" w:hAnsi="Garamond"/>
                <w:bCs/>
                <w:iCs/>
                <w:color w:val="000000" w:themeColor="text1"/>
                <w14:textFill>
                  <w14:solidFill>
                    <w14:schemeClr w14:val="tx1"/>
                  </w14:solidFill>
                </w14:textFill>
              </w:rPr>
              <w:t> study.</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eastAsia="Calibri"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bookmarkStart w:id="115" w:name="OLE_LINK15"/>
            <w:bookmarkStart w:id="116" w:name="OLE_LINK14"/>
            <w:r>
              <w:rPr>
                <w:rFonts w:hint="eastAsia" w:ascii="Garamond" w:hAnsi="Garamond" w:cs="Times New Roman"/>
                <w:color w:val="000000" w:themeColor="text1"/>
                <w14:textFill>
                  <w14:solidFill>
                    <w14:schemeClr w14:val="tx1"/>
                  </w14:solidFill>
                </w14:textFill>
              </w:rPr>
              <w:t>We have found no significant positive association between serum(PFOA) and markers of a number of potential health effects from PFOA in a sample of residents from a community with markedly elevated serum (PFOA) compared with general population levels”</w:t>
            </w:r>
            <w:bookmarkEnd w:id="115"/>
            <w:bookmarkEnd w:id="116"/>
            <w:r>
              <w:rPr>
                <w:rFonts w:hint="eastAsia" w:ascii="Garamond" w:hAnsi="Garamond" w:cs="Times New Roman"/>
                <w:color w:val="000000" w:themeColor="text1"/>
                <w14:textFill>
                  <w14:solidFill>
                    <w14:schemeClr w14:val="tx1"/>
                  </w14:solidFill>
                </w14:textFill>
              </w:rPr>
              <w:t>. So all the outcomes have been reported.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The study did not address the issue of benefits</w:t>
            </w:r>
            <w:r>
              <w:rPr>
                <w:rFonts w:hint="eastAsia" w:ascii="Garamond" w:hAnsi="Garamond"/>
                <w:color w:val="000000" w:themeColor="text1"/>
                <w:sz w:val="28"/>
                <w:szCs w:val="28"/>
                <w:lang w:val="en-US" w:eastAsia="zh-CN"/>
                <w14:textFill>
                  <w14:solidFill>
                    <w14:schemeClr w14:val="tx1"/>
                  </w14:solidFill>
                </w14:textFill>
              </w:rPr>
              <w:t>.</w:t>
            </w:r>
          </w:p>
        </w:tc>
      </w:tr>
      <w:tr>
        <w:trPr>
          <w:jc w:val="center"/>
        </w:trPr>
        <w:tc>
          <w:tcPr>
            <w:tcW w:w="2065" w:type="dxa"/>
            <w:vMerge w:val="restart"/>
            <w:tcBorders>
              <w:top w:val="nil"/>
              <w:left w:val="single" w:color="auto" w:sz="4" w:space="0"/>
              <w:right w:val="single" w:color="auto" w:sz="4" w:space="0"/>
            </w:tcBorders>
            <w:vAlign w:val="center"/>
          </w:tcPr>
          <w:p>
            <w:pPr>
              <w:pStyle w:val="19"/>
              <w:jc w:val="both"/>
              <w:rPr>
                <w:rFonts w:ascii="Garamond" w:hAnsi="Garamond"/>
                <w:b/>
                <w:bCs/>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 xml:space="preserve">Chien-Yu Lin </w:t>
            </w:r>
            <w:r>
              <w:rPr>
                <w:rFonts w:hint="eastAsia" w:ascii="Garamond" w:hAnsi="Garamond" w:cs="Arial"/>
                <w:color w:val="000000" w:themeColor="text1"/>
                <w:sz w:val="21"/>
                <w:szCs w:val="21"/>
                <w:lang w:val="en-US" w:eastAsia="zh-CN"/>
                <w14:textFill>
                  <w14:solidFill>
                    <w14:schemeClr w14:val="tx1"/>
                  </w14:solidFill>
                </w14:textFill>
              </w:rPr>
              <w:t>(</w:t>
            </w:r>
            <w:r>
              <w:rPr>
                <w:rFonts w:ascii="Garamond" w:hAnsi="Garamond" w:cs="Arial"/>
                <w:color w:val="000000" w:themeColor="text1"/>
                <w:sz w:val="21"/>
                <w:szCs w:val="21"/>
                <w14:textFill>
                  <w14:solidFill>
                    <w14:schemeClr w14:val="tx1"/>
                  </w14:solidFill>
                </w14:textFill>
              </w:rPr>
              <w:t>2010</w:t>
            </w:r>
            <w:r>
              <w:rPr>
                <w:rFonts w:hint="eastAsia" w:ascii="Garamond" w:hAnsi="Garamond" w:cs="Arial"/>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ascii="Garamond" w:hAnsi="Garamond"/>
                <w:color w:val="000000" w:themeColor="text1"/>
                <w:sz w:val="28"/>
                <w:szCs w:val="28"/>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eastAsia="Calibri" w:cs="Times New Roman"/>
                <w:color w:val="000000" w:themeColor="text1"/>
                <w14:textFill>
                  <w14:solidFill>
                    <w14:schemeClr w14:val="tx1"/>
                  </w14:solidFill>
                </w14:textFill>
              </w:rPr>
            </w:pPr>
            <w:r>
              <w:rPr>
                <w:rFonts w:hint="eastAsia" w:ascii="Garamond" w:hAnsi="Garamond" w:eastAsia="Calibri" w:cs="Times New Roman"/>
                <w:color w:val="000000" w:themeColor="text1"/>
                <w14:textFill>
                  <w14:solidFill>
                    <w14:schemeClr w14:val="tx1"/>
                  </w14:solidFill>
                </w14:textFill>
              </w:rPr>
              <w:t xml:space="preserve">Detection and quantification were done by negative-ion </w:t>
            </w:r>
            <w:r>
              <w:rPr>
                <w:rFonts w:hint="eastAsia" w:ascii="Garamond" w:hAnsi="Garamond" w:cs="Times New Roman"/>
                <w:color w:val="000000" w:themeColor="text1"/>
                <w:lang w:eastAsia="zh-CN"/>
                <w14:textFill>
                  <w14:solidFill>
                    <w14:schemeClr w14:val="tx1"/>
                  </w14:solidFill>
                </w14:textFill>
              </w:rPr>
              <w:t>Turboprop</w:t>
            </w:r>
            <w:r>
              <w:rPr>
                <w:rFonts w:hint="eastAsia" w:ascii="Garamond" w:hAnsi="Garamond" w:eastAsia="Calibri" w:cs="Times New Roman"/>
                <w:color w:val="000000" w:themeColor="text1"/>
                <w14:textFill>
                  <w14:solidFill>
                    <w14:schemeClr w14:val="tx1"/>
                  </w14:solidFill>
                </w14:textFill>
              </w:rPr>
              <w:t xml:space="preserve"> ionization tandem mass </w:t>
            </w:r>
            <w:r>
              <w:rPr>
                <w:rFonts w:hint="eastAsia" w:ascii="Garamond" w:hAnsi="Garamond" w:cs="Times New Roman"/>
                <w:color w:val="000000" w:themeColor="text1"/>
                <w:lang w:eastAsia="zh-CN"/>
                <w14:textFill>
                  <w14:solidFill>
                    <w14:schemeClr w14:val="tx1"/>
                  </w14:solidFill>
                </w14:textFill>
              </w:rPr>
              <w:t>spectroscope</w:t>
            </w:r>
            <w:r>
              <w:rPr>
                <w:rFonts w:hint="eastAsia" w:ascii="Garamond" w:hAnsi="Garamond" w:eastAsia="Calibri" w:cs="Times New Roman"/>
                <w:color w:val="000000" w:themeColor="text1"/>
                <w14:textFill>
                  <w14:solidFill>
                    <w14:schemeClr w14:val="tx1"/>
                  </w14:solidFill>
                </w14:textFill>
              </w:rPr>
              <w:t xml:space="preserve"> and isotope-labeled internal standards.</w:t>
            </w:r>
          </w:p>
        </w:tc>
      </w:tr>
      <w:tr>
        <w:trPr>
          <w:jc w:val="center"/>
        </w:trPr>
        <w:tc>
          <w:tcPr>
            <w:tcW w:w="2065" w:type="dxa"/>
            <w:vMerge w:val="continue"/>
            <w:tcBorders>
              <w:left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bookmarkStart w:id="117" w:name="OLE_LINK17"/>
            <w:r>
              <w:rPr>
                <w:rFonts w:hint="eastAsia" w:ascii="Garamond" w:hAnsi="Garamond"/>
                <w:color w:val="000000" w:themeColor="text1"/>
                <w:sz w:val="28"/>
                <w:szCs w:val="28"/>
                <w14:textFill>
                  <w14:solidFill>
                    <w14:schemeClr w14:val="tx1"/>
                  </w14:solidFill>
                </w14:textFill>
              </w:rPr>
              <w:t xml:space="preserve">Probably </w:t>
            </w:r>
            <w:bookmarkEnd w:id="117"/>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s="Times New Roman"/>
                <w:color w:val="000000" w:themeColor="text1"/>
                <w:lang w:eastAsia="zh-CN"/>
                <w14:textFill>
                  <w14:solidFill>
                    <w14:schemeClr w14:val="tx1"/>
                  </w14:solidFill>
                </w14:textFill>
              </w:rPr>
              <w:t xml:space="preserve"> Total bilirubin, aniline aminotransferase (ALT), aspartame aminotransferase, γ -glutamyltransferase (GGT), and alkaline phosphate were the liver enzymes parameters available from NHANES.</w:t>
            </w:r>
          </w:p>
        </w:tc>
      </w:tr>
      <w:tr>
        <w:trPr>
          <w:jc w:val="center"/>
        </w:trPr>
        <w:tc>
          <w:tcPr>
            <w:tcW w:w="2065" w:type="dxa"/>
            <w:vMerge w:val="continue"/>
            <w:tcBorders>
              <w:left w:val="single" w:color="auto" w:sz="4" w:space="0"/>
              <w:right w:val="single" w:color="auto" w:sz="4" w:space="0"/>
            </w:tcBorders>
            <w:vAlign w:val="center"/>
          </w:tcPr>
          <w:p>
            <w:pPr>
              <w:pStyle w:val="19"/>
              <w:jc w:val="both"/>
              <w:rPr>
                <w:rFonts w:ascii="Garamond" w:hAnsi="Garamond"/>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w:t>
            </w:r>
            <w:r>
              <w:rPr>
                <w:rFonts w:hint="eastAsia" w:ascii="Garamond" w:hAnsi="Garamond"/>
                <w:color w:val="000000" w:themeColor="text1"/>
                <w:sz w:val="28"/>
                <w:szCs w:val="28"/>
                <w:lang w:val="en-US" w:eastAsia="zh-CN"/>
                <w14:textFill>
                  <w14:solidFill>
                    <w14:schemeClr w14:val="tx1"/>
                  </w14:solidFill>
                </w14:textFill>
              </w:rPr>
              <w:t xml:space="preserve">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ascii="Garamond" w:hAnsi="Garamond" w:cs="Times New Roman"/>
                <w:color w:val="000000" w:themeColor="text1"/>
                <w14:textFill>
                  <w14:solidFill>
                    <w14:schemeClr w14:val="tx1"/>
                  </w14:solidFill>
                </w14:textFill>
              </w:rPr>
              <w:t>Analysis adjusted for</w:t>
            </w:r>
            <w:r>
              <w:rPr>
                <w:color w:val="000000" w:themeColor="text1"/>
                <w14:textFill>
                  <w14:solidFill>
                    <w14:schemeClr w14:val="tx1"/>
                  </w14:solidFill>
                </w14:textFill>
              </w:rPr>
              <w:t xml:space="preserve"> </w:t>
            </w:r>
            <w:r>
              <w:rPr>
                <w:rFonts w:ascii="Garamond" w:hAnsi="Garamond" w:cs="Times New Roman"/>
                <w:color w:val="000000" w:themeColor="text1"/>
                <w14:textFill>
                  <w14:solidFill>
                    <w14:schemeClr w14:val="tx1"/>
                  </w14:solidFill>
                </w14:textFill>
              </w:rPr>
              <w:t>exposure year, maternal age, parity, education level at interview, smoking status at interview.</w:t>
            </w:r>
          </w:p>
        </w:tc>
      </w:tr>
      <w:tr>
        <w:trPr>
          <w:jc w:val="center"/>
        </w:trPr>
        <w:tc>
          <w:tcPr>
            <w:tcW w:w="2065" w:type="dxa"/>
            <w:vMerge w:val="continue"/>
            <w:tcBorders>
              <w:left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bookmarkStart w:id="118" w:name="OLE_LINK21"/>
            <w:bookmarkStart w:id="119" w:name="OLE_LINK20"/>
            <w:r>
              <w:rPr>
                <w:rFonts w:hint="eastAsia" w:ascii="Garamond" w:hAnsi="Garamond"/>
                <w:color w:val="000000" w:themeColor="text1"/>
                <w:sz w:val="28"/>
                <w:szCs w:val="28"/>
                <w14:textFill>
                  <w14:solidFill>
                    <w14:schemeClr w14:val="tx1"/>
                  </w14:solidFill>
                </w14:textFill>
              </w:rPr>
              <w:t xml:space="preserve">Definitely </w:t>
            </w:r>
            <w:bookmarkEnd w:id="118"/>
            <w:bookmarkEnd w:id="119"/>
            <w:r>
              <w:rPr>
                <w:rFonts w:ascii="Garamond" w:hAnsi="Garamond"/>
                <w:color w:val="000000" w:themeColor="text1"/>
                <w:sz w:val="28"/>
                <w:szCs w:val="28"/>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s="Times New Roman"/>
                <w:color w:val="000000" w:themeColor="text1"/>
                <w14:textFill>
                  <w14:solidFill>
                    <w14:schemeClr w14:val="tx1"/>
                  </w14:solidFill>
                </w14:textFill>
              </w:rPr>
              <w:t>In this study, 2,216 adults (18 years of age or older) were recruited in a National Health and Nutrition Examination Survey (NHANES) in 1999</w:t>
            </w:r>
            <w:r>
              <w:rPr>
                <w:rFonts w:hint="eastAsia" w:ascii="Garamond" w:hAnsi="Garamond" w:cs="Times New Roman"/>
                <w:color w:val="000000" w:themeColor="text1"/>
                <w:lang w:val="en-US" w:eastAsia="zh-CN"/>
                <w14:textFill>
                  <w14:solidFill>
                    <w14:schemeClr w14:val="tx1"/>
                  </w14:solidFill>
                </w14:textFill>
              </w:rPr>
              <w:t>-</w:t>
            </w:r>
            <w:r>
              <w:rPr>
                <w:rFonts w:hint="eastAsia" w:ascii="Garamond" w:hAnsi="Garamond" w:cs="Times New Roman"/>
                <w:color w:val="000000" w:themeColor="text1"/>
                <w14:textFill>
                  <w14:solidFill>
                    <w14:schemeClr w14:val="tx1"/>
                  </w14:solidFill>
                </w14:textFill>
              </w:rPr>
              <w:t>2000 and 2003</w:t>
            </w:r>
            <w:r>
              <w:rPr>
                <w:rFonts w:hint="eastAsia" w:ascii="Garamond" w:hAnsi="Garamond" w:cs="Times New Roman"/>
                <w:color w:val="000000" w:themeColor="text1"/>
                <w:lang w:val="en-US" w:eastAsia="zh-CN"/>
                <w14:textFill>
                  <w14:solidFill>
                    <w14:schemeClr w14:val="tx1"/>
                  </w14:solidFill>
                </w14:textFill>
              </w:rPr>
              <w:t>-</w:t>
            </w:r>
            <w:r>
              <w:rPr>
                <w:rFonts w:hint="eastAsia" w:ascii="Garamond" w:hAnsi="Garamond" w:cs="Times New Roman"/>
                <w:color w:val="000000" w:themeColor="text1"/>
                <w14:textFill>
                  <w14:solidFill>
                    <w14:schemeClr w14:val="tx1"/>
                  </w14:solidFill>
                </w14:textFill>
              </w:rPr>
              <w:t>2004</w:t>
            </w:r>
            <w:r>
              <w:rPr>
                <w:rFonts w:hint="eastAsia" w:ascii="Garamond" w:hAnsi="Garamond" w:cs="Times New Roman"/>
                <w:color w:val="000000" w:themeColor="text1"/>
                <w:lang w:val="en-US" w:eastAsia="zh-CN"/>
                <w14:textFill>
                  <w14:solidFill>
                    <w14:schemeClr w14:val="tx1"/>
                  </w14:solidFill>
                </w14:textFill>
              </w:rPr>
              <w:t>.</w:t>
            </w:r>
          </w:p>
        </w:tc>
      </w:tr>
      <w:tr>
        <w:trPr>
          <w:jc w:val="center"/>
        </w:trPr>
        <w:tc>
          <w:tcPr>
            <w:tcW w:w="2065" w:type="dxa"/>
            <w:vMerge w:val="continue"/>
            <w:tcBorders>
              <w:left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ATTRITION/</w:t>
            </w:r>
            <w:bookmarkStart w:id="120" w:name="OLE_LINK54"/>
            <w:r>
              <w:rPr>
                <w:rFonts w:ascii="Garamond" w:hAnsi="Garamond" w:cs="Times New Roman"/>
                <w:b/>
                <w:bCs/>
                <w:color w:val="000000" w:themeColor="text1"/>
                <w14:textFill>
                  <w14:solidFill>
                    <w14:schemeClr w14:val="tx1"/>
                  </w14:solidFill>
                </w14:textFill>
              </w:rPr>
              <w:t xml:space="preserve">EXCLUSION </w:t>
            </w:r>
            <w:bookmarkEnd w:id="120"/>
            <w:r>
              <w:rPr>
                <w:rFonts w:ascii="Garamond" w:hAnsi="Garamond" w:cs="Times New Roman"/>
                <w:b/>
                <w:bCs/>
                <w:color w:val="000000" w:themeColor="text1"/>
                <w14:textFill>
                  <w14:solidFill>
                    <w14:schemeClr w14:val="tx1"/>
                  </w14:solidFill>
                </w14:textFill>
              </w:rPr>
              <w:t xml:space="preserve">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 exclusion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eastAsia="Calibri" w:cs="Times New Roman"/>
                <w:bCs/>
                <w:iCs/>
                <w:color w:val="000000" w:themeColor="text1"/>
                <w14:textFill>
                  <w14:solidFill>
                    <w14:schemeClr w14:val="tx1"/>
                  </w14:solidFill>
                </w14:textFill>
              </w:rPr>
            </w:pPr>
            <w:r>
              <w:rPr>
                <w:rFonts w:ascii="Garamond" w:hAnsi="Garamond" w:cs="Times New Roman"/>
                <w:bCs/>
                <w:iCs/>
                <w:color w:val="000000" w:themeColor="text1"/>
                <w14:textFill>
                  <w14:solidFill>
                    <w14:schemeClr w14:val="tx1"/>
                  </w14:solidFill>
                </w14:textFill>
              </w:rPr>
              <w:t>There is no evidence of exclusions that may bias the results reported in the manuscript.</w:t>
            </w:r>
          </w:p>
        </w:tc>
      </w:tr>
      <w:tr>
        <w:trPr>
          <w:jc w:val="center"/>
        </w:trPr>
        <w:tc>
          <w:tcPr>
            <w:tcW w:w="2065" w:type="dxa"/>
            <w:vMerge w:val="continue"/>
            <w:tcBorders>
              <w:left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r>
              <w:rPr>
                <w:rFonts w:hint="eastAsia" w:ascii="Garamond" w:hAnsi="Garamond" w:cs="Times New Roman"/>
                <w:color w:val="000000" w:themeColor="text1"/>
                <w14:textFill>
                  <w14:solidFill>
                    <w14:schemeClr w14:val="tx1"/>
                  </w14:solidFill>
                </w14:textFill>
              </w:rPr>
              <w:t>On the basis of these data, we conclude that a higher serum concentration of PFOA may cause liver enzymes to increase abnormally in the general population, particularly in obese individuals. Further studies are warranted to clarify the casual relationship between PFCs and these liver enzymes</w:t>
            </w:r>
            <w:r>
              <w:rPr>
                <w:rFonts w:ascii="Garamond" w:hAnsi="Garamond" w:cs="Times New Roman"/>
                <w:color w:val="000000" w:themeColor="text1"/>
                <w14:textFill>
                  <w14:solidFill>
                    <w14:schemeClr w14:val="tx1"/>
                  </w14:solidFill>
                </w14:textFill>
              </w:rPr>
              <w:t>”. So all the outcomes haven been reported.</w:t>
            </w:r>
          </w:p>
        </w:tc>
      </w:tr>
      <w:tr>
        <w:trPr>
          <w:jc w:val="center"/>
        </w:trPr>
        <w:tc>
          <w:tcPr>
            <w:tcW w:w="2065" w:type="dxa"/>
            <w:vMerge w:val="continue"/>
            <w:tcBorders>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reported no</w:t>
            </w:r>
            <w:r>
              <w:rPr>
                <w:rFonts w:hint="eastAsia" w:ascii="Garamond" w:hAnsi="Garamond" w:cs="Times New Roman"/>
                <w:color w:val="000000" w:themeColor="text1"/>
                <w14:textFill>
                  <w14:solidFill>
                    <w14:schemeClr w14:val="tx1"/>
                  </w14:solidFill>
                </w14:textFill>
              </w:rPr>
              <w:t xml:space="preserve"> </w:t>
            </w:r>
            <w:r>
              <w:rPr>
                <w:rFonts w:ascii="Garamond" w:hAnsi="Garamond" w:cs="Times New Roman"/>
                <w:color w:val="000000" w:themeColor="text1"/>
                <w14:textFill>
                  <w14:solidFill>
                    <w14:schemeClr w14:val="tx1"/>
                  </w14:solidFill>
                </w14:textFill>
              </w:rPr>
              <w:t>other financial interests related to this research.</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b/>
                <w:bCs/>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 xml:space="preserve">Ana M. Mora </w:t>
            </w:r>
            <w:r>
              <w:rPr>
                <w:rFonts w:hint="eastAsia" w:ascii="Garamond" w:hAnsi="Garamond" w:cs="Arial"/>
                <w:color w:val="000000" w:themeColor="text1"/>
                <w:sz w:val="21"/>
                <w:szCs w:val="21"/>
                <w:lang w:val="en-US" w:eastAsia="zh-CN"/>
                <w14:textFill>
                  <w14:solidFill>
                    <w14:schemeClr w14:val="tx1"/>
                  </w14:solidFill>
                </w14:textFill>
              </w:rPr>
              <w:t>(</w:t>
            </w:r>
            <w:r>
              <w:rPr>
                <w:rFonts w:ascii="Garamond" w:hAnsi="Garamond" w:cs="Arial"/>
                <w:color w:val="000000" w:themeColor="text1"/>
                <w:sz w:val="21"/>
                <w:szCs w:val="21"/>
                <w14:textFill>
                  <w14:solidFill>
                    <w14:schemeClr w14:val="tx1"/>
                  </w14:solidFill>
                </w14:textFill>
              </w:rPr>
              <w:t>2018</w:t>
            </w:r>
            <w:r>
              <w:rPr>
                <w:rFonts w:hint="eastAsia" w:ascii="Garamond" w:hAnsi="Garamond" w:cs="Arial"/>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Definitely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sz w:val="21"/>
                <w:szCs w:val="22"/>
                <w14:textFill>
                  <w14:solidFill>
                    <w14:schemeClr w14:val="tx1"/>
                  </w14:solidFill>
                </w14:textFill>
              </w:rPr>
            </w:pPr>
            <w:r>
              <w:rPr>
                <w:rFonts w:hint="eastAsia" w:ascii="Garamond" w:hAnsi="Garamond" w:cs="Times New Roman"/>
                <w:color w:val="000000" w:themeColor="text1"/>
                <w14:textFill>
                  <w14:solidFill>
                    <w14:schemeClr w14:val="tx1"/>
                  </w14:solidFill>
                </w14:textFill>
              </w:rPr>
              <w:t>All samples were analyzed using online solid-phase extraction coupled with isotope dilution high-performance liquid chromatography-tandem mass spectroscope, as previously described.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We measured fasting TC, HDL-C, TG, and ALT using enzymatic assays, in the same plasma samples used for quantification of mid-childhood PFASs.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Models were adjusted for maternal education, prenatal smoking, and child's sex, race/ethnicity, age at lipids/ALT measurements, and all PFAS analyses.</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Definitely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studied 682 mother-child pairs from a Boston-area pre-birth cohort.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 xml:space="preserve">ere outcome data incomplete due to attrition or </w:t>
            </w:r>
            <w:bookmarkStart w:id="121" w:name="OLE_LINK22"/>
            <w:r>
              <w:rPr>
                <w:rFonts w:ascii="Garamond" w:hAnsi="Garamond" w:cs="Times New Roman"/>
                <w:bCs/>
                <w:iCs/>
                <w:color w:val="000000" w:themeColor="text1"/>
                <w14:textFill>
                  <w14:solidFill>
                    <w14:schemeClr w14:val="tx1"/>
                  </w14:solidFill>
                </w14:textFill>
              </w:rPr>
              <w:t>exclusion</w:t>
            </w:r>
            <w:bookmarkEnd w:id="121"/>
            <w:r>
              <w:rPr>
                <w:rFonts w:ascii="Garamond" w:hAnsi="Garamond" w:cs="Times New Roman"/>
                <w:bCs/>
                <w:iCs/>
                <w:color w:val="000000" w:themeColor="text1"/>
                <w14:textFill>
                  <w14:solidFill>
                    <w14:schemeClr w14:val="tx1"/>
                  </w14:solidFill>
                </w14:textFill>
              </w:rPr>
              <w:t xml:space="preserve">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cs="Times New Roman"/>
                <w:bCs/>
                <w:iCs/>
                <w:color w:val="000000" w:themeColor="text1"/>
                <w14:textFill>
                  <w14:solidFill>
                    <w14:schemeClr w14:val="tx1"/>
                  </w14:solidFill>
                </w14:textFill>
              </w:rPr>
            </w:pPr>
            <w:r>
              <w:rPr>
                <w:rFonts w:ascii="Garamond" w:hAnsi="Garamond" w:cs="Times New Roman"/>
                <w:bCs/>
                <w:iCs/>
                <w:color w:val="000000" w:themeColor="text1"/>
                <w14:textFill>
                  <w14:solidFill>
                    <w14:schemeClr w14:val="tx1"/>
                  </w14:solidFill>
                </w14:textFill>
              </w:rPr>
              <w:t>There is no evidence of exclusions that may bias the results reported in the manuscript.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authors stated:</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Our data suggest that prenatal and mid-childhood PFAS exposure may be associated with modest,but somewhat conflicting changes in the lipid profile and ALT levels in children</w:t>
            </w:r>
            <w:r>
              <w:rPr>
                <w:rFonts w:ascii="Garamond" w:hAnsi="Garamond" w:cs="Times New Roman"/>
                <w:color w:val="000000" w:themeColor="text1"/>
                <w14:textFill>
                  <w14:solidFill>
                    <w14:schemeClr w14:val="tx1"/>
                  </w14:solidFill>
                </w14:textFill>
              </w:rPr>
              <w:t>”</w:t>
            </w:r>
            <w:r>
              <w:rPr>
                <w:rFonts w:hint="eastAsia" w:ascii="Garamond" w:hAnsi="Garamond" w:cs="Times New Roman"/>
                <w:color w:val="000000" w:themeColor="text1"/>
                <w14:textFill>
                  <w14:solidFill>
                    <w14:schemeClr w14:val="tx1"/>
                  </w14:solidFill>
                </w14:textFill>
              </w:rPr>
              <w:t>. The outcome is unique and has been reported.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olor w:val="000000" w:themeColor="text1"/>
                <w14:textFill>
                  <w14:solidFill>
                    <w14:schemeClr w14:val="tx1"/>
                  </w14:solidFill>
                </w14:textFill>
              </w:rPr>
            </w:pPr>
            <w:r>
              <w:rPr>
                <w:rFonts w:hint="eastAsia" w:ascii="Garamond" w:hAnsi="Garamond"/>
                <w:color w:val="000000" w:themeColor="text1"/>
                <w14:textFill>
                  <w14:solidFill>
                    <w14:schemeClr w14:val="tx1"/>
                  </w14:solidFill>
                </w14:textFill>
              </w:rPr>
              <w:t>None of the other authors declares any actual or potential comfeting financial interests.</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b/>
                <w:bCs/>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 xml:space="preserve">Min Nian </w:t>
            </w:r>
            <w:r>
              <w:rPr>
                <w:rFonts w:hint="eastAsia" w:ascii="Garamond" w:hAnsi="Garamond" w:cs="Arial"/>
                <w:color w:val="000000" w:themeColor="text1"/>
                <w:sz w:val="21"/>
                <w:szCs w:val="21"/>
                <w:lang w:val="en-US" w:eastAsia="zh-CN"/>
                <w14:textFill>
                  <w14:solidFill>
                    <w14:schemeClr w14:val="tx1"/>
                  </w14:solidFill>
                </w14:textFill>
              </w:rPr>
              <w:t>(</w:t>
            </w:r>
            <w:r>
              <w:rPr>
                <w:rFonts w:ascii="Garamond" w:hAnsi="Garamond" w:cs="Arial"/>
                <w:color w:val="000000" w:themeColor="text1"/>
                <w:sz w:val="21"/>
                <w:szCs w:val="21"/>
                <w14:textFill>
                  <w14:solidFill>
                    <w14:schemeClr w14:val="tx1"/>
                  </w14:solidFill>
                </w14:textFill>
              </w:rPr>
              <w:t>2019</w:t>
            </w:r>
            <w:r>
              <w:rPr>
                <w:rFonts w:hint="eastAsia" w:ascii="Garamond" w:hAnsi="Garamond" w:cs="Arial"/>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lang w:val="en-US" w:eastAsia="zh-CN"/>
                <w14:textFill>
                  <w14:solidFill>
                    <w14:schemeClr w14:val="tx1"/>
                  </w14:solidFill>
                </w14:textFill>
              </w:rPr>
            </w:pPr>
            <w:r>
              <w:rPr>
                <w:rFonts w:hint="eastAsia" w:ascii="Garamond" w:hAnsi="Garamond"/>
                <w:color w:val="000000" w:themeColor="text1"/>
                <w14:textFill>
                  <w14:solidFill>
                    <w14:schemeClr w14:val="tx1"/>
                  </w14:solidFill>
                </w14:textFill>
              </w:rPr>
              <w:t>Analysis of 18 PFAAs in 0.5 ml serum, including eight isomeric</w:t>
            </w:r>
            <w:r>
              <w:rPr>
                <w:rFonts w:hint="eastAsia" w:ascii="Garamond" w:hAnsi="Garamond"/>
                <w:color w:val="000000" w:themeColor="text1"/>
                <w:lang w:val="en-US" w:eastAsia="zh-CN"/>
                <w14:textFill>
                  <w14:solidFill>
                    <w14:schemeClr w14:val="tx1"/>
                  </w14:solidFill>
                </w14:textFill>
              </w:rPr>
              <w:t xml:space="preserve"> </w:t>
            </w:r>
            <w:r>
              <w:rPr>
                <w:rFonts w:hint="eastAsia" w:ascii="Garamond" w:hAnsi="Garamond"/>
                <w:color w:val="000000" w:themeColor="text1"/>
                <w14:textFill>
                  <w14:solidFill>
                    <w14:schemeClr w14:val="tx1"/>
                  </w14:solidFill>
                </w14:textFill>
              </w:rPr>
              <w:t>PFAAs</w:t>
            </w:r>
            <w:r>
              <w:rPr>
                <w:rFonts w:hint="eastAsia" w:ascii="Garamond" w:hAnsi="Garamond"/>
                <w:color w:val="000000" w:themeColor="text1"/>
                <w:lang w:val="en-US" w:eastAsia="zh-CN"/>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14:textFill>
                  <w14:solidFill>
                    <w14:schemeClr w14:val="tx1"/>
                  </w14:solidFill>
                </w14:textFill>
              </w:rPr>
            </w:pPr>
            <w:r>
              <w:rPr>
                <w:rFonts w:hint="eastAsia" w:ascii="Garamond" w:hAnsi="Garamond"/>
                <w:color w:val="000000" w:themeColor="text1"/>
                <w14:textFill>
                  <w14:solidFill>
                    <w14:schemeClr w14:val="tx1"/>
                  </w14:solidFill>
                </w14:textFill>
              </w:rPr>
              <w:t>Values for nine serum liver function biomarkers were determined by</w:t>
            </w:r>
            <w:r>
              <w:rPr>
                <w:rFonts w:hint="eastAsia" w:ascii="Garamond" w:hAnsi="Garamond"/>
                <w:color w:val="000000" w:themeColor="text1"/>
                <w:lang w:val="en-US" w:eastAsia="zh-CN"/>
                <w14:textFill>
                  <w14:solidFill>
                    <w14:schemeClr w14:val="tx1"/>
                  </w14:solidFill>
                </w14:textFill>
              </w:rPr>
              <w:t xml:space="preserve"> </w:t>
            </w:r>
            <w:r>
              <w:rPr>
                <w:rFonts w:hint="eastAsia" w:ascii="Garamond" w:hAnsi="Garamond"/>
                <w:color w:val="000000" w:themeColor="text1"/>
                <w14:textFill>
                  <w14:solidFill>
                    <w14:schemeClr w14:val="tx1"/>
                  </w14:solidFill>
                </w14:textFill>
              </w:rPr>
              <w:t>full-automatic blood biochemical analyzer.</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rPr>
                <w:rFonts w:ascii="Garamond" w:hAnsi="Garamond"/>
                <w:color w:val="000000" w:themeColor="text1"/>
                <w14:textFill>
                  <w14:solidFill>
                    <w14:schemeClr w14:val="tx1"/>
                  </w14:solidFill>
                </w14:textFill>
              </w:rPr>
            </w:pPr>
            <w:r>
              <w:rPr>
                <w:rFonts w:ascii="Garamond" w:hAnsi="Garamond" w:cs="Calibri"/>
                <w:color w:val="000000" w:themeColor="text1"/>
                <w14:textFill>
                  <w14:solidFill>
                    <w14:schemeClr w14:val="tx1"/>
                  </w14:solidFill>
                </w14:textFill>
              </w:rPr>
              <w:t>Adjusted for age, sex, career, income, education, drink, smoke, giblet and seafood</w:t>
            </w:r>
            <w:r>
              <w:rPr>
                <w:rFonts w:hint="eastAsia" w:ascii="Garamond" w:hAnsi="Garamond" w:cs="Calibri"/>
                <w:color w:val="000000" w:themeColor="text1"/>
                <w14:textFill>
                  <w14:solidFill>
                    <w14:schemeClr w14:val="tx1"/>
                  </w14:solidFill>
                </w14:textFill>
              </w:rPr>
              <w:t xml:space="preserve"> </w:t>
            </w:r>
            <w:r>
              <w:rPr>
                <w:rFonts w:ascii="Garamond" w:hAnsi="Garamond" w:cs="Calibri"/>
                <w:color w:val="000000" w:themeColor="text1"/>
                <w14:textFill>
                  <w14:solidFill>
                    <w14:schemeClr w14:val="tx1"/>
                  </w14:solidFill>
                </w14:textFill>
              </w:rPr>
              <w:t>consumption, exercise and BMI.</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ascii="Garamond" w:hAnsi="Garamond"/>
                <w:color w:val="000000" w:themeColor="text1"/>
                <w:sz w:val="28"/>
                <w:szCs w:val="28"/>
                <w14:textFill>
                  <w14:solidFill>
                    <w14:schemeClr w14:val="tx1"/>
                  </w14:solidFill>
                </w14:textFill>
              </w:rPr>
              <w:t xml:space="preserve">Definitely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lang w:val="en-US" w:eastAsia="zh-CN"/>
                <w14:textFill>
                  <w14:solidFill>
                    <w14:schemeClr w14:val="tx1"/>
                  </w14:solidFill>
                </w14:textFill>
              </w:rPr>
            </w:pPr>
            <w:r>
              <w:rPr>
                <w:rFonts w:hint="eastAsia" w:ascii="Garamond" w:hAnsi="Garamond"/>
                <w:color w:val="000000" w:themeColor="text1"/>
                <w14:textFill>
                  <w14:solidFill>
                    <w14:schemeClr w14:val="tx1"/>
                  </w14:solidFill>
                </w14:textFill>
              </w:rPr>
              <w:t>The 'Isomers of C8 Health Project in China' is a study</w:t>
            </w:r>
            <w:r>
              <w:rPr>
                <w:rFonts w:hint="eastAsia" w:ascii="Garamond" w:hAnsi="Garamond"/>
                <w:color w:val="000000" w:themeColor="text1"/>
                <w:lang w:val="en-US" w:eastAsia="zh-CN"/>
                <w14:textFill>
                  <w14:solidFill>
                    <w14:schemeClr w14:val="tx1"/>
                  </w14:solidFill>
                </w14:textFill>
              </w:rPr>
              <w:t>.</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 exclusion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14:textFill>
                  <w14:solidFill>
                    <w14:schemeClr w14:val="tx1"/>
                  </w14:solidFill>
                </w14:textFill>
              </w:rPr>
            </w:pPr>
            <w:bookmarkStart w:id="122" w:name="OLE_LINK43"/>
            <w:r>
              <w:rPr>
                <w:rFonts w:hint="eastAsia" w:ascii="Garamond" w:hAnsi="Garamond"/>
                <w:color w:val="000000" w:themeColor="text1"/>
                <w14:textFill>
                  <w14:solidFill>
                    <w14:schemeClr w14:val="tx1"/>
                  </w14:solidFill>
                </w14:textFill>
              </w:rPr>
              <w:t>There is no evidence of exclusion bias.</w:t>
            </w:r>
            <w:bookmarkEnd w:id="122"/>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Definitely</w:t>
            </w:r>
            <w:r>
              <w:rPr>
                <w:rFonts w:hint="eastAsia" w:ascii="Garamond" w:hAnsi="Garamond"/>
                <w:color w:val="000000" w:themeColor="text1"/>
                <w:sz w:val="28"/>
                <w:szCs w:val="28"/>
                <w14:textFill>
                  <w14:solidFill>
                    <w14:schemeClr w14:val="tx1"/>
                  </w14:solidFill>
                </w14:textFill>
              </w:rPr>
              <w:t xml:space="preserve">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authors stated:</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In this study, clear association between serum PFAA concentrations</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and liver function biomarkers was found in adults. We observe new</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evidence that branched PFAAs isomer exposure increases the risk of</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clinically adverse hepatocellular dysfunction</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So all outcomes have been reported.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authors declare no competing fi</w:t>
            </w:r>
            <w:r>
              <w:rPr>
                <w:rFonts w:ascii="Garamond" w:hAnsi="Garamond" w:cs="Times New Roman"/>
                <w:color w:val="000000" w:themeColor="text1"/>
                <w14:textFill>
                  <w14:solidFill>
                    <w14:schemeClr w14:val="tx1"/>
                  </w14:solidFill>
                </w14:textFill>
              </w:rPr>
              <w:t>nancial interest</w:t>
            </w:r>
            <w:r>
              <w:rPr>
                <w:rFonts w:hint="eastAsia" w:ascii="Garamond" w:hAnsi="Garamond" w:cs="Times New Roman"/>
                <w:color w:val="000000" w:themeColor="text1"/>
                <w14:textFill>
                  <w14:solidFill>
                    <w14:schemeClr w14:val="tx1"/>
                  </w14:solidFill>
                </w14:textFill>
              </w:rPr>
              <w:t>.</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pStyle w:val="19"/>
              <w:jc w:val="both"/>
              <w:rPr>
                <w:rFonts w:ascii="Garamond" w:hAnsi="Garamond"/>
                <w:b/>
                <w:bCs/>
                <w:color w:val="000000" w:themeColor="text1"/>
                <w:sz w:val="21"/>
                <w:szCs w:val="21"/>
                <w:lang w:val="en-US" w:eastAsia="zh-CN"/>
                <w14:textFill>
                  <w14:solidFill>
                    <w14:schemeClr w14:val="tx1"/>
                  </w14:solidFill>
                </w14:textFill>
              </w:rPr>
            </w:pPr>
            <w:r>
              <w:rPr>
                <w:rFonts w:ascii="Garamond" w:hAnsi="Garamond" w:cs="Times New Roman"/>
                <w:bCs/>
                <w:iCs/>
                <w:color w:val="000000" w:themeColor="text1"/>
                <w:sz w:val="21"/>
                <w:szCs w:val="21"/>
                <w14:textFill>
                  <w14:solidFill>
                    <w14:schemeClr w14:val="tx1"/>
                  </w14:solidFill>
                </w14:textFill>
              </w:rPr>
              <w:t xml:space="preserve">Geary W. Olsen </w:t>
            </w:r>
            <w:r>
              <w:rPr>
                <w:rFonts w:hint="eastAsia" w:ascii="Garamond" w:hAnsi="Garamond" w:cs="Times New Roman"/>
                <w:bCs/>
                <w:iCs/>
                <w:color w:val="000000" w:themeColor="text1"/>
                <w:sz w:val="21"/>
                <w:szCs w:val="21"/>
                <w:lang w:val="en-US" w:eastAsia="zh-CN"/>
                <w14:textFill>
                  <w14:solidFill>
                    <w14:schemeClr w14:val="tx1"/>
                  </w14:solidFill>
                </w14:textFill>
              </w:rPr>
              <w:t>(</w:t>
            </w:r>
            <w:r>
              <w:rPr>
                <w:rFonts w:ascii="Garamond" w:hAnsi="Garamond" w:cs="Times New Roman"/>
                <w:bCs/>
                <w:iCs/>
                <w:color w:val="000000" w:themeColor="text1"/>
                <w:sz w:val="21"/>
                <w:szCs w:val="21"/>
                <w14:textFill>
                  <w14:solidFill>
                    <w14:schemeClr w14:val="tx1"/>
                  </w14:solidFill>
                </w14:textFill>
              </w:rPr>
              <w:t>2000</w:t>
            </w:r>
            <w:r>
              <w:rPr>
                <w:rFonts w:hint="eastAsia" w:ascii="Garamond" w:hAnsi="Garamond" w:cs="Times New Roman"/>
                <w:bCs/>
                <w:iCs/>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authors</w:t>
            </w:r>
            <w:r>
              <w:rPr>
                <w:rFonts w:ascii="Garamond" w:hAnsi="Garamond" w:cs="Times New Roman"/>
                <w:color w:val="000000" w:themeColor="text1"/>
                <w14:textFill>
                  <w14:solidFill>
                    <w14:schemeClr w14:val="tx1"/>
                  </w14:solidFill>
                </w14:textFill>
              </w:rPr>
              <w:t xml:space="preserve"> stated: “</w:t>
            </w:r>
            <w:r>
              <w:rPr>
                <w:rFonts w:hint="eastAsia" w:ascii="Garamond" w:hAnsi="Garamond" w:cs="Times New Roman"/>
                <w:color w:val="000000" w:themeColor="text1"/>
                <w14:textFill>
                  <w14:solidFill>
                    <w14:schemeClr w14:val="tx1"/>
                  </w14:solidFill>
                </w14:textFill>
              </w:rPr>
              <w:t xml:space="preserve"> serum PFOA determination and several male reproductive hormone assays</w:t>
            </w:r>
            <w:r>
              <w:rPr>
                <w:rFonts w:ascii="Garamond" w:hAnsi="Garamond" w:cs="Times New Roman"/>
                <w:color w:val="000000" w:themeColor="text1"/>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w:t>
            </w:r>
            <w:r>
              <w:rPr>
                <w:rFonts w:hint="eastAsia" w:ascii="Garamond" w:hAnsi="Garamond" w:cs="Times New Roman"/>
                <w:color w:val="000000" w:themeColor="text1"/>
                <w14:textFill>
                  <w14:solidFill>
                    <w14:schemeClr w14:val="tx1"/>
                  </w14:solidFill>
                </w14:textFill>
              </w:rPr>
              <w:t xml:space="preserve"> authors stated:</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Serum chemises and hematology were evaluated at Allina Laboratories (Minneapolis, Minnesota)</w:t>
            </w:r>
            <w:r>
              <w:rPr>
                <w:rFonts w:ascii="Garamond" w:hAnsi="Garamond" w:cs="Times New Roman"/>
                <w:color w:val="000000" w:themeColor="text1"/>
                <w14:textFill>
                  <w14:solidFill>
                    <w14:schemeClr w14:val="tx1"/>
                  </w14:solidFill>
                </w14:textFill>
              </w:rPr>
              <w:t>”</w:t>
            </w:r>
            <w:r>
              <w:rPr>
                <w:rFonts w:hint="eastAsia" w:ascii="Garamond" w:hAnsi="Garamond" w:cs="Times New Roman"/>
                <w:color w:val="000000" w:themeColor="text1"/>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Analysis adjusted Adjusted for age, BMI, cigarette use, and non-respondents to alcohol question (all four years) and testosterone level.</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bCs/>
                <w:iCs/>
                <w:color w:val="000000" w:themeColor="text1"/>
                <w:lang w:val="en-US" w:eastAsia="zh-CN"/>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Voluntary medical surveillance examinations were o</w:t>
            </w:r>
            <w:r>
              <w:rPr>
                <w:rFonts w:hint="eastAsia" w:ascii="Garamond" w:hAnsi="Garamond" w:cs="Times New Roman"/>
                <w:bCs/>
                <w:iCs/>
                <w:color w:val="000000" w:themeColor="text1"/>
                <w:lang w:val="en-US" w:eastAsia="zh-CN"/>
                <w14:textFill>
                  <w14:solidFill>
                    <w14:schemeClr w14:val="tx1"/>
                  </w14:solidFill>
                </w14:textFill>
              </w:rPr>
              <w:t>ff</w:t>
            </w:r>
            <w:r>
              <w:rPr>
                <w:rFonts w:hint="eastAsia" w:ascii="Garamond" w:hAnsi="Garamond" w:cs="Times New Roman"/>
                <w:bCs/>
                <w:iCs/>
                <w:color w:val="000000" w:themeColor="text1"/>
                <w14:textFill>
                  <w14:solidFill>
                    <w14:schemeClr w14:val="tx1"/>
                  </w14:solidFill>
                </w14:textFill>
              </w:rPr>
              <w:t>ered to the</w:t>
            </w:r>
            <w:r>
              <w:rPr>
                <w:rFonts w:hint="eastAsia" w:ascii="Garamond" w:hAnsi="Garamond" w:cs="Times New Roman"/>
                <w:bCs/>
                <w:iCs/>
                <w:color w:val="000000" w:themeColor="text1"/>
                <w:lang w:val="en-US" w:eastAsia="zh-CN"/>
                <w14:textFill>
                  <w14:solidFill>
                    <w14:schemeClr w14:val="tx1"/>
                  </w14:solidFill>
                </w14:textFill>
              </w:rPr>
              <w:t xml:space="preserve"> </w:t>
            </w:r>
            <w:r>
              <w:rPr>
                <w:rFonts w:hint="eastAsia" w:ascii="Garamond" w:hAnsi="Garamond" w:cs="Times New Roman"/>
                <w:bCs/>
                <w:iCs/>
                <w:color w:val="000000" w:themeColor="text1"/>
                <w:lang w:eastAsia="zh-CN"/>
                <w14:textFill>
                  <w14:solidFill>
                    <w14:schemeClr w14:val="tx1"/>
                  </w14:solidFill>
                </w14:textFill>
              </w:rPr>
              <w:t>agrochemical</w:t>
            </w:r>
            <w:r>
              <w:rPr>
                <w:rFonts w:hint="eastAsia" w:ascii="Garamond" w:hAnsi="Garamond" w:cs="Times New Roman"/>
                <w:bCs/>
                <w:iCs/>
                <w:color w:val="000000" w:themeColor="text1"/>
                <w14:textFill>
                  <w14:solidFill>
                    <w14:schemeClr w14:val="tx1"/>
                  </w14:solidFill>
                </w14:textFill>
              </w:rPr>
              <w:t xml:space="preserve"> production workers in 1993, 1995 and 1997. The total</w:t>
            </w:r>
            <w:r>
              <w:rPr>
                <w:rFonts w:hint="eastAsia" w:ascii="Garamond" w:hAnsi="Garamond" w:cs="Times New Roman"/>
                <w:bCs/>
                <w:iCs/>
                <w:color w:val="000000" w:themeColor="text1"/>
                <w:lang w:val="en-US" w:eastAsia="zh-CN"/>
                <w14:textFill>
                  <w14:solidFill>
                    <w14:schemeClr w14:val="tx1"/>
                  </w14:solidFill>
                </w14:textFill>
              </w:rPr>
              <w:t xml:space="preserve"> </w:t>
            </w:r>
            <w:r>
              <w:rPr>
                <w:rFonts w:hint="eastAsia" w:ascii="Garamond" w:hAnsi="Garamond" w:cs="Times New Roman"/>
                <w:bCs/>
                <w:iCs/>
                <w:color w:val="000000" w:themeColor="text1"/>
                <w14:textFill>
                  <w14:solidFill>
                    <w14:schemeClr w14:val="tx1"/>
                  </w14:solidFill>
                </w14:textFill>
              </w:rPr>
              <w:t>number of male subjects, by year, who participated in these three cross</w:t>
            </w:r>
            <w:r>
              <w:rPr>
                <w:rFonts w:hint="eastAsia" w:ascii="Garamond" w:hAnsi="Garamond" w:cs="Times New Roman"/>
                <w:bCs/>
                <w:iCs/>
                <w:color w:val="000000" w:themeColor="text1"/>
                <w:lang w:val="en-US" w:eastAsia="zh-CN"/>
                <w14:textFill>
                  <w14:solidFill>
                    <w14:schemeClr w14:val="tx1"/>
                  </w14:solidFill>
                </w14:textFill>
              </w:rPr>
              <w:t>-</w:t>
            </w:r>
            <w:r>
              <w:rPr>
                <w:rFonts w:hint="eastAsia" w:ascii="Garamond" w:hAnsi="Garamond" w:cs="Times New Roman"/>
                <w:bCs/>
                <w:iCs/>
                <w:color w:val="000000" w:themeColor="text1"/>
                <w14:textFill>
                  <w14:solidFill>
                    <w14:schemeClr w14:val="tx1"/>
                  </w14:solidFill>
                </w14:textFill>
              </w:rPr>
              <w:t>sectional investigations were</w:t>
            </w:r>
            <w:r>
              <w:rPr>
                <w:rFonts w:hint="eastAsia" w:ascii="Garamond" w:hAnsi="Garamond" w:cs="Times New Roman"/>
                <w:bCs/>
                <w:iCs/>
                <w:color w:val="000000" w:themeColor="text1"/>
                <w:lang w:val="en-US" w:eastAsia="zh-CN"/>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ATTRITION/</w:t>
            </w:r>
            <w:bookmarkStart w:id="123" w:name="OLE_LINK55"/>
            <w:r>
              <w:rPr>
                <w:rFonts w:ascii="Garamond" w:hAnsi="Garamond" w:cs="Times New Roman"/>
                <w:b/>
                <w:bCs/>
                <w:color w:val="000000" w:themeColor="text1"/>
                <w14:textFill>
                  <w14:solidFill>
                    <w14:schemeClr w14:val="tx1"/>
                  </w14:solidFill>
                </w14:textFill>
              </w:rPr>
              <w:t>EXCLUSION</w:t>
            </w:r>
            <w:bookmarkEnd w:id="123"/>
            <w:r>
              <w:rPr>
                <w:rFonts w:ascii="Garamond" w:hAnsi="Garamond" w:cs="Times New Roman"/>
                <w:b/>
                <w:bCs/>
                <w:color w:val="000000" w:themeColor="text1"/>
                <w14:textFill>
                  <w14:solidFill>
                    <w14:schemeClr w14:val="tx1"/>
                  </w14:solidFill>
                </w14:textFill>
              </w:rPr>
              <w:t xml:space="preserve">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 xml:space="preserve">ere outcome data incomplete due to attrition or </w:t>
            </w:r>
            <w:bookmarkStart w:id="124" w:name="OLE_LINK31"/>
            <w:bookmarkStart w:id="125" w:name="OLE_LINK30"/>
            <w:r>
              <w:rPr>
                <w:rFonts w:ascii="Garamond" w:hAnsi="Garamond" w:cs="Times New Roman"/>
                <w:bCs/>
                <w:iCs/>
                <w:color w:val="000000" w:themeColor="text1"/>
                <w14:textFill>
                  <w14:solidFill>
                    <w14:schemeClr w14:val="tx1"/>
                  </w14:solidFill>
                </w14:textFill>
              </w:rPr>
              <w:t>exclusion</w:t>
            </w:r>
            <w:bookmarkEnd w:id="124"/>
            <w:bookmarkEnd w:id="125"/>
            <w:r>
              <w:rPr>
                <w:rFonts w:ascii="Garamond" w:hAnsi="Garamond" w:cs="Times New Roman"/>
                <w:bCs/>
                <w:iCs/>
                <w:color w:val="000000" w:themeColor="text1"/>
                <w14:textFill>
                  <w14:solidFill>
                    <w14:schemeClr w14:val="tx1"/>
                  </w14:solidFill>
                </w14:textFill>
              </w:rPr>
              <w:t xml:space="preserve">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ascii="Garamond" w:hAnsi="Garamond" w:cs="Times New Roman"/>
                <w:bCs/>
                <w:iCs/>
                <w:color w:val="000000" w:themeColor="text1"/>
                <w14:textFill>
                  <w14:solidFill>
                    <w14:schemeClr w14:val="tx1"/>
                  </w14:solidFill>
                </w14:textFill>
              </w:rPr>
              <w:t>There is no evidence of exclusions that may bias the results reported in the manuscript.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lang w:val="en-US" w:eastAsia="zh-CN"/>
                <w14:textFill>
                  <w14:solidFill>
                    <w14:schemeClr w14:val="tx1"/>
                  </w14:solidFill>
                </w14:textFill>
              </w:rPr>
            </w:pPr>
            <w:r>
              <w:rPr>
                <w:rFonts w:hint="eastAsia" w:ascii="Garamond" w:hAnsi="Garamond"/>
                <w:color w:val="000000" w:themeColor="text1"/>
                <w14:textFill>
                  <w14:solidFill>
                    <w14:schemeClr w14:val="tx1"/>
                  </w14:solidFill>
                </w14:textFill>
              </w:rPr>
              <w:t xml:space="preserve">Our </w:t>
            </w:r>
            <w:r>
              <w:rPr>
                <w:rFonts w:hint="eastAsia" w:ascii="Garamond" w:hAnsi="Garamond"/>
                <w:color w:val="000000" w:themeColor="text1"/>
                <w:lang w:val="en-US" w:eastAsia="zh-CN"/>
                <w14:textFill>
                  <w14:solidFill>
                    <w14:schemeClr w14:val="tx1"/>
                  </w14:solidFill>
                </w14:textFill>
              </w:rPr>
              <w:t>fi</w:t>
            </w:r>
            <w:r>
              <w:rPr>
                <w:rFonts w:hint="eastAsia" w:ascii="Garamond" w:hAnsi="Garamond"/>
                <w:color w:val="000000" w:themeColor="text1"/>
                <w14:textFill>
                  <w14:solidFill>
                    <w14:schemeClr w14:val="tx1"/>
                  </w14:solidFill>
                </w14:textFill>
              </w:rPr>
              <w:t xml:space="preserve">ndings continue to suggest there is no </w:t>
            </w:r>
            <w:r>
              <w:rPr>
                <w:rFonts w:hint="eastAsia" w:ascii="Garamond" w:hAnsi="Garamond"/>
                <w:color w:val="000000" w:themeColor="text1"/>
                <w:lang w:eastAsia="zh-CN"/>
                <w14:textFill>
                  <w14:solidFill>
                    <w14:schemeClr w14:val="tx1"/>
                  </w14:solidFill>
                </w14:textFill>
              </w:rPr>
              <w:t>significant</w:t>
            </w:r>
            <w:r>
              <w:rPr>
                <w:rFonts w:hint="eastAsia" w:ascii="Garamond" w:hAnsi="Garamond"/>
                <w:color w:val="000000" w:themeColor="text1"/>
                <w14:textFill>
                  <w14:solidFill>
                    <w14:schemeClr w14:val="tx1"/>
                  </w14:solidFill>
                </w14:textFill>
              </w:rPr>
              <w:t xml:space="preserve"> clinical</w:t>
            </w:r>
            <w:r>
              <w:rPr>
                <w:rFonts w:hint="eastAsia" w:ascii="Garamond" w:hAnsi="Garamond"/>
                <w:color w:val="000000" w:themeColor="text1"/>
                <w:lang w:val="en-US" w:eastAsia="zh-CN"/>
                <w14:textFill>
                  <w14:solidFill>
                    <w14:schemeClr w14:val="tx1"/>
                  </w14:solidFill>
                </w14:textFill>
              </w:rPr>
              <w:t xml:space="preserve"> </w:t>
            </w:r>
            <w:r>
              <w:rPr>
                <w:rFonts w:hint="eastAsia" w:ascii="Garamond" w:hAnsi="Garamond"/>
                <w:color w:val="000000" w:themeColor="text1"/>
                <w14:textFill>
                  <w14:solidFill>
                    <w14:schemeClr w14:val="tx1"/>
                  </w14:solidFill>
                </w14:textFill>
              </w:rPr>
              <w:t>hepatic toxicity associated with PFOA levels as measured in this workforce. Unlike a previously reported observation, PFOA did not appear to</w:t>
            </w:r>
            <w:r>
              <w:rPr>
                <w:rFonts w:hint="eastAsia" w:ascii="Garamond" w:hAnsi="Garamond"/>
                <w:color w:val="000000" w:themeColor="text1"/>
                <w:lang w:val="en-US" w:eastAsia="zh-CN"/>
                <w14:textFill>
                  <w14:solidFill>
                    <w14:schemeClr w14:val="tx1"/>
                  </w14:solidFill>
                </w14:textFill>
              </w:rPr>
              <w:t xml:space="preserve"> </w:t>
            </w:r>
            <w:r>
              <w:rPr>
                <w:rFonts w:hint="eastAsia" w:ascii="Garamond" w:hAnsi="Garamond"/>
                <w:color w:val="000000" w:themeColor="text1"/>
                <w14:textFill>
                  <w14:solidFill>
                    <w14:schemeClr w14:val="tx1"/>
                  </w14:solidFill>
                </w14:textFill>
              </w:rPr>
              <w:t>modulate hepatic responses to either obesity or alcohol consumption</w:t>
            </w:r>
            <w:r>
              <w:rPr>
                <w:rFonts w:hint="eastAsia" w:ascii="Garamond" w:hAnsi="Garamond"/>
                <w:color w:val="000000" w:themeColor="text1"/>
                <w:lang w:val="en-US" w:eastAsia="zh-CN"/>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high</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 authors did not state whether there was an interest.</w:t>
            </w:r>
          </w:p>
        </w:tc>
      </w:tr>
      <w:tr>
        <w:trPr>
          <w:trHeight w:val="909" w:hRule="atLeast"/>
          <w:jc w:val="center"/>
        </w:trPr>
        <w:tc>
          <w:tcPr>
            <w:tcW w:w="2065" w:type="dxa"/>
            <w:vMerge w:val="restart"/>
            <w:tcBorders>
              <w:top w:val="nil"/>
              <w:left w:val="single" w:color="auto" w:sz="4" w:space="0"/>
              <w:bottom w:val="single" w:color="auto" w:sz="4" w:space="0"/>
              <w:right w:val="single" w:color="auto" w:sz="4" w:space="0"/>
            </w:tcBorders>
            <w:vAlign w:val="center"/>
          </w:tcPr>
          <w:p>
            <w:pPr>
              <w:adjustRightInd w:val="0"/>
              <w:jc w:val="both"/>
              <w:rPr>
                <w:rFonts w:ascii="Garamond" w:hAnsi="Garamond" w:cs="Calibri"/>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Geary W. Olsen</w:t>
            </w:r>
            <w:r>
              <w:rPr>
                <w:rFonts w:hint="eastAsia" w:ascii="Garamond" w:hAnsi="Garamond" w:cs="Arial"/>
                <w:color w:val="000000" w:themeColor="text1"/>
                <w:sz w:val="21"/>
                <w:szCs w:val="21"/>
                <w14:textFill>
                  <w14:solidFill>
                    <w14:schemeClr w14:val="tx1"/>
                  </w14:solidFill>
                </w14:textFill>
              </w:rPr>
              <w:t xml:space="preserve"> (</w:t>
            </w:r>
            <w:r>
              <w:rPr>
                <w:rFonts w:ascii="Garamond" w:hAnsi="Garamond" w:cs="Arial"/>
                <w:color w:val="000000" w:themeColor="text1"/>
                <w:sz w:val="21"/>
                <w:szCs w:val="21"/>
                <w14:textFill>
                  <w14:solidFill>
                    <w14:schemeClr w14:val="tx1"/>
                  </w14:solidFill>
                </w14:textFill>
              </w:rPr>
              <w:t>2007</w:t>
            </w:r>
            <w:r>
              <w:rPr>
                <w:rFonts w:hint="eastAsia" w:ascii="Garamond" w:hAnsi="Garamond" w:cs="Arial"/>
                <w:color w:val="000000" w:themeColor="text1"/>
                <w:sz w:val="21"/>
                <w:szCs w:val="21"/>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Informed consent was obtained</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to measure specific fluorochemical concentrations in the</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blood of program participants, including PFOA.</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Clinical chemistry variables considered in the analyses</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were: alkaline phosphatase (IU/l), gamma glutamyl transferase (GGT, IU/l), aspartate aminotransferase (AST, IU/l),</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alanine aminotransferase (ALT, IU/l), total and direct bilirubin (mg/dl), blood glucose (mg/dl), cholesterol (mg/dl),</w:t>
            </w:r>
            <w:r>
              <w:rPr>
                <w:rFonts w:hint="eastAsia" w:ascii="Garamond" w:hAnsi="Garamond" w:cs="Times New Roman"/>
                <w:color w:val="000000" w:themeColor="text1"/>
                <w:lang w:val="en-US" w:eastAsia="zh-CN"/>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LDL (mg/dl), HDL (mg/dl), and triglycerides (mg/dl).These measurements were performed at Allina Laboratorie(St Paul, MN).</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ascii="Garamond" w:hAnsi="Garamond"/>
                <w:color w:val="000000" w:themeColor="text1"/>
                <w:sz w:val="28"/>
                <w:szCs w:val="28"/>
                <w14:textFill>
                  <w14:solidFill>
                    <w14:schemeClr w14:val="tx1"/>
                  </w14:solidFill>
                </w14:textFill>
              </w:rPr>
              <w:t>high</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14:textFill>
                  <w14:solidFill>
                    <w14:schemeClr w14:val="tx1"/>
                  </w14:solidFill>
                </w14:textFill>
              </w:rPr>
            </w:pPr>
            <w:r>
              <w:rPr>
                <w:rFonts w:hint="eastAsia" w:ascii="Garamond" w:hAnsi="Garamond"/>
                <w:color w:val="000000" w:themeColor="text1"/>
                <w14:textFill>
                  <w14:solidFill>
                    <w14:schemeClr w14:val="tx1"/>
                  </w14:solidFill>
                </w14:textFill>
              </w:rPr>
              <w:t>Adjusted for age, BMI, alcohol and location</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bCs/>
                <w:iCs/>
                <w:color w:val="000000" w:themeColor="text1"/>
                <w:lang w:val="en-US" w:eastAsia="zh-CN"/>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 xml:space="preserve">The study was a </w:t>
            </w:r>
            <w:r>
              <w:rPr>
                <w:rFonts w:hint="eastAsia" w:ascii="Garamond" w:hAnsi="Garamond" w:cs="Times New Roman"/>
                <w:bCs/>
                <w:iCs/>
                <w:color w:val="000000" w:themeColor="text1"/>
                <w:lang w:val="en-US" w:eastAsia="zh-CN"/>
                <w14:textFill>
                  <w14:solidFill>
                    <w14:schemeClr w14:val="tx1"/>
                  </w14:solidFill>
                </w14:textFill>
              </w:rPr>
              <w:t>cohort</w:t>
            </w:r>
            <w:r>
              <w:rPr>
                <w:rFonts w:hint="eastAsia" w:ascii="Garamond" w:hAnsi="Garamond" w:cs="Times New Roman"/>
                <w:bCs/>
                <w:iCs/>
                <w:color w:val="000000" w:themeColor="text1"/>
                <w14:textFill>
                  <w14:solidFill>
                    <w14:schemeClr w14:val="tx1"/>
                  </w14:solidFill>
                </w14:textFill>
              </w:rPr>
              <w:t xml:space="preserve"> study</w:t>
            </w:r>
            <w:r>
              <w:rPr>
                <w:rFonts w:hint="eastAsia" w:ascii="Garamond" w:hAnsi="Garamond" w:cs="Times New Roman"/>
                <w:bCs/>
                <w:iCs/>
                <w:color w:val="000000" w:themeColor="text1"/>
                <w:lang w:val="en-US" w:eastAsia="zh-CN"/>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 xml:space="preserve">ere outcome data incomplete due to attrition or </w:t>
            </w:r>
            <w:bookmarkStart w:id="126" w:name="OLE_LINK32"/>
            <w:bookmarkStart w:id="127" w:name="OLE_LINK33"/>
            <w:r>
              <w:rPr>
                <w:rFonts w:ascii="Garamond" w:hAnsi="Garamond" w:cs="Times New Roman"/>
                <w:bCs/>
                <w:iCs/>
                <w:color w:val="000000" w:themeColor="text1"/>
                <w14:textFill>
                  <w14:solidFill>
                    <w14:schemeClr w14:val="tx1"/>
                  </w14:solidFill>
                </w14:textFill>
              </w:rPr>
              <w:t>exclusion</w:t>
            </w:r>
            <w:bookmarkEnd w:id="126"/>
            <w:bookmarkEnd w:id="127"/>
            <w:r>
              <w:rPr>
                <w:rFonts w:ascii="Garamond" w:hAnsi="Garamond" w:cs="Times New Roman"/>
                <w:bCs/>
                <w:iCs/>
                <w:color w:val="000000" w:themeColor="text1"/>
                <w14:textFill>
                  <w14:solidFill>
                    <w14:schemeClr w14:val="tx1"/>
                  </w14:solidFill>
                </w14:textFill>
              </w:rPr>
              <w:t xml:space="preserve">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14:textFill>
                  <w14:solidFill>
                    <w14:schemeClr w14:val="tx1"/>
                  </w14:solidFill>
                </w14:textFill>
              </w:rPr>
              <w:t>There is no evidence of exclusion bias.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r>
              <w:rPr>
                <w:rFonts w:hint="eastAsia" w:ascii="Garamond" w:hAnsi="Garamond" w:cs="Times New Roman"/>
                <w:color w:val="000000" w:themeColor="text1"/>
                <w14:textFill>
                  <w14:solidFill>
                    <w14:schemeClr w14:val="tx1"/>
                  </w14:solidFill>
                </w14:textFill>
              </w:rPr>
              <w:t>PFOA concentrations measured in this workforce of 506 male fluorochemical production workers were not associated with total cholesterol, LDL, hepatic enzymes or thyroid hormones.</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So all the outcomes have been reported.</w:t>
            </w:r>
          </w:p>
        </w:tc>
      </w:tr>
      <w:tr>
        <w:trPr>
          <w:jc w:val="center"/>
        </w:trPr>
        <w:tc>
          <w:tcPr>
            <w:tcW w:w="2065" w:type="dxa"/>
            <w:vMerge w:val="continue"/>
            <w:tcBorders>
              <w:top w:val="nil"/>
              <w:left w:val="single" w:color="auto" w:sz="4" w:space="0"/>
              <w:bottom w:val="nil"/>
              <w:right w:val="single" w:color="auto" w:sz="4" w:space="0"/>
            </w:tcBorders>
            <w:vAlign w:val="center"/>
          </w:tcPr>
          <w:p>
            <w:pPr>
              <w:jc w:val="both"/>
              <w:rPr>
                <w:rFonts w:ascii="Garamond" w:hAnsi="Garamond" w:cs="Calibri"/>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w:t>
            </w:r>
            <w:r>
              <w:rPr>
                <w:rFonts w:ascii="Garamond" w:hAnsi="Garamond"/>
                <w:color w:val="000000" w:themeColor="text1"/>
                <w:sz w:val="28"/>
                <w:szCs w:val="28"/>
                <w14:textFill>
                  <w14:solidFill>
                    <w14:schemeClr w14:val="tx1"/>
                  </w14:solidFill>
                </w14:textFill>
              </w:rPr>
              <w:t xml:space="preserve">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25"/>
              <w:adjustRightInd w:val="0"/>
              <w:rPr>
                <w:rFonts w:ascii="Garamond" w:hAnsi="Garamond"/>
                <w:bCs/>
                <w:color w:val="000000" w:themeColor="text1"/>
                <w14:textFill>
                  <w14:solidFill>
                    <w14:schemeClr w14:val="tx1"/>
                  </w14:solidFill>
                </w14:textFill>
              </w:rPr>
            </w:pPr>
            <w:r>
              <w:rPr>
                <w:rFonts w:ascii="Garamond" w:hAnsi="Garamond"/>
                <w:bCs/>
                <w:color w:val="000000" w:themeColor="text1"/>
                <w14:textFill>
                  <w14:solidFill>
                    <w14:schemeClr w14:val="tx1"/>
                  </w14:solidFill>
                </w14:textFill>
              </w:rPr>
              <w:t>The authors do not mention whether there is a financial conflict of interest.</w:t>
            </w:r>
          </w:p>
        </w:tc>
      </w:tr>
      <w:tr>
        <w:trPr>
          <w:jc w:val="center"/>
        </w:trPr>
        <w:tc>
          <w:tcPr>
            <w:tcW w:w="2065" w:type="dxa"/>
            <w:vMerge w:val="restart"/>
            <w:tcBorders>
              <w:top w:val="single" w:color="auto" w:sz="4" w:space="0"/>
              <w:left w:val="single" w:color="auto" w:sz="4" w:space="0"/>
              <w:bottom w:val="single" w:color="auto" w:sz="4" w:space="0"/>
              <w:right w:val="single" w:color="auto" w:sz="4" w:space="0"/>
            </w:tcBorders>
            <w:vAlign w:val="center"/>
          </w:tcPr>
          <w:p>
            <w:pPr>
              <w:pStyle w:val="19"/>
              <w:jc w:val="both"/>
              <w:rPr>
                <w:rFonts w:ascii="Garamond" w:hAnsi="Garamond"/>
                <w:b/>
                <w:bCs/>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 xml:space="preserve">Geary W. Olsen </w:t>
            </w:r>
            <w:r>
              <w:rPr>
                <w:rFonts w:hint="eastAsia" w:ascii="Garamond" w:hAnsi="Garamond" w:cs="Arial"/>
                <w:color w:val="000000" w:themeColor="text1"/>
                <w:sz w:val="21"/>
                <w:szCs w:val="21"/>
                <w:lang w:val="en-US" w:eastAsia="zh-CN"/>
                <w14:textFill>
                  <w14:solidFill>
                    <w14:schemeClr w14:val="tx1"/>
                  </w14:solidFill>
                </w14:textFill>
              </w:rPr>
              <w:t>(</w:t>
            </w:r>
            <w:r>
              <w:rPr>
                <w:rFonts w:ascii="Garamond" w:hAnsi="Garamond" w:cs="Arial"/>
                <w:color w:val="000000" w:themeColor="text1"/>
                <w:sz w:val="21"/>
                <w:szCs w:val="21"/>
                <w14:textFill>
                  <w14:solidFill>
                    <w14:schemeClr w14:val="tx1"/>
                  </w14:solidFill>
                </w14:textFill>
              </w:rPr>
              <w:t>2012</w:t>
            </w:r>
            <w:r>
              <w:rPr>
                <w:rFonts w:hint="eastAsia" w:ascii="Garamond" w:hAnsi="Garamond" w:cs="Arial"/>
                <w:color w:val="000000" w:themeColor="text1"/>
                <w:sz w:val="21"/>
                <w:szCs w:val="21"/>
                <w:lang w:val="en-US" w:eastAsia="zh-CN"/>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s="Times New Roman"/>
                <w:bCs/>
                <w:iCs/>
                <w:color w:val="000000" w:themeColor="text1"/>
                <w14:textFill>
                  <w14:solidFill>
                    <w14:schemeClr w14:val="tx1"/>
                  </w14:solidFill>
                </w14:textFill>
              </w:rPr>
            </w:pPr>
            <w:r>
              <w:rPr>
                <w:rFonts w:hint="eastAsia" w:ascii="Garamond" w:hAnsi="Garamond" w:cs="Times New Roman"/>
                <w:bCs/>
                <w:iCs/>
                <w:color w:val="000000" w:themeColor="text1"/>
                <w:lang w:val="en-US" w:eastAsia="zh-CN"/>
                <w14:textFill>
                  <w14:solidFill>
                    <w14:schemeClr w14:val="tx1"/>
                  </w14:solidFill>
                </w14:textFill>
              </w:rPr>
              <w:t>B</w:t>
            </w:r>
            <w:r>
              <w:rPr>
                <w:rFonts w:hint="eastAsia" w:ascii="Garamond" w:hAnsi="Garamond" w:cs="Times New Roman"/>
                <w:bCs/>
                <w:iCs/>
                <w:color w:val="000000" w:themeColor="text1"/>
                <w14:textFill>
                  <w14:solidFill>
                    <w14:schemeClr w14:val="tx1"/>
                  </w14:solidFill>
                </w14:textFill>
              </w:rPr>
              <w:t>lood (serum) was collected</w:t>
            </w:r>
            <w:r>
              <w:rPr>
                <w:rFonts w:hint="eastAsia" w:ascii="Garamond" w:hAnsi="Garamond" w:cs="Times New Roman"/>
                <w:bCs/>
                <w:iCs/>
                <w:color w:val="000000" w:themeColor="text1"/>
                <w:lang w:val="en-US" w:eastAsia="zh-CN"/>
                <w14:textFill>
                  <w14:solidFill>
                    <w14:schemeClr w14:val="tx1"/>
                  </w14:solidFill>
                </w14:textFill>
              </w:rPr>
              <w:t xml:space="preserve"> </w:t>
            </w:r>
            <w:r>
              <w:rPr>
                <w:rFonts w:hint="eastAsia" w:ascii="Garamond" w:hAnsi="Garamond" w:cs="Times New Roman"/>
                <w:bCs/>
                <w:iCs/>
                <w:color w:val="000000" w:themeColor="text1"/>
                <w14:textFill>
                  <w14:solidFill>
                    <w14:schemeClr w14:val="tx1"/>
                  </w14:solidFill>
                </w14:textFill>
              </w:rPr>
              <w:t>for analysis of PFOA and PFOS and standard clinical chemistries.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bCs/>
                <w:iCs/>
                <w:color w:val="000000" w:themeColor="text1"/>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Clinical chemistry were analyzed by Quest Diagnostics (Madison, NJ) and included total cholesterol (mg/dL), HDL cholesterol (mg/d), non-HDL cholesterol (mg/dL), total cholesterol/HDL ratio, total bilirubin (mg/dL), alkaline phosphate (U/L), aspartatetransaminase (AST, U/L), and aniline transmigrate (ALT, U/L).</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w:t>
            </w:r>
            <w:r>
              <w:rPr>
                <w:rFonts w:ascii="Garamond" w:hAnsi="Garamond"/>
                <w:color w:val="000000" w:themeColor="text1"/>
                <w:sz w:val="28"/>
                <w:szCs w:val="28"/>
                <w14:textFill>
                  <w14:solidFill>
                    <w14:schemeClr w14:val="tx1"/>
                  </w14:solidFill>
                </w14:textFill>
              </w:rPr>
              <w:t xml:space="preserve"> </w:t>
            </w:r>
            <w:r>
              <w:rPr>
                <w:rFonts w:hint="eastAsia" w:ascii="Garamond" w:hAnsi="Garamond"/>
                <w:color w:val="000000" w:themeColor="text1"/>
                <w:sz w:val="28"/>
                <w:szCs w:val="28"/>
                <w:lang w:val="en-US" w:eastAsia="zh-CN"/>
                <w14:textFill>
                  <w14:solidFill>
                    <w14:schemeClr w14:val="tx1"/>
                  </w14:solidFill>
                </w14:textFill>
              </w:rPr>
              <w:t>high</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cs="Times New Roman"/>
                <w:bCs/>
                <w:iCs/>
                <w:color w:val="000000" w:themeColor="text1"/>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Adjusted for sex and baseline levels of age, body mass index, and alcohol.</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w:t>
            </w:r>
            <w:r>
              <w:rPr>
                <w:rFonts w:ascii="Garamond" w:hAnsi="Garamond"/>
                <w:color w:val="000000" w:themeColor="text1"/>
                <w:sz w:val="28"/>
                <w:szCs w:val="28"/>
                <w14:textFill>
                  <w14:solidFill>
                    <w14:schemeClr w14:val="tx1"/>
                  </w14:solidFill>
                </w14:textFill>
              </w:rPr>
              <w:t xml:space="preserve">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cs="Times New Roman"/>
                <w:bCs/>
                <w:iCs/>
                <w:color w:val="000000" w:themeColor="text1"/>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The study was a cohort study.</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 exclusion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cs="Times New Roman"/>
                <w:bCs/>
                <w:iCs/>
                <w:color w:val="000000" w:themeColor="text1"/>
                <w14:textFill>
                  <w14:solidFill>
                    <w14:schemeClr w14:val="tx1"/>
                  </w14:solidFill>
                </w14:textFill>
              </w:rPr>
            </w:pPr>
            <w:r>
              <w:rPr>
                <w:rFonts w:hint="eastAsia" w:ascii="Garamond" w:hAnsi="Garamond"/>
                <w:color w:val="000000" w:themeColor="text1"/>
                <w14:textFill>
                  <w14:solidFill>
                    <w14:schemeClr w14:val="tx1"/>
                  </w14:solidFill>
                </w14:textFill>
              </w:rPr>
              <w:t>There is no evidence of exclusion bias.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shd w:val="clear" w:color="auto" w:fill="FFFFFF"/>
              <w:adjustRightInd w:val="0"/>
              <w:jc w:val="both"/>
              <w:rPr>
                <w:rFonts w:ascii="Garamond" w:hAnsi="Garamond" w:cs="Times New Roman"/>
                <w:bCs/>
                <w:iCs/>
                <w:color w:val="000000" w:themeColor="text1"/>
                <w14:textFill>
                  <w14:solidFill>
                    <w14:schemeClr w14:val="tx1"/>
                  </w14:solidFill>
                </w14:textFill>
              </w:rPr>
            </w:pPr>
            <w:r>
              <w:rPr>
                <w:rFonts w:ascii="Garamond" w:hAnsi="Garamond" w:cs="Times New Roman"/>
                <w:bCs/>
                <w:iCs/>
                <w:color w:val="000000" w:themeColor="text1"/>
                <w14:textFill>
                  <w14:solidFill>
                    <w14:schemeClr w14:val="tx1"/>
                  </w14:solidFill>
                </w14:textFill>
              </w:rPr>
              <w:t>The authors stated: “</w:t>
            </w:r>
            <w:r>
              <w:rPr>
                <w:rFonts w:hint="eastAsia" w:ascii="Garamond" w:hAnsi="Garamond" w:cs="Times New Roman"/>
                <w:bCs/>
                <w:iCs/>
                <w:color w:val="000000" w:themeColor="text1"/>
                <w14:textFill>
                  <w14:solidFill>
                    <w14:schemeClr w14:val="tx1"/>
                  </w14:solidFill>
                </w14:textFill>
              </w:rPr>
              <w:t xml:space="preserve"> Adverse associations were not observed between changes in PFOA, PFOS, non-HDL cholesterol, HDL, and hepatic clinical chemises</w:t>
            </w:r>
            <w:r>
              <w:rPr>
                <w:rFonts w:ascii="Garamond" w:hAnsi="Garamond" w:cs="Times New Roman"/>
                <w:bCs/>
                <w:iCs/>
                <w:color w:val="000000" w:themeColor="text1"/>
                <w14:textFill>
                  <w14:solidFill>
                    <w14:schemeClr w14:val="tx1"/>
                  </w14:solidFill>
                </w14:textFill>
              </w:rPr>
              <w:t>”, so all outcomes have been reported.</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b/>
                <w:bCs/>
                <w:color w:val="000000" w:themeColor="text1"/>
                <w:sz w:val="21"/>
                <w:szCs w:val="2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high</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14:textFill>
                  <w14:solidFill>
                    <w14:schemeClr w14:val="tx1"/>
                  </w14:solidFill>
                </w14:textFill>
              </w:rPr>
            </w:pPr>
            <w:r>
              <w:rPr>
                <w:rFonts w:ascii="Garamond" w:hAnsi="Garamond"/>
                <w:bCs/>
                <w:color w:val="000000" w:themeColor="text1"/>
                <w14:textFill>
                  <w14:solidFill>
                    <w14:schemeClr w14:val="tx1"/>
                  </w14:solidFill>
                </w14:textFill>
              </w:rPr>
              <w:t>The authors do not mention whether there is a financial conflict of interest.</w:t>
            </w:r>
          </w:p>
        </w:tc>
      </w:tr>
      <w:tr>
        <w:trPr>
          <w:jc w:val="center"/>
        </w:trPr>
        <w:tc>
          <w:tcPr>
            <w:tcW w:w="2065" w:type="dxa"/>
            <w:vMerge w:val="restart"/>
            <w:tcBorders>
              <w:top w:val="nil"/>
              <w:left w:val="single" w:color="auto" w:sz="4" w:space="0"/>
              <w:bottom w:val="single" w:color="auto" w:sz="4" w:space="0"/>
              <w:right w:val="single" w:color="auto" w:sz="4" w:space="0"/>
            </w:tcBorders>
            <w:vAlign w:val="center"/>
          </w:tcPr>
          <w:p>
            <w:pPr>
              <w:adjustRightInd w:val="0"/>
              <w:jc w:val="both"/>
              <w:rPr>
                <w:rFonts w:ascii="Garamond" w:hAnsi="Garamond" w:cs="Calibri"/>
                <w:color w:val="000000" w:themeColor="text1"/>
                <w:sz w:val="21"/>
                <w:szCs w:val="21"/>
                <w14:textFill>
                  <w14:solidFill>
                    <w14:schemeClr w14:val="tx1"/>
                  </w14:solidFill>
                </w14:textFill>
              </w:rPr>
            </w:pPr>
            <w:r>
              <w:rPr>
                <w:rFonts w:ascii="Garamond" w:hAnsi="Garamond" w:cs="Arial"/>
                <w:color w:val="000000" w:themeColor="text1"/>
                <w:sz w:val="21"/>
                <w:szCs w:val="21"/>
                <w14:textFill>
                  <w14:solidFill>
                    <w14:schemeClr w14:val="tx1"/>
                  </w14:solidFill>
                </w14:textFill>
              </w:rPr>
              <w:t xml:space="preserve">Jianshe Wang </w:t>
            </w:r>
            <w:r>
              <w:rPr>
                <w:rFonts w:hint="eastAsia" w:ascii="Garamond" w:hAnsi="Garamond" w:cs="Arial"/>
                <w:color w:val="000000" w:themeColor="text1"/>
                <w:sz w:val="21"/>
                <w:szCs w:val="21"/>
                <w14:textFill>
                  <w14:solidFill>
                    <w14:schemeClr w14:val="tx1"/>
                  </w14:solidFill>
                </w14:textFill>
              </w:rPr>
              <w:t>(</w:t>
            </w:r>
            <w:r>
              <w:rPr>
                <w:rFonts w:ascii="Garamond" w:hAnsi="Garamond" w:cs="Arial"/>
                <w:color w:val="000000" w:themeColor="text1"/>
                <w:sz w:val="21"/>
                <w:szCs w:val="21"/>
                <w14:textFill>
                  <w14:solidFill>
                    <w14:schemeClr w14:val="tx1"/>
                  </w14:solidFill>
                </w14:textFill>
              </w:rPr>
              <w:t>2012</w:t>
            </w:r>
            <w:r>
              <w:rPr>
                <w:rFonts w:hint="eastAsia" w:ascii="Garamond" w:hAnsi="Garamond" w:cs="Arial"/>
                <w:color w:val="000000" w:themeColor="text1"/>
                <w:sz w:val="21"/>
                <w:szCs w:val="21"/>
                <w14:textFill>
                  <w14:solidFill>
                    <w14:schemeClr w14:val="tx1"/>
                  </w14:solidFill>
                </w14:textFill>
              </w:rPr>
              <w:t>)</w:t>
            </w: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exposure characterization?</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All serum samples collected were used for biochemistry parameters analysis and PFCs analysis.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iCs/>
                <w:color w:val="000000" w:themeColor="text1"/>
                <w14:textFill>
                  <w14:solidFill>
                    <w14:schemeClr w14:val="tx1"/>
                  </w14:solidFill>
                </w14:textFill>
              </w:rPr>
              <w:t xml:space="preserve">DETECTION BIAS [Key element]: </w:t>
            </w:r>
            <w:r>
              <w:rPr>
                <w:rFonts w:ascii="Garamond" w:hAnsi="Garamond" w:cs="Times New Roman"/>
                <w:bCs/>
                <w:iCs/>
                <w:color w:val="000000" w:themeColor="text1"/>
                <w14:textFill>
                  <w14:solidFill>
                    <w14:schemeClr w14:val="tx1"/>
                  </w14:solidFill>
                </w14:textFill>
              </w:rPr>
              <w:t>can we be confident in the outcome assessment?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Definitely </w:t>
            </w:r>
            <w:r>
              <w:rPr>
                <w:rFonts w:ascii="Garamond" w:hAnsi="Garamond"/>
                <w:color w:val="000000" w:themeColor="text1"/>
                <w:sz w:val="28"/>
                <w:szCs w:val="28"/>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Standard spectrophotometric methods for the HITAC7170A automatic analyzer were used to measure serum lipid and enzyme parameters, including TG, CHO, LDL-C, high-density lipoprotein cholesterol (HDLC), ALT, and AST.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CONFOUNDING BIAS [Key element]: </w:t>
            </w:r>
            <w:r>
              <w:rPr>
                <w:rFonts w:ascii="Garamond" w:hAnsi="Garamond" w:cs="Times New Roman"/>
                <w:bCs/>
                <w:iCs/>
                <w:color w:val="000000" w:themeColor="text1"/>
                <w14:textFill>
                  <w14:solidFill>
                    <w14:schemeClr w14:val="tx1"/>
                  </w14:solidFill>
                </w14:textFill>
              </w:rPr>
              <w:t>did the study design or analysis account for important confounding and modifying variables?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probably</w:t>
            </w:r>
            <w:r>
              <w:rPr>
                <w:rFonts w:hint="eastAsia" w:ascii="Garamond" w:hAnsi="Garamond"/>
                <w:color w:val="000000" w:themeColor="text1"/>
                <w:sz w:val="28"/>
                <w:szCs w:val="28"/>
                <w14:textFill>
                  <w14:solidFill>
                    <w14:schemeClr w14:val="tx1"/>
                  </w14:solidFill>
                </w14:textFill>
              </w:rPr>
              <w:t xml:space="preserve"> </w:t>
            </w:r>
            <w:r>
              <w:rPr>
                <w:rFonts w:ascii="Garamond" w:hAnsi="Garamond"/>
                <w:color w:val="000000" w:themeColor="text1"/>
                <w:sz w:val="28"/>
                <w:szCs w:val="28"/>
                <w14:textFill>
                  <w14:solidFill>
                    <w14:schemeClr w14:val="tx1"/>
                  </w14:solidFill>
                </w14:textFill>
              </w:rPr>
              <w:t>high</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color w:val="000000" w:themeColor="text1"/>
                <w14:textFill>
                  <w14:solidFill>
                    <w14:schemeClr w14:val="tx1"/>
                  </w14:solidFill>
                </w14:textFill>
              </w:rPr>
              <w:t xml:space="preserve"> Adjusted for BMI and age.</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SELECTION BIAS: </w:t>
            </w:r>
            <w:r>
              <w:rPr>
                <w:rFonts w:ascii="Garamond" w:hAnsi="Garamond" w:cs="Times New Roman"/>
                <w:color w:val="000000" w:themeColor="text1"/>
                <w14:textFill>
                  <w14:solidFill>
                    <w14:schemeClr w14:val="tx1"/>
                  </w14:solidFill>
                </w14:textFill>
              </w:rPr>
              <w:t>d</w:t>
            </w:r>
            <w:r>
              <w:rPr>
                <w:rFonts w:ascii="Garamond" w:hAnsi="Garamond" w:cs="Times New Roman"/>
                <w:bCs/>
                <w:color w:val="000000" w:themeColor="text1"/>
                <w14:textFill>
                  <w14:solidFill>
                    <w14:schemeClr w14:val="tx1"/>
                  </w14:solidFill>
                </w14:textFill>
              </w:rPr>
              <w:t>id selection of study participants result in appropriate comparison groups?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hint="eastAsia" w:ascii="Garamond" w:hAnsi="Garamond" w:cs="Times New Roman"/>
                <w:bCs/>
                <w:iCs/>
                <w:color w:val="000000" w:themeColor="text1"/>
                <w14:textFill>
                  <w14:solidFill>
                    <w14:schemeClr w14:val="tx1"/>
                  </w14:solidFill>
                </w14:textFill>
              </w:rPr>
              <w:t>The study was a cohort study.</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utoSpaceDE w:val="0"/>
              <w:autoSpaceDN w:val="0"/>
              <w:adjustRightInd w:val="0"/>
              <w:spacing w:before="120" w:after="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ATTRITION/EXCLUSION BIAS: </w:t>
            </w:r>
            <w:r>
              <w:rPr>
                <w:rFonts w:ascii="Garamond" w:hAnsi="Garamond" w:cs="Times New Roman"/>
                <w:color w:val="000000" w:themeColor="text1"/>
                <w14:textFill>
                  <w14:solidFill>
                    <w14:schemeClr w14:val="tx1"/>
                  </w14:solidFill>
                </w14:textFill>
              </w:rPr>
              <w:t>w</w:t>
            </w:r>
            <w:r>
              <w:rPr>
                <w:rFonts w:ascii="Garamond" w:hAnsi="Garamond" w:cs="Times New Roman"/>
                <w:bCs/>
                <w:iCs/>
                <w:color w:val="000000" w:themeColor="text1"/>
                <w14:textFill>
                  <w14:solidFill>
                    <w14:schemeClr w14:val="tx1"/>
                  </w14:solidFill>
                </w14:textFill>
              </w:rPr>
              <w:t>ere outcome data incomplete due to attrition or</w:t>
            </w:r>
            <w:bookmarkStart w:id="128" w:name="OLE_LINK38"/>
            <w:bookmarkStart w:id="129" w:name="OLE_LINK39"/>
            <w:r>
              <w:rPr>
                <w:rFonts w:ascii="Garamond" w:hAnsi="Garamond" w:cs="Times New Roman"/>
                <w:bCs/>
                <w:iCs/>
                <w:color w:val="000000" w:themeColor="text1"/>
                <w14:textFill>
                  <w14:solidFill>
                    <w14:schemeClr w14:val="tx1"/>
                  </w14:solidFill>
                </w14:textFill>
              </w:rPr>
              <w:t xml:space="preserve"> exclusion</w:t>
            </w:r>
            <w:bookmarkEnd w:id="128"/>
            <w:bookmarkEnd w:id="129"/>
            <w:r>
              <w:rPr>
                <w:rFonts w:ascii="Garamond" w:hAnsi="Garamond" w:cs="Times New Roman"/>
                <w:bCs/>
                <w:iCs/>
                <w:color w:val="000000" w:themeColor="text1"/>
                <w14:textFill>
                  <w14:solidFill>
                    <w14:schemeClr w14:val="tx1"/>
                  </w14:solidFill>
                </w14:textFill>
              </w:rPr>
              <w:t xml:space="preserve"> from analysis?</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Theme="minorHAnsi" w:hAnsiTheme="minorHAnsi"/>
                <w:color w:val="000000" w:themeColor="text1"/>
                <w:sz w:val="21"/>
                <w:szCs w:val="22"/>
                <w14:textFill>
                  <w14:solidFill>
                    <w14:schemeClr w14:val="tx1"/>
                  </w14:solidFill>
                </w14:textFill>
              </w:rPr>
            </w:pPr>
            <w:r>
              <w:rPr>
                <w:rFonts w:hint="eastAsia" w:ascii="Garamond" w:hAnsi="Garamond" w:cs="Times New Roman"/>
                <w:color w:val="000000" w:themeColor="text1"/>
                <w14:textFill>
                  <w14:solidFill>
                    <w14:schemeClr w14:val="tx1"/>
                  </w14:solidFill>
                </w14:textFill>
              </w:rPr>
              <w:t>There is no</w:t>
            </w:r>
            <w:r>
              <w:rPr>
                <w:rFonts w:ascii="Garamond" w:hAnsi="Garamond" w:cs="Times New Roman"/>
                <w:color w:val="000000" w:themeColor="text1"/>
                <w14:textFill>
                  <w14:solidFill>
                    <w14:schemeClr w14:val="tx1"/>
                  </w14:solidFill>
                </w14:textFill>
              </w:rPr>
              <w:t xml:space="preserve"> </w:t>
            </w:r>
            <w:r>
              <w:rPr>
                <w:rFonts w:hint="eastAsia" w:ascii="Garamond" w:hAnsi="Garamond" w:cs="Times New Roman"/>
                <w:color w:val="000000" w:themeColor="text1"/>
                <w14:textFill>
                  <w14:solidFill>
                    <w14:schemeClr w14:val="tx1"/>
                  </w14:solidFill>
                </w14:textFill>
              </w:rPr>
              <w:t>evidence of exclusion bias.</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 xml:space="preserve">SELECTIVE REPORTING BIAS: </w:t>
            </w:r>
            <w:r>
              <w:rPr>
                <w:rFonts w:ascii="Garamond" w:hAnsi="Garamond" w:cs="Times New Roman"/>
                <w:bCs/>
                <w:iCs/>
                <w:color w:val="000000" w:themeColor="text1"/>
                <w14:textFill>
                  <w14:solidFill>
                    <w14:schemeClr w14:val="tx1"/>
                  </w14:solidFill>
                </w14:textFill>
              </w:rPr>
              <w:t>were all measured outcomes reported?</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 xml:space="preserve">Probably </w:t>
            </w:r>
            <w:r>
              <w:rPr>
                <w:rFonts w:hint="eastAsia" w:ascii="Garamond" w:hAnsi="Garamond"/>
                <w:color w:val="000000" w:themeColor="text1"/>
                <w:sz w:val="28"/>
                <w:szCs w:val="28"/>
                <w:lang w:val="en-US" w:eastAsia="zh-CN"/>
                <w14:textFill>
                  <w14:solidFill>
                    <w14:schemeClr w14:val="tx1"/>
                  </w14:solidFill>
                </w14:textFill>
              </w:rPr>
              <w:t>low</w:t>
            </w:r>
          </w:p>
        </w:tc>
        <w:tc>
          <w:tcPr>
            <w:tcW w:w="9074" w:type="dxa"/>
            <w:tcBorders>
              <w:top w:val="single" w:color="auto" w:sz="4" w:space="0"/>
              <w:left w:val="nil"/>
              <w:bottom w:val="single" w:color="auto" w:sz="4" w:space="0"/>
              <w:right w:val="single" w:color="auto" w:sz="4" w:space="0"/>
            </w:tcBorders>
            <w:vAlign w:val="center"/>
          </w:tcPr>
          <w:p>
            <w:pPr>
              <w:pStyle w:val="7"/>
              <w:adjustRightInd w:val="0"/>
              <w:jc w:val="both"/>
              <w:rPr>
                <w:rFonts w:ascii="Garamond" w:hAnsi="Garamond" w:cs="Times New Roman"/>
                <w:color w:val="000000" w:themeColor="text1"/>
                <w14:textFill>
                  <w14:solidFill>
                    <w14:schemeClr w14:val="tx1"/>
                  </w14:solidFill>
                </w14:textFill>
              </w:rPr>
            </w:pPr>
            <w:r>
              <w:rPr>
                <w:rFonts w:ascii="Garamond" w:hAnsi="Garamond" w:cs="Times New Roman"/>
                <w:color w:val="000000" w:themeColor="text1"/>
                <w14:textFill>
                  <w14:solidFill>
                    <w14:schemeClr w14:val="tx1"/>
                  </w14:solidFill>
                </w14:textFill>
              </w:rPr>
              <w:t>The authors stated: “</w:t>
            </w:r>
            <w:r>
              <w:rPr>
                <w:rFonts w:hint="eastAsia" w:ascii="Garamond" w:hAnsi="Garamond" w:cs="Times New Roman"/>
                <w:color w:val="000000" w:themeColor="text1"/>
                <w14:textFill>
                  <w14:solidFill>
                    <w14:schemeClr w14:val="tx1"/>
                  </w14:solidFill>
                </w14:textFill>
              </w:rPr>
              <w:t>. Circulating miR-26b and miR-199a-3p were elevated with serum concentration of PFOA. Although the limitations of small sample size and the cross-sectional nature of the current study constrained causal inferences, the observed associations between PFOA and these serum biomarkers warrant further study</w:t>
            </w:r>
            <w:r>
              <w:rPr>
                <w:rFonts w:ascii="Garamond" w:hAnsi="Garamond" w:cs="Times New Roman"/>
                <w:color w:val="000000" w:themeColor="text1"/>
                <w14:textFill>
                  <w14:solidFill>
                    <w14:schemeClr w14:val="tx1"/>
                  </w14:solidFill>
                </w14:textFill>
              </w:rPr>
              <w:t>”</w:t>
            </w:r>
            <w:r>
              <w:rPr>
                <w:rFonts w:hint="eastAsia" w:ascii="Garamond" w:hAnsi="Garamond" w:cs="Times New Roman"/>
                <w:color w:val="000000" w:themeColor="text1"/>
                <w14:textFill>
                  <w14:solidFill>
                    <w14:schemeClr w14:val="tx1"/>
                  </w14:solidFill>
                </w14:textFill>
              </w:rPr>
              <w:t>.</w:t>
            </w:r>
          </w:p>
        </w:tc>
      </w:tr>
      <w:tr>
        <w:trPr>
          <w:jc w:val="center"/>
        </w:trPr>
        <w:tc>
          <w:tcPr>
            <w:tcW w:w="2065" w:type="dxa"/>
            <w:vMerge w:val="continue"/>
            <w:tcBorders>
              <w:top w:val="nil"/>
              <w:left w:val="single" w:color="auto" w:sz="4" w:space="0"/>
              <w:bottom w:val="single" w:color="auto" w:sz="4" w:space="0"/>
              <w:right w:val="single" w:color="auto" w:sz="4" w:space="0"/>
            </w:tcBorders>
            <w:vAlign w:val="center"/>
          </w:tcPr>
          <w:p>
            <w:pPr>
              <w:jc w:val="both"/>
              <w:rPr>
                <w:rFonts w:ascii="Garamond" w:hAnsi="Garamond" w:cs="Calibri"/>
                <w:color w:val="000000" w:themeColor="text1"/>
                <w14:textFill>
                  <w14:solidFill>
                    <w14:schemeClr w14:val="tx1"/>
                  </w14:solidFill>
                </w14:textFill>
              </w:rPr>
            </w:pPr>
          </w:p>
        </w:tc>
        <w:tc>
          <w:tcPr>
            <w:tcW w:w="3336" w:type="dxa"/>
            <w:tcBorders>
              <w:top w:val="single" w:color="auto" w:sz="4" w:space="0"/>
              <w:left w:val="nil"/>
              <w:bottom w:val="single" w:color="auto" w:sz="4" w:space="0"/>
              <w:right w:val="single" w:color="auto" w:sz="4" w:space="0"/>
            </w:tcBorders>
            <w:vAlign w:val="center"/>
          </w:tcPr>
          <w:p>
            <w:pPr>
              <w:adjustRightInd w:val="0"/>
              <w:spacing w:before="120"/>
              <w:jc w:val="both"/>
              <w:rPr>
                <w:rFonts w:ascii="Garamond" w:hAnsi="Garamond" w:eastAsia="Calibri" w:cs="Times New Roman"/>
                <w:b/>
                <w:bCs/>
                <w:color w:val="000000" w:themeColor="text1"/>
                <w14:textFill>
                  <w14:solidFill>
                    <w14:schemeClr w14:val="tx1"/>
                  </w14:solidFill>
                </w14:textFill>
              </w:rPr>
            </w:pPr>
            <w:r>
              <w:rPr>
                <w:rFonts w:ascii="Garamond" w:hAnsi="Garamond" w:cs="Times New Roman"/>
                <w:b/>
                <w:bCs/>
                <w:color w:val="000000" w:themeColor="text1"/>
                <w14:textFill>
                  <w14:solidFill>
                    <w14:schemeClr w14:val="tx1"/>
                  </w14:solidFill>
                </w14:textFill>
              </w:rPr>
              <w:t>CONFLICT OF INTEREST</w:t>
            </w:r>
          </w:p>
        </w:tc>
        <w:tc>
          <w:tcPr>
            <w:tcW w:w="1965"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Probably low</w:t>
            </w:r>
          </w:p>
        </w:tc>
        <w:tc>
          <w:tcPr>
            <w:tcW w:w="9074" w:type="dxa"/>
            <w:tcBorders>
              <w:top w:val="single" w:color="auto" w:sz="4" w:space="0"/>
              <w:left w:val="nil"/>
              <w:bottom w:val="single" w:color="auto" w:sz="4" w:space="0"/>
              <w:right w:val="single" w:color="auto" w:sz="4" w:space="0"/>
            </w:tcBorders>
            <w:vAlign w:val="center"/>
          </w:tcPr>
          <w:p>
            <w:pPr>
              <w:pStyle w:val="19"/>
              <w:jc w:val="both"/>
              <w:rPr>
                <w:rFonts w:ascii="Garamond" w:hAnsi="Garamond"/>
                <w:color w:val="000000" w:themeColor="text1"/>
                <w:sz w:val="28"/>
                <w:szCs w:val="28"/>
                <w14:textFill>
                  <w14:solidFill>
                    <w14:schemeClr w14:val="tx1"/>
                  </w14:solidFill>
                </w14:textFill>
              </w:rPr>
            </w:pPr>
            <w:r>
              <w:rPr>
                <w:rFonts w:ascii="Garamond" w:hAnsi="Garamond"/>
                <w:color w:val="000000" w:themeColor="text1"/>
                <w:sz w:val="28"/>
                <w:szCs w:val="28"/>
                <w14:textFill>
                  <w14:solidFill>
                    <w14:schemeClr w14:val="tx1"/>
                  </w14:solidFill>
                </w14:textFill>
              </w:rPr>
              <w:t>The authors declare they have no competing financial interests.</w:t>
            </w:r>
          </w:p>
        </w:tc>
      </w:tr>
    </w:tbl>
    <w:p>
      <w:pPr>
        <w:spacing w:line="360" w:lineRule="auto"/>
        <w:rPr>
          <w:rFonts w:ascii="Garamond" w:hAnsi="Garamond"/>
          <w:b/>
          <w:bCs/>
          <w:color w:val="000000" w:themeColor="text1"/>
          <w:sz w:val="28"/>
          <w:szCs w:val="28"/>
          <w:lang w:val="en-GB"/>
          <w14:textFill>
            <w14:solidFill>
              <w14:schemeClr w14:val="tx1"/>
            </w14:solidFill>
          </w14:textFill>
        </w:rPr>
      </w:pPr>
    </w:p>
    <w:p>
      <w:pPr>
        <w:spacing w:line="360" w:lineRule="auto"/>
        <w:rPr>
          <w:rFonts w:ascii="Garamond" w:hAnsi="Garamond" w:eastAsia="Times New Roman" w:cs="Calibri"/>
          <w:b/>
          <w:color w:val="000000" w:themeColor="text1"/>
          <w:sz w:val="28"/>
          <w:szCs w:val="28"/>
          <w:lang w:val="en-GB" w:bidi="ar"/>
          <w14:textFill>
            <w14:solidFill>
              <w14:schemeClr w14:val="tx1"/>
            </w14:solidFill>
          </w14:textFill>
        </w:rPr>
      </w:pPr>
    </w:p>
    <w:p>
      <w:pPr>
        <w:rPr>
          <w:rFonts w:ascii="Garamond" w:hAnsi="Garamond" w:eastAsia="Times New Roman" w:cs="Calibri"/>
          <w:b/>
          <w:color w:val="000000" w:themeColor="text1"/>
          <w:sz w:val="28"/>
          <w:szCs w:val="28"/>
          <w:lang w:bidi="ar"/>
          <w14:textFill>
            <w14:solidFill>
              <w14:schemeClr w14:val="tx1"/>
            </w14:solidFill>
          </w14:textFill>
        </w:rPr>
      </w:pPr>
      <w:r>
        <w:rPr>
          <w:rFonts w:ascii="Garamond" w:hAnsi="Garamond" w:eastAsia="Times New Roman" w:cs="Calibri"/>
          <w:b/>
          <w:color w:val="000000" w:themeColor="text1"/>
          <w:sz w:val="28"/>
          <w:szCs w:val="28"/>
          <w:lang w:bidi="ar"/>
          <w14:textFill>
            <w14:solidFill>
              <w14:schemeClr w14:val="tx1"/>
            </w14:solidFill>
          </w14:textFill>
        </w:rPr>
        <w:br w:type="page"/>
      </w:r>
    </w:p>
    <w:p>
      <w:pPr>
        <w:spacing w:line="360" w:lineRule="auto"/>
        <w:rPr>
          <w:rFonts w:hint="eastAsia" w:ascii="Garamond" w:hAnsi="Garamond" w:cs="Calibri" w:eastAsiaTheme="minorEastAsia"/>
          <w:b/>
          <w:color w:val="000000" w:themeColor="text1"/>
          <w:sz w:val="28"/>
          <w:szCs w:val="28"/>
          <w14:textFill>
            <w14:solidFill>
              <w14:schemeClr w14:val="tx1"/>
            </w14:solidFill>
          </w14:textFill>
        </w:rPr>
      </w:pPr>
      <w:r>
        <w:rPr>
          <w:rFonts w:ascii="Garamond" w:hAnsi="Garamond" w:eastAsia="Times New Roman" w:cs="Calibri"/>
          <w:b/>
          <w:color w:val="000000" w:themeColor="text1"/>
          <w:sz w:val="28"/>
          <w:szCs w:val="28"/>
          <w:lang w:bidi="ar"/>
          <w14:textFill>
            <w14:solidFill>
              <w14:schemeClr w14:val="tx1"/>
            </w14:solidFill>
          </w14:textFill>
        </w:rPr>
        <w:t xml:space="preserve">Table S6. </w:t>
      </w:r>
      <w:r>
        <w:rPr>
          <w:rFonts w:ascii="Garamond" w:hAnsi="Garamond" w:eastAsia="Garamond" w:cs="Garamond"/>
          <w:color w:val="000000" w:themeColor="text1"/>
          <w:sz w:val="28"/>
          <w:szCs w:val="28"/>
          <w:lang w:bidi="ar"/>
          <w14:textFill>
            <w14:solidFill>
              <w14:schemeClr w14:val="tx1"/>
            </w14:solidFill>
          </w14:textFill>
        </w:rPr>
        <w:t xml:space="preserve">Sensitivity analyses of the associations between </w:t>
      </w:r>
      <w:bookmarkStart w:id="130" w:name="OLE_LINK18"/>
      <w:r>
        <w:rPr>
          <w:rFonts w:hint="eastAsia" w:ascii="Garamond" w:hAnsi="Garamond" w:cs="Garamond"/>
          <w:color w:val="000000" w:themeColor="text1"/>
          <w:sz w:val="28"/>
          <w:szCs w:val="28"/>
          <w:lang w:bidi="ar"/>
          <w14:textFill>
            <w14:solidFill>
              <w14:schemeClr w14:val="tx1"/>
            </w14:solidFill>
          </w14:textFill>
        </w:rPr>
        <w:t>PFOA</w:t>
      </w:r>
      <w:r>
        <w:rPr>
          <w:rFonts w:ascii="Garamond" w:hAnsi="Garamond" w:eastAsia="Garamond" w:cs="Garamond"/>
          <w:color w:val="000000" w:themeColor="text1"/>
          <w:sz w:val="28"/>
          <w:szCs w:val="28"/>
          <w:lang w:bidi="ar"/>
          <w14:textFill>
            <w14:solidFill>
              <w14:schemeClr w14:val="tx1"/>
            </w14:solidFill>
          </w14:textFill>
        </w:rPr>
        <w:t xml:space="preserve"> with diverse indicators of </w:t>
      </w:r>
      <w:r>
        <w:rPr>
          <w:rFonts w:hint="eastAsia" w:ascii="Garamond" w:hAnsi="Garamond"/>
          <w:color w:val="000000" w:themeColor="text1"/>
          <w:sz w:val="28"/>
          <w:szCs w:val="28"/>
          <w14:textFill>
            <w14:solidFill>
              <w14:schemeClr w14:val="tx1"/>
            </w14:solidFill>
          </w14:textFill>
        </w:rPr>
        <w:t>liver enzymes</w:t>
      </w:r>
      <w:r>
        <w:rPr>
          <w:rFonts w:ascii="Garamond" w:hAnsi="Garamond" w:eastAsia="Garamond" w:cs="Garamond"/>
          <w:color w:val="000000" w:themeColor="text1"/>
          <w:sz w:val="28"/>
          <w:szCs w:val="28"/>
          <w:lang w:bidi="ar"/>
          <w14:textFill>
            <w14:solidFill>
              <w14:schemeClr w14:val="tx1"/>
            </w14:solidFill>
          </w14:textFill>
        </w:rPr>
        <w:t xml:space="preserve"> for</w:t>
      </w:r>
      <w:r>
        <w:rPr>
          <w:rFonts w:hint="eastAsia" w:ascii="Garamond" w:hAnsi="Garamond" w:cs="Garamond"/>
          <w:color w:val="000000" w:themeColor="text1"/>
          <w:sz w:val="28"/>
          <w:szCs w:val="28"/>
          <w:lang w:bidi="ar"/>
          <w14:textFill>
            <w14:solidFill>
              <w14:schemeClr w14:val="tx1"/>
            </w14:solidFill>
          </w14:textFill>
        </w:rPr>
        <w:t xml:space="preserve"> </w:t>
      </w:r>
      <w:r>
        <w:rPr>
          <w:rFonts w:ascii="Garamond" w:hAnsi="Garamond"/>
          <w:color w:val="000000" w:themeColor="text1"/>
          <w:sz w:val="28"/>
          <w:szCs w:val="28"/>
          <w14:textFill>
            <w14:solidFill>
              <w14:schemeClr w14:val="tx1"/>
            </w14:solidFill>
          </w14:textFill>
        </w:rPr>
        <w:t>continuous exposure</w:t>
      </w:r>
      <w:r>
        <w:rPr>
          <w:rFonts w:hint="eastAsia" w:ascii="Garamond" w:hAnsi="Garamond"/>
          <w:color w:val="000000" w:themeColor="text1"/>
          <w:sz w:val="28"/>
          <w:szCs w:val="28"/>
          <w14:textFill>
            <w14:solidFill>
              <w14:schemeClr w14:val="tx1"/>
            </w14:solidFill>
          </w14:textFill>
        </w:rPr>
        <w:t>.</w:t>
      </w:r>
      <w:bookmarkEnd w:id="130"/>
    </w:p>
    <w:tbl>
      <w:tblPr>
        <w:tblStyle w:val="13"/>
        <w:tblW w:w="14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5"/>
        <w:gridCol w:w="3926"/>
        <w:gridCol w:w="5916"/>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
                <w:color w:val="000000" w:themeColor="text1"/>
                <w:sz w:val="28"/>
                <w:szCs w:val="28"/>
                <w14:textFill>
                  <w14:solidFill>
                    <w14:schemeClr w14:val="tx1"/>
                  </w14:solidFill>
                </w14:textFill>
              </w:rPr>
            </w:pPr>
            <w:r>
              <w:rPr>
                <w:rFonts w:ascii="Garamond" w:hAnsi="Garamond" w:eastAsia="Garamond" w:cs="Garamond"/>
                <w:b/>
                <w:color w:val="000000" w:themeColor="text1"/>
                <w:sz w:val="28"/>
                <w:szCs w:val="28"/>
                <w14:textFill>
                  <w14:solidFill>
                    <w14:schemeClr w14:val="tx1"/>
                  </w14:solidFill>
                </w14:textFill>
              </w:rPr>
              <w:t>P</w:t>
            </w:r>
            <w:r>
              <w:rPr>
                <w:rFonts w:hint="eastAsia" w:ascii="Garamond" w:hAnsi="Garamond" w:cs="Garamond"/>
                <w:b/>
                <w:color w:val="000000" w:themeColor="text1"/>
                <w:sz w:val="28"/>
                <w:szCs w:val="28"/>
                <w14:textFill>
                  <w14:solidFill>
                    <w14:schemeClr w14:val="tx1"/>
                  </w14:solidFill>
                </w14:textFill>
              </w:rPr>
              <w:t>FOA</w:t>
            </w:r>
            <w:r>
              <w:rPr>
                <w:rFonts w:ascii="Garamond" w:hAnsi="Garamond" w:eastAsia="Garamond" w:cs="Garamond"/>
                <w:b/>
                <w:color w:val="000000" w:themeColor="text1"/>
                <w:sz w:val="28"/>
                <w:szCs w:val="28"/>
                <w14:textFill>
                  <w14:solidFill>
                    <w14:schemeClr w14:val="tx1"/>
                  </w14:solidFill>
                </w14:textFill>
              </w:rPr>
              <w:t xml:space="preserve"> and </w:t>
            </w:r>
            <w:r>
              <w:rPr>
                <w:rFonts w:hint="eastAsia" w:ascii="Garamond" w:hAnsi="Garamond" w:eastAsia="Garamond" w:cs="Garamond"/>
                <w:b/>
                <w:color w:val="000000" w:themeColor="text1"/>
                <w:sz w:val="28"/>
                <w:szCs w:val="28"/>
                <w14:textFill>
                  <w14:solidFill>
                    <w14:schemeClr w14:val="tx1"/>
                  </w14:solidFill>
                </w14:textFill>
              </w:rPr>
              <w:t>liver enzymes</w:t>
            </w:r>
            <w:r>
              <w:rPr>
                <w:rFonts w:ascii="Garamond" w:hAnsi="Garamond" w:eastAsia="Garamond" w:cs="Garamond"/>
                <w:b/>
                <w:color w:val="000000" w:themeColor="text1"/>
                <w:sz w:val="28"/>
                <w:szCs w:val="28"/>
                <w14:textFill>
                  <w14:solidFill>
                    <w14:schemeClr w14:val="tx1"/>
                  </w14:solidFill>
                </w14:textFill>
              </w:rPr>
              <w:t xml:space="preserve"> indicators pairs</w:t>
            </w: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
                <w:color w:val="000000" w:themeColor="text1"/>
                <w:sz w:val="28"/>
                <w:szCs w:val="28"/>
                <w14:textFill>
                  <w14:solidFill>
                    <w14:schemeClr w14:val="tx1"/>
                  </w14:solidFill>
                </w14:textFill>
              </w:rPr>
            </w:pPr>
            <w:r>
              <w:rPr>
                <w:rFonts w:ascii="Garamond" w:hAnsi="Garamond" w:eastAsia="Garamond" w:cs="Garamond"/>
                <w:b/>
                <w:color w:val="000000" w:themeColor="text1"/>
                <w:sz w:val="28"/>
                <w:szCs w:val="28"/>
                <w14:textFill>
                  <w14:solidFill>
                    <w14:schemeClr w14:val="tx1"/>
                  </w14:solidFill>
                </w14:textFill>
              </w:rPr>
              <w:t>Study omitted</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
                <w:color w:val="000000" w:themeColor="text1"/>
                <w:sz w:val="28"/>
                <w:szCs w:val="28"/>
                <w14:textFill>
                  <w14:solidFill>
                    <w14:schemeClr w14:val="tx1"/>
                  </w14:solidFill>
                </w14:textFill>
              </w:rPr>
            </w:pPr>
            <w:r>
              <w:rPr>
                <w:rFonts w:ascii="Garamond" w:hAnsi="Garamond" w:eastAsia="Garamond" w:cs="Garamond"/>
                <w:b/>
                <w:color w:val="000000" w:themeColor="text1"/>
                <w:sz w:val="28"/>
                <w:szCs w:val="28"/>
                <w14:textFill>
                  <w14:solidFill>
                    <w14:schemeClr w14:val="tx1"/>
                  </w14:solidFill>
                </w14:textFill>
              </w:rPr>
              <w:t>P</w:t>
            </w:r>
            <w:r>
              <w:rPr>
                <w:rFonts w:hint="eastAsia" w:ascii="Garamond" w:hAnsi="Garamond" w:cs="Garamond"/>
                <w:b/>
                <w:color w:val="000000" w:themeColor="text1"/>
                <w:sz w:val="28"/>
                <w:szCs w:val="28"/>
                <w14:textFill>
                  <w14:solidFill>
                    <w14:schemeClr w14:val="tx1"/>
                  </w14:solidFill>
                </w14:textFill>
              </w:rPr>
              <w:t>FOA</w:t>
            </w:r>
            <w:r>
              <w:rPr>
                <w:rFonts w:ascii="Garamond" w:hAnsi="Garamond" w:eastAsia="Garamond" w:cs="Garamond"/>
                <w:b/>
                <w:color w:val="000000" w:themeColor="text1"/>
                <w:sz w:val="28"/>
                <w:szCs w:val="28"/>
                <w14:textFill>
                  <w14:solidFill>
                    <w14:schemeClr w14:val="tx1"/>
                  </w14:solidFill>
                </w14:textFill>
              </w:rPr>
              <w:t xml:space="preserve"> and </w:t>
            </w:r>
            <w:r>
              <w:rPr>
                <w:rFonts w:hint="eastAsia" w:ascii="Garamond" w:hAnsi="Garamond" w:eastAsia="Garamond" w:cs="Garamond"/>
                <w:b/>
                <w:color w:val="000000" w:themeColor="text1"/>
                <w:sz w:val="28"/>
                <w:szCs w:val="28"/>
                <w14:textFill>
                  <w14:solidFill>
                    <w14:schemeClr w14:val="tx1"/>
                  </w14:solidFill>
                </w14:textFill>
              </w:rPr>
              <w:t>liver enzymes</w:t>
            </w:r>
            <w:r>
              <w:rPr>
                <w:rFonts w:ascii="Garamond" w:hAnsi="Garamond" w:eastAsia="Garamond" w:cs="Garamond"/>
                <w:b/>
                <w:color w:val="000000" w:themeColor="text1"/>
                <w:sz w:val="28"/>
                <w:szCs w:val="28"/>
                <w14:textFill>
                  <w14:solidFill>
                    <w14:schemeClr w14:val="tx1"/>
                  </w14:solidFill>
                </w14:textFill>
              </w:rPr>
              <w:t xml:space="preserve"> indicators pairs</w:t>
            </w:r>
          </w:p>
        </w:tc>
        <w:tc>
          <w:tcPr>
            <w:tcW w:w="1862"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
                <w:color w:val="000000" w:themeColor="text1"/>
                <w:sz w:val="28"/>
                <w:szCs w:val="28"/>
                <w14:textFill>
                  <w14:solidFill>
                    <w14:schemeClr w14:val="tx1"/>
                  </w14:solidFill>
                </w14:textFill>
              </w:rPr>
            </w:pPr>
            <w:r>
              <w:rPr>
                <w:rFonts w:ascii="Garamond" w:hAnsi="Garamond" w:eastAsia="Garamond" w:cs="Garamond"/>
                <w:b/>
                <w:color w:val="000000" w:themeColor="text1"/>
                <w:sz w:val="28"/>
                <w:szCs w:val="28"/>
                <w14:textFill>
                  <w14:solidFill>
                    <w14:schemeClr w14:val="tx1"/>
                  </w14:solidFill>
                </w14:textFill>
              </w:rPr>
              <w:t>Study omitted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14199"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ascii="Garamond" w:hAnsi="Garamond" w:cs="Garamond"/>
                <w:b/>
                <w:color w:val="000000" w:themeColor="text1"/>
                <w:sz w:val="28"/>
                <w:szCs w:val="28"/>
                <w14:textFill>
                  <w14:solidFill>
                    <w14:schemeClr w14:val="tx1"/>
                  </w14:solidFill>
                </w14:textFill>
              </w:rPr>
              <w:t>ALT(U/L)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eastAsiaTheme="minorEastAsia"/>
                <w:bCs/>
                <w:color w:val="000000" w:themeColor="text1"/>
                <w:sz w:val="28"/>
                <w:szCs w:val="28"/>
                <w14:textFill>
                  <w14:solidFill>
                    <w14:schemeClr w14:val="tx1"/>
                  </w14:solidFill>
                </w14:textFill>
              </w:rPr>
              <w:t>PFOA</w:t>
            </w: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Lyndsey A. Darrow 2016</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0.008 (-0.020, 0.035)</w:t>
            </w:r>
          </w:p>
        </w:tc>
        <w:tc>
          <w:tcPr>
            <w:tcW w:w="1862"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eastAsiaTheme="minorEastAsia"/>
                <w:bCs/>
                <w:color w:val="000000" w:themeColor="text1"/>
                <w:sz w:val="28"/>
                <w:szCs w:val="28"/>
                <w14:textFill>
                  <w14:solidFill>
                    <w14:schemeClr w14:val="tx1"/>
                  </w14:solidFill>
                </w14:textFill>
              </w:rPr>
              <w:t>0.939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Min Nian 2019</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0.009 (-0.001, 0.020)</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2007</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0.008 (-0.004, 0.020)</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2012|</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0.012 (0.001, 0.023)</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Jianshe Wang 2012</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
                <w:color w:val="000000" w:themeColor="text1"/>
                <w:sz w:val="28"/>
                <w:szCs w:val="28"/>
                <w14:textFill>
                  <w14:solidFill>
                    <w14:schemeClr w14:val="tx1"/>
                  </w14:solidFill>
                </w14:textFill>
              </w:rPr>
            </w:pPr>
            <w:r>
              <w:rPr>
                <w:rFonts w:hint="eastAsia" w:ascii="Garamond" w:hAnsi="Garamond" w:cs="Garamond" w:eastAsiaTheme="minorEastAsia"/>
                <w:b/>
                <w:color w:val="000000" w:themeColor="text1"/>
                <w:sz w:val="28"/>
                <w:szCs w:val="28"/>
                <w14:textFill>
                  <w14:solidFill>
                    <w14:schemeClr w14:val="tx1"/>
                  </w14:solidFill>
                </w14:textFill>
              </w:rPr>
              <w:t>0.013 (0.004, 0.022)</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Ana M. Mora 2018</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
                <w:color w:val="000000" w:themeColor="text1"/>
                <w:sz w:val="28"/>
                <w:szCs w:val="28"/>
                <w14:textFill>
                  <w14:solidFill>
                    <w14:schemeClr w14:val="tx1"/>
                  </w14:solidFill>
                </w14:textFill>
              </w:rPr>
            </w:pPr>
            <w:r>
              <w:rPr>
                <w:rFonts w:hint="eastAsia" w:ascii="Garamond" w:hAnsi="Garamond" w:cs="Garamond" w:eastAsiaTheme="minorEastAsia"/>
                <w:b/>
                <w:color w:val="000000" w:themeColor="text1"/>
                <w:sz w:val="28"/>
                <w:szCs w:val="28"/>
                <w14:textFill>
                  <w14:solidFill>
                    <w14:schemeClr w14:val="tx1"/>
                  </w14:solidFill>
                </w14:textFill>
              </w:rPr>
              <w:t>0.012 (0.001, 0.023)</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Geary W. Olsen 2000</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0.013 (-0.012, 0.037)</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4199" w:type="dxa"/>
            <w:gridSpan w:val="4"/>
            <w:shd w:val="clear" w:color="auto" w:fill="D8D8D8" w:themeFill="background1" w:themeFillShade="D9"/>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b/>
                <w:color w:val="000000" w:themeColor="text1"/>
                <w:sz w:val="28"/>
                <w:szCs w:val="28"/>
                <w14:textFill>
                  <w14:solidFill>
                    <w14:schemeClr w14:val="tx1"/>
                  </w14:solidFill>
                </w14:textFill>
              </w:rPr>
              <w:t>AST(U/L)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eastAsiaTheme="minorEastAsia"/>
                <w:bCs/>
                <w:color w:val="000000" w:themeColor="text1"/>
                <w:sz w:val="28"/>
                <w:szCs w:val="28"/>
                <w14:textFill>
                  <w14:solidFill>
                    <w14:schemeClr w14:val="tx1"/>
                  </w14:solidFill>
                </w14:textFill>
              </w:rPr>
              <w:t>PFOA</w:t>
            </w: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Min Nian 2019</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0.064 (-0.010, 0.138)</w:t>
            </w:r>
          </w:p>
        </w:tc>
        <w:tc>
          <w:tcPr>
            <w:tcW w:w="1862"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0.060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2007</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0.036 (-0.002, 0.074)</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2012</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Cs/>
                <w:color w:val="000000" w:themeColor="text1"/>
                <w:sz w:val="28"/>
                <w:szCs w:val="28"/>
                <w14:textFill>
                  <w14:solidFill>
                    <w14:schemeClr w14:val="tx1"/>
                  </w14:solidFill>
                </w14:textFill>
              </w:rPr>
            </w:pPr>
            <w:r>
              <w:rPr>
                <w:rFonts w:hint="eastAsia" w:ascii="Garamond" w:hAnsi="Garamond" w:cs="Garamond"/>
                <w:bCs/>
                <w:color w:val="000000" w:themeColor="text1"/>
                <w:sz w:val="28"/>
                <w:szCs w:val="28"/>
                <w14:textFill>
                  <w14:solidFill>
                    <w14:schemeClr w14:val="tx1"/>
                  </w14:solidFill>
                </w14:textFill>
              </w:rPr>
              <w:t>0</w:t>
            </w:r>
            <w:r>
              <w:rPr>
                <w:rFonts w:hint="eastAsia" w:ascii="Garamond" w:hAnsi="Garamond" w:eastAsia="Garamond" w:cs="Garamond"/>
                <w:bCs/>
                <w:color w:val="000000" w:themeColor="text1"/>
                <w:sz w:val="28"/>
                <w:szCs w:val="28"/>
                <w14:textFill>
                  <w14:solidFill>
                    <w14:schemeClr w14:val="tx1"/>
                  </w14:solidFill>
                </w14:textFill>
              </w:rPr>
              <w:t>.04</w:t>
            </w:r>
            <w:r>
              <w:rPr>
                <w:rFonts w:hint="eastAsia" w:ascii="Garamond" w:hAnsi="Garamond" w:cs="Garamond"/>
                <w:bCs/>
                <w:color w:val="000000" w:themeColor="text1"/>
                <w:sz w:val="28"/>
                <w:szCs w:val="28"/>
                <w14:textFill>
                  <w14:solidFill>
                    <w14:schemeClr w14:val="tx1"/>
                  </w14:solidFill>
                </w14:textFill>
              </w:rPr>
              <w:t>1 (</w:t>
            </w:r>
            <w:r>
              <w:rPr>
                <w:rFonts w:hint="eastAsia" w:ascii="Garamond" w:hAnsi="Garamond" w:eastAsia="Garamond" w:cs="Garamond"/>
                <w:bCs/>
                <w:color w:val="000000" w:themeColor="text1"/>
                <w:sz w:val="28"/>
                <w:szCs w:val="28"/>
                <w14:textFill>
                  <w14:solidFill>
                    <w14:schemeClr w14:val="tx1"/>
                  </w14:solidFill>
                </w14:textFill>
              </w:rPr>
              <w:t>-</w:t>
            </w:r>
            <w:r>
              <w:rPr>
                <w:rFonts w:hint="eastAsia" w:ascii="Garamond" w:hAnsi="Garamond" w:cs="Garamond"/>
                <w:bCs/>
                <w:color w:val="000000" w:themeColor="text1"/>
                <w:sz w:val="28"/>
                <w:szCs w:val="28"/>
                <w14:textFill>
                  <w14:solidFill>
                    <w14:schemeClr w14:val="tx1"/>
                  </w14:solidFill>
                </w14:textFill>
              </w:rPr>
              <w:t>0</w:t>
            </w:r>
            <w:r>
              <w:rPr>
                <w:rFonts w:hint="eastAsia" w:ascii="Garamond" w:hAnsi="Garamond" w:eastAsia="Garamond" w:cs="Garamond"/>
                <w:bCs/>
                <w:color w:val="000000" w:themeColor="text1"/>
                <w:sz w:val="28"/>
                <w:szCs w:val="28"/>
                <w14:textFill>
                  <w14:solidFill>
                    <w14:schemeClr w14:val="tx1"/>
                  </w14:solidFill>
                </w14:textFill>
              </w:rPr>
              <w:t>.002</w:t>
            </w:r>
            <w:r>
              <w:rPr>
                <w:rFonts w:hint="eastAsia" w:ascii="Garamond" w:hAnsi="Garamond" w:cs="Garamond"/>
                <w:bCs/>
                <w:color w:val="000000" w:themeColor="text1"/>
                <w:sz w:val="28"/>
                <w:szCs w:val="28"/>
                <w14:textFill>
                  <w14:solidFill>
                    <w14:schemeClr w14:val="tx1"/>
                  </w14:solidFill>
                </w14:textFill>
              </w:rPr>
              <w:t>, 0</w:t>
            </w:r>
            <w:r>
              <w:rPr>
                <w:rFonts w:hint="eastAsia" w:ascii="Garamond" w:hAnsi="Garamond" w:eastAsia="Garamond" w:cs="Garamond"/>
                <w:bCs/>
                <w:color w:val="000000" w:themeColor="text1"/>
                <w:sz w:val="28"/>
                <w:szCs w:val="28"/>
                <w14:textFill>
                  <w14:solidFill>
                    <w14:schemeClr w14:val="tx1"/>
                  </w14:solidFill>
                </w14:textFill>
              </w:rPr>
              <w:t>.084</w:t>
            </w:r>
            <w:r>
              <w:rPr>
                <w:rFonts w:hint="eastAsia" w:ascii="Garamond" w:hAnsi="Garamond" w:cs="Garamond"/>
                <w:bCs/>
                <w:color w:val="000000" w:themeColor="text1"/>
                <w:sz w:val="28"/>
                <w:szCs w:val="28"/>
                <w14:textFill>
                  <w14:solidFill>
                    <w14:schemeClr w14:val="tx1"/>
                  </w14:solidFill>
                </w14:textFill>
              </w:rPr>
              <w:t>)</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Jianshe Wang 2012</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b/>
                <w:bCs/>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0.015 (-0.007, 0.037)</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Edward Anthony Emmett 2006</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0.047 (0.005, 0.089)</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2000</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0.069 (0.003, 0.135)</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4199" w:type="dxa"/>
            <w:gridSpan w:val="4"/>
            <w:shd w:val="clear" w:color="auto" w:fill="D8D8D8" w:themeFill="background1" w:themeFillShade="D9"/>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b/>
                <w:color w:val="000000" w:themeColor="text1"/>
                <w:sz w:val="28"/>
                <w:szCs w:val="28"/>
                <w14:textFill>
                  <w14:solidFill>
                    <w14:schemeClr w14:val="tx1"/>
                  </w14:solidFill>
                </w14:textFill>
              </w:rPr>
              <w:t>GGT(U/L)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eastAsiaTheme="minorEastAsia"/>
                <w:bCs/>
                <w:color w:val="000000" w:themeColor="text1"/>
                <w:sz w:val="28"/>
                <w:szCs w:val="28"/>
                <w14:textFill>
                  <w14:solidFill>
                    <w14:schemeClr w14:val="tx1"/>
                  </w14:solidFill>
                </w14:textFill>
              </w:rPr>
              <w:t>PFOA</w:t>
            </w: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Lyndsey A. Darrow 2016</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0.039 (0.001, 0.077)</w:t>
            </w:r>
          </w:p>
        </w:tc>
        <w:tc>
          <w:tcPr>
            <w:tcW w:w="1862"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 xml:space="preserve"> 0.063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Chien-Yu Lin 2010 |</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0.008 (0.001, 0.017)</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Min Nian 2019</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0.004 (-0.001, 0.010)</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2007</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0.008 (-0.002, 0.018)</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Edward Anthony Emmett 2006</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0.011 (0.001, 0.021)</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2000</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0.039 (0.002, 0.077)</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14199" w:type="dxa"/>
            <w:gridSpan w:val="4"/>
            <w:shd w:val="clear" w:color="auto" w:fill="D8D8D8" w:themeFill="background1" w:themeFillShade="D9"/>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b/>
                <w:color w:val="000000" w:themeColor="text1"/>
                <w:sz w:val="28"/>
                <w:szCs w:val="28"/>
                <w14:textFill>
                  <w14:solidFill>
                    <w14:schemeClr w14:val="tx1"/>
                  </w14:solidFill>
                </w14:textFill>
              </w:rPr>
              <w:t>ALP(U/L)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ascii="Garamond" w:hAnsi="Garamond" w:cs="Garamond" w:eastAsiaTheme="minorEastAsia"/>
                <w:bCs/>
                <w:color w:val="000000" w:themeColor="text1"/>
                <w:sz w:val="28"/>
                <w:szCs w:val="28"/>
                <w14:textFill>
                  <w14:solidFill>
                    <w14:schemeClr w14:val="tx1"/>
                  </w14:solidFill>
                </w14:textFill>
              </w:rPr>
              <w:t>PFOA</w:t>
            </w: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Min Nian 2019</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b/>
                <w:bCs/>
                <w:color w:val="000000" w:themeColor="text1"/>
                <w:sz w:val="28"/>
                <w:szCs w:val="28"/>
                <w14:textFill>
                  <w14:solidFill>
                    <w14:schemeClr w14:val="tx1"/>
                  </w14:solidFill>
                </w14:textFill>
              </w:rPr>
            </w:pPr>
            <w:r>
              <w:rPr>
                <w:rFonts w:hint="eastAsia" w:ascii="Garamond" w:hAnsi="Garamond"/>
                <w:b/>
                <w:bCs/>
                <w:color w:val="000000" w:themeColor="text1"/>
                <w:sz w:val="28"/>
                <w:szCs w:val="28"/>
                <w14:textFill>
                  <w14:solidFill>
                    <w14:schemeClr w14:val="tx1"/>
                  </w14:solidFill>
                </w14:textFill>
              </w:rPr>
              <w:t>0.007 (0.003, 0.012)</w:t>
            </w:r>
          </w:p>
        </w:tc>
        <w:tc>
          <w:tcPr>
            <w:tcW w:w="1862" w:type="dxa"/>
            <w:vMerge w:val="restart"/>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r>
              <w:rPr>
                <w:rFonts w:hint="eastAsia" w:ascii="Garamond" w:hAnsi="Garamond" w:cs="Garamond" w:eastAsiaTheme="minorEastAsia"/>
                <w:bCs/>
                <w:color w:val="000000" w:themeColor="text1"/>
                <w:sz w:val="28"/>
                <w:szCs w:val="28"/>
                <w14:textFill>
                  <w14:solidFill>
                    <w14:schemeClr w14:val="tx1"/>
                  </w14:solidFill>
                </w14:textFill>
              </w:rPr>
              <w:t xml:space="preserve"> 0.303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2012</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0.004 (-0.006, 0.015)</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eastAsia="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Edward Anthony Emmett 2006</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0.003 (-0.010, 0.016)</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trPr>
        <w:tc>
          <w:tcPr>
            <w:tcW w:w="2495"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c>
          <w:tcPr>
            <w:tcW w:w="392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Geary W. Olsen 2000|</w:t>
            </w:r>
          </w:p>
        </w:tc>
        <w:tc>
          <w:tcPr>
            <w:tcW w:w="5916" w:type="dxa"/>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olor w:val="000000" w:themeColor="text1"/>
                <w:sz w:val="28"/>
                <w:szCs w:val="28"/>
                <w14:textFill>
                  <w14:solidFill>
                    <w14:schemeClr w14:val="tx1"/>
                  </w14:solidFill>
                </w14:textFill>
              </w:rPr>
            </w:pPr>
            <w:r>
              <w:rPr>
                <w:rFonts w:hint="eastAsia" w:ascii="Garamond" w:hAnsi="Garamond"/>
                <w:color w:val="000000" w:themeColor="text1"/>
                <w:sz w:val="28"/>
                <w:szCs w:val="28"/>
                <w14:textFill>
                  <w14:solidFill>
                    <w14:schemeClr w14:val="tx1"/>
                  </w14:solidFill>
                </w14:textFill>
              </w:rPr>
              <w:t>-0.011 (-0.034, 0.011)</w:t>
            </w:r>
          </w:p>
        </w:tc>
        <w:tc>
          <w:tcPr>
            <w:tcW w:w="1862" w:type="dxa"/>
            <w:vMerge w:val="continue"/>
            <w:vAlign w:val="center"/>
          </w:tcPr>
          <w:p>
            <w:pPr>
              <w:pStyle w:val="7"/>
              <w:widowControl w:val="0"/>
              <w:autoSpaceDE w:val="0"/>
              <w:autoSpaceDN w:val="0"/>
              <w:adjustRightInd w:val="0"/>
              <w:snapToGrid w:val="0"/>
              <w:spacing w:before="0" w:beforeAutospacing="0" w:after="0" w:afterAutospacing="0" w:line="360" w:lineRule="auto"/>
              <w:jc w:val="center"/>
              <w:rPr>
                <w:rFonts w:ascii="Garamond" w:hAnsi="Garamond" w:cs="Garamond" w:eastAsiaTheme="minorEastAsia"/>
                <w:bCs/>
                <w:color w:val="000000" w:themeColor="text1"/>
                <w:sz w:val="28"/>
                <w:szCs w:val="28"/>
                <w14:textFill>
                  <w14:solidFill>
                    <w14:schemeClr w14:val="tx1"/>
                  </w14:solidFill>
                </w14:textFill>
              </w:rPr>
            </w:pPr>
          </w:p>
        </w:tc>
      </w:tr>
    </w:tbl>
    <w:p>
      <w:pPr>
        <w:spacing w:line="360" w:lineRule="auto"/>
        <w:rPr>
          <w:color w:val="000000" w:themeColor="text1"/>
          <w14:textFill>
            <w14:solidFill>
              <w14:schemeClr w14:val="tx1"/>
            </w14:solidFill>
          </w14:textFill>
        </w:rPr>
      </w:pPr>
    </w:p>
    <w:p>
      <w:pPr>
        <w:spacing w:line="360" w:lineRule="auto"/>
        <w:rPr>
          <w:rFonts w:ascii="Garamond" w:hAnsi="Garamond" w:eastAsia="DengXian"/>
          <w:b/>
          <w:bCs/>
          <w:color w:val="000000" w:themeColor="text1"/>
          <w:sz w:val="28"/>
          <w:szCs w:val="28"/>
          <w14:textFill>
            <w14:solidFill>
              <w14:schemeClr w14:val="tx1"/>
            </w14:solidFill>
          </w14:textFill>
        </w:rPr>
      </w:pPr>
    </w:p>
    <w:p>
      <w:pPr>
        <w:rPr>
          <w:rFonts w:ascii="Garamond" w:hAnsi="Garamond" w:eastAsia="DengXian"/>
          <w:b/>
          <w:bCs/>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br w:type="page"/>
      </w:r>
    </w:p>
    <w:p>
      <w:pPr>
        <w:spacing w:line="360" w:lineRule="auto"/>
        <w:rPr>
          <w:rFonts w:ascii="Garamond" w:hAnsi="Garamond" w:eastAsia="DengXian"/>
          <w:color w:val="000000" w:themeColor="text1"/>
          <w:sz w:val="28"/>
          <w:szCs w:val="28"/>
          <w14:textFill>
            <w14:solidFill>
              <w14:schemeClr w14:val="tx1"/>
            </w14:solidFill>
          </w14:textFill>
        </w:rPr>
      </w:pPr>
      <w:r>
        <w:rPr>
          <w:rFonts w:hint="eastAsia" w:ascii="Garamond" w:hAnsi="Garamond" w:eastAsia="DengXian"/>
          <w:b/>
          <w:bCs/>
          <w:color w:val="000000" w:themeColor="text1"/>
          <w:sz w:val="28"/>
          <w:szCs w:val="28"/>
          <w14:textFill>
            <w14:solidFill>
              <w14:schemeClr w14:val="tx1"/>
            </w14:solidFill>
          </w14:textFill>
        </w:rPr>
        <w:t>T</w:t>
      </w:r>
      <w:r>
        <w:rPr>
          <w:rFonts w:ascii="Garamond" w:hAnsi="Garamond" w:eastAsia="DengXian"/>
          <w:b/>
          <w:bCs/>
          <w:color w:val="000000" w:themeColor="text1"/>
          <w:sz w:val="28"/>
          <w:szCs w:val="28"/>
          <w14:textFill>
            <w14:solidFill>
              <w14:schemeClr w14:val="tx1"/>
            </w14:solidFill>
          </w14:textFill>
        </w:rPr>
        <w:t>able S</w:t>
      </w:r>
      <w:r>
        <w:rPr>
          <w:rFonts w:hint="eastAsia" w:ascii="Garamond" w:hAnsi="Garamond" w:eastAsia="DengXian"/>
          <w:b/>
          <w:bCs/>
          <w:color w:val="000000" w:themeColor="text1"/>
          <w:sz w:val="28"/>
          <w:szCs w:val="28"/>
          <w14:textFill>
            <w14:solidFill>
              <w14:schemeClr w14:val="tx1"/>
            </w14:solidFill>
          </w14:textFill>
        </w:rPr>
        <w:t>7</w:t>
      </w:r>
      <w:r>
        <w:rPr>
          <w:rFonts w:ascii="Garamond" w:hAnsi="Garamond" w:eastAsia="DengXian"/>
          <w:b/>
          <w:bCs/>
          <w:color w:val="000000" w:themeColor="text1"/>
          <w:sz w:val="28"/>
          <w:szCs w:val="28"/>
          <w14:textFill>
            <w14:solidFill>
              <w14:schemeClr w14:val="tx1"/>
            </w14:solidFill>
          </w14:textFill>
        </w:rPr>
        <w:t>.</w:t>
      </w:r>
      <w:bookmarkStart w:id="131" w:name="OLE_LINK16"/>
      <w:r>
        <w:rPr>
          <w:rFonts w:ascii="Garamond" w:hAnsi="Garamond" w:eastAsia="DengXian"/>
          <w:b/>
          <w:bCs/>
          <w:color w:val="000000" w:themeColor="text1"/>
          <w:sz w:val="28"/>
          <w:szCs w:val="28"/>
          <w14:textFill>
            <w14:solidFill>
              <w14:schemeClr w14:val="tx1"/>
            </w14:solidFill>
          </w14:textFill>
        </w:rPr>
        <w:t xml:space="preserve"> </w:t>
      </w:r>
      <w:r>
        <w:rPr>
          <w:rFonts w:ascii="Garamond" w:hAnsi="Garamond" w:eastAsia="DengXian"/>
          <w:color w:val="000000" w:themeColor="text1"/>
          <w:sz w:val="28"/>
          <w:szCs w:val="28"/>
          <w14:textFill>
            <w14:solidFill>
              <w14:schemeClr w14:val="tx1"/>
            </w14:solidFill>
          </w14:textFill>
        </w:rPr>
        <w:t>Confidence in the body of evidence and level of evidence</w:t>
      </w:r>
      <w:bookmarkEnd w:id="131"/>
      <w:r>
        <w:rPr>
          <w:rFonts w:ascii="Garamond" w:hAnsi="Garamond" w:eastAsia="DengXian"/>
          <w:color w:val="000000" w:themeColor="text1"/>
          <w:sz w:val="28"/>
          <w:szCs w:val="28"/>
          <w14:textFill>
            <w14:solidFill>
              <w14:schemeClr w14:val="tx1"/>
            </w14:solidFill>
          </w14:textFill>
        </w:rPr>
        <w:t xml:space="preserve"> for each exposure-outcome combination. </w:t>
      </w:r>
    </w:p>
    <w:tbl>
      <w:tblPr>
        <w:tblStyle w:val="12"/>
        <w:tblW w:w="16585" w:type="dxa"/>
        <w:tblInd w:w="-1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2"/>
        <w:gridCol w:w="967"/>
        <w:gridCol w:w="967"/>
        <w:gridCol w:w="967"/>
        <w:gridCol w:w="967"/>
        <w:gridCol w:w="969"/>
        <w:gridCol w:w="1044"/>
        <w:gridCol w:w="1044"/>
        <w:gridCol w:w="1044"/>
        <w:gridCol w:w="1046"/>
        <w:gridCol w:w="2175"/>
        <w:gridCol w:w="1443"/>
      </w:tblGrid>
      <w:tr>
        <w:tc>
          <w:tcPr>
            <w:tcW w:w="3952" w:type="dxa"/>
            <w:vAlign w:val="center"/>
          </w:tcPr>
          <w:p>
            <w:pPr>
              <w:pStyle w:val="19"/>
              <w:spacing w:line="360" w:lineRule="auto"/>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b/>
                <w:bCs/>
                <w:color w:val="000000" w:themeColor="text1"/>
                <w:sz w:val="28"/>
                <w:szCs w:val="28"/>
                <w:lang w:val="en-US" w:eastAsia="zh-CN"/>
                <w14:textFill>
                  <w14:solidFill>
                    <w14:schemeClr w14:val="tx1"/>
                  </w14:solidFill>
                </w14:textFill>
              </w:rPr>
              <w:t>Exposure–Outcome Combination</w:t>
            </w:r>
          </w:p>
        </w:tc>
        <w:tc>
          <w:tcPr>
            <w:tcW w:w="4837" w:type="dxa"/>
            <w:gridSpan w:val="5"/>
            <w:vAlign w:val="center"/>
          </w:tcPr>
          <w:p>
            <w:pPr>
              <w:pStyle w:val="19"/>
              <w:spacing w:line="360" w:lineRule="auto"/>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b/>
                <w:bCs/>
                <w:color w:val="000000" w:themeColor="text1"/>
                <w:sz w:val="28"/>
                <w:szCs w:val="28"/>
                <w:lang w:val="en-US" w:eastAsia="zh-CN"/>
                <w14:textFill>
                  <w14:solidFill>
                    <w14:schemeClr w14:val="tx1"/>
                  </w14:solidFill>
                </w14:textFill>
              </w:rPr>
              <w:t>Factors Decreasing Confidence</w:t>
            </w:r>
          </w:p>
          <w:p>
            <w:pPr>
              <w:pStyle w:val="19"/>
              <w:spacing w:line="360" w:lineRule="auto"/>
              <w:jc w:val="both"/>
              <w:rPr>
                <w:b/>
                <w:bCs/>
                <w:color w:val="000000" w:themeColor="text1"/>
                <w:sz w:val="28"/>
                <w:szCs w:val="28"/>
                <w:lang w:val="en-US" w:eastAsia="zh-CN"/>
                <w14:textFill>
                  <w14:solidFill>
                    <w14:schemeClr w14:val="tx1"/>
                  </w14:solidFill>
                </w14:textFill>
              </w:rPr>
            </w:pPr>
            <w:r>
              <w:rPr>
                <w:rFonts w:hint="eastAsia" w:ascii="Garamond" w:hAnsi="Garamond"/>
                <w:b/>
                <w:bCs/>
                <w:color w:val="000000" w:themeColor="text1"/>
                <w:sz w:val="28"/>
                <w:szCs w:val="28"/>
                <w:lang w:val="en-US" w:eastAsia="zh-CN"/>
                <w14:textFill>
                  <w14:solidFill>
                    <w14:schemeClr w14:val="tx1"/>
                  </w14:solidFill>
                </w14:textFill>
              </w:rPr>
              <w:t>“</w:t>
            </w:r>
            <w:bookmarkStart w:id="132" w:name="OLE_LINK29"/>
            <w:bookmarkStart w:id="133" w:name="OLE_LINK28"/>
            <w:r>
              <w:rPr>
                <w:rFonts w:hint="eastAsia" w:ascii="Garamond" w:hAnsi="Garamond"/>
                <w:b/>
                <w:bCs/>
                <w:color w:val="000000" w:themeColor="text1"/>
                <w:sz w:val="28"/>
                <w:szCs w:val="28"/>
                <w:lang w:val="en-US" w:eastAsia="zh-CN"/>
                <w14:textFill>
                  <w14:solidFill>
                    <w14:schemeClr w14:val="tx1"/>
                  </w14:solidFill>
                </w14:textFill>
              </w:rPr>
              <w:t>---</w:t>
            </w:r>
            <w:bookmarkEnd w:id="132"/>
            <w:bookmarkEnd w:id="133"/>
            <w:r>
              <w:rPr>
                <w:rFonts w:hint="eastAsia" w:ascii="Garamond" w:hAnsi="Garamond"/>
                <w:b/>
                <w:bCs/>
                <w:color w:val="000000" w:themeColor="text1"/>
                <w:sz w:val="28"/>
                <w:szCs w:val="28"/>
                <w:lang w:val="en-US" w:eastAsia="zh-CN"/>
                <w14:textFill>
                  <w14:solidFill>
                    <w14:schemeClr w14:val="tx1"/>
                  </w14:solidFill>
                </w14:textFill>
              </w:rPr>
              <w:t>” If No Concern; “</w:t>
            </w:r>
            <w:r>
              <w:rPr>
                <w:rFonts w:ascii="Symbol" w:hAnsi="Symbol"/>
                <w:b/>
                <w:bCs/>
                <w:color w:val="000000" w:themeColor="text1"/>
                <w:sz w:val="28"/>
                <w:szCs w:val="28"/>
                <w:lang w:val="en-US" w:eastAsia="zh-CN"/>
                <w14:textFill>
                  <w14:solidFill>
                    <w14:schemeClr w14:val="tx1"/>
                  </w14:solidFill>
                </w14:textFill>
              </w:rPr>
              <w:t>¯</w:t>
            </w:r>
            <w:r>
              <w:rPr>
                <w:rFonts w:hint="eastAsia" w:ascii="Garamond" w:hAnsi="Garamond"/>
                <w:b/>
                <w:bCs/>
                <w:color w:val="000000" w:themeColor="text1"/>
                <w:sz w:val="28"/>
                <w:szCs w:val="28"/>
                <w:lang w:val="en-US" w:eastAsia="zh-CN"/>
                <w14:textFill>
                  <w14:solidFill>
                    <w14:schemeClr w14:val="tx1"/>
                  </w14:solidFill>
                </w14:textFill>
              </w:rPr>
              <w:t>” If Serious Concern to Downgrade Confidence</w:t>
            </w:r>
          </w:p>
        </w:tc>
        <w:tc>
          <w:tcPr>
            <w:tcW w:w="4178" w:type="dxa"/>
            <w:gridSpan w:val="4"/>
            <w:vAlign w:val="center"/>
          </w:tcPr>
          <w:p>
            <w:pPr>
              <w:pStyle w:val="19"/>
              <w:spacing w:line="360" w:lineRule="auto"/>
              <w:jc w:val="both"/>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b/>
                <w:bCs/>
                <w:color w:val="000000" w:themeColor="text1"/>
                <w:sz w:val="28"/>
                <w:szCs w:val="28"/>
                <w:lang w:val="en-US" w:eastAsia="zh-CN"/>
                <w14:textFill>
                  <w14:solidFill>
                    <w14:schemeClr w14:val="tx1"/>
                  </w14:solidFill>
                </w14:textFill>
              </w:rPr>
              <w:t>Factors Increasing Confidence</w:t>
            </w:r>
          </w:p>
          <w:p>
            <w:pPr>
              <w:pStyle w:val="19"/>
              <w:spacing w:line="360" w:lineRule="auto"/>
              <w:jc w:val="both"/>
              <w:rPr>
                <w:b/>
                <w:bCs/>
                <w:color w:val="000000" w:themeColor="text1"/>
                <w:sz w:val="28"/>
                <w:szCs w:val="28"/>
                <w:lang w:val="en-US" w:eastAsia="zh-CN"/>
                <w14:textFill>
                  <w14:solidFill>
                    <w14:schemeClr w14:val="tx1"/>
                  </w14:solidFill>
                </w14:textFill>
              </w:rPr>
            </w:pPr>
            <w:r>
              <w:rPr>
                <w:rFonts w:hint="eastAsia" w:ascii="Garamond" w:hAnsi="Garamond"/>
                <w:b/>
                <w:bCs/>
                <w:color w:val="000000" w:themeColor="text1"/>
                <w:sz w:val="28"/>
                <w:szCs w:val="28"/>
                <w:lang w:val="en-US" w:eastAsia="zh-CN"/>
                <w14:textFill>
                  <w14:solidFill>
                    <w14:schemeClr w14:val="tx1"/>
                  </w14:solidFill>
                </w14:textFill>
              </w:rPr>
              <w:t>“---” If Not Present;</w:t>
            </w:r>
            <w:r>
              <w:rPr>
                <w:rFonts w:hint="eastAsia"/>
                <w:b/>
                <w:bCs/>
                <w:color w:val="000000" w:themeColor="text1"/>
                <w:sz w:val="28"/>
                <w:szCs w:val="28"/>
                <w:lang w:val="en-US" w:eastAsia="zh-CN"/>
                <w14:textFill>
                  <w14:solidFill>
                    <w14:schemeClr w14:val="tx1"/>
                  </w14:solidFill>
                </w14:textFill>
              </w:rPr>
              <w:t xml:space="preserve"> </w:t>
            </w:r>
            <w:r>
              <w:rPr>
                <w:rFonts w:hint="eastAsia" w:ascii="Garamond" w:hAnsi="Garamond"/>
                <w:b/>
                <w:bCs/>
                <w:color w:val="000000" w:themeColor="text1"/>
                <w:sz w:val="28"/>
                <w:szCs w:val="28"/>
                <w:lang w:val="en-US" w:eastAsia="zh-CN"/>
                <w14:textFill>
                  <w14:solidFill>
                    <w14:schemeClr w14:val="tx1"/>
                  </w14:solidFill>
                </w14:textFill>
              </w:rPr>
              <w:t>“</w:t>
            </w:r>
            <w:r>
              <w:rPr>
                <w:rFonts w:hint="eastAsia" w:ascii="Symbol" w:hAnsi="Symbol"/>
                <w:b/>
                <w:bCs/>
                <w:color w:val="000000" w:themeColor="text1"/>
                <w:sz w:val="28"/>
                <w:szCs w:val="28"/>
                <w:lang w:val="en-US" w:eastAsia="zh-CN"/>
                <w14:textFill>
                  <w14:solidFill>
                    <w14:schemeClr w14:val="tx1"/>
                  </w14:solidFill>
                </w14:textFill>
              </w:rPr>
              <w:sym w:font="Symbol" w:char="F0AD"/>
            </w:r>
            <w:r>
              <w:rPr>
                <w:rFonts w:hint="eastAsia" w:ascii="Garamond" w:hAnsi="Garamond"/>
                <w:b/>
                <w:bCs/>
                <w:color w:val="000000" w:themeColor="text1"/>
                <w:sz w:val="28"/>
                <w:szCs w:val="28"/>
                <w:lang w:val="en-US" w:eastAsia="zh-CN"/>
                <w14:textFill>
                  <w14:solidFill>
                    <w14:schemeClr w14:val="tx1"/>
                  </w14:solidFill>
                </w14:textFill>
              </w:rPr>
              <w:t>”</w:t>
            </w:r>
            <w:r>
              <w:rPr>
                <w:rFonts w:hint="eastAsia"/>
                <w:b/>
                <w:bCs/>
                <w:color w:val="000000" w:themeColor="text1"/>
                <w:sz w:val="28"/>
                <w:szCs w:val="28"/>
                <w:lang w:val="en-US" w:eastAsia="zh-CN"/>
                <w14:textFill>
                  <w14:solidFill>
                    <w14:schemeClr w14:val="tx1"/>
                  </w14:solidFill>
                </w14:textFill>
              </w:rPr>
              <w:t xml:space="preserve"> </w:t>
            </w:r>
            <w:r>
              <w:rPr>
                <w:rFonts w:hint="eastAsia" w:ascii="Garamond" w:hAnsi="Garamond"/>
                <w:b/>
                <w:bCs/>
                <w:color w:val="000000" w:themeColor="text1"/>
                <w:sz w:val="28"/>
                <w:szCs w:val="28"/>
                <w:lang w:val="en-US" w:eastAsia="zh-CN"/>
                <w14:textFill>
                  <w14:solidFill>
                    <w14:schemeClr w14:val="tx1"/>
                  </w14:solidFill>
                </w14:textFill>
              </w:rPr>
              <w:t>If Sufficient to Upgrade Confidence</w:t>
            </w:r>
          </w:p>
        </w:tc>
        <w:tc>
          <w:tcPr>
            <w:tcW w:w="2175" w:type="dxa"/>
            <w:vAlign w:val="center"/>
          </w:tcPr>
          <w:p>
            <w:pPr>
              <w:pStyle w:val="19"/>
              <w:spacing w:line="360" w:lineRule="auto"/>
              <w:jc w:val="both"/>
              <w:rPr>
                <w:color w:val="000000" w:themeColor="text1"/>
                <w:sz w:val="28"/>
                <w:szCs w:val="28"/>
                <w:lang w:val="en-US" w:eastAsia="zh-CN"/>
                <w14:textFill>
                  <w14:solidFill>
                    <w14:schemeClr w14:val="tx1"/>
                  </w14:solidFill>
                </w14:textFill>
              </w:rPr>
            </w:pPr>
          </w:p>
        </w:tc>
        <w:tc>
          <w:tcPr>
            <w:tcW w:w="1443" w:type="dxa"/>
            <w:vAlign w:val="center"/>
          </w:tcPr>
          <w:p>
            <w:pPr>
              <w:pStyle w:val="19"/>
              <w:spacing w:line="360" w:lineRule="auto"/>
              <w:jc w:val="both"/>
              <w:rPr>
                <w:color w:val="000000" w:themeColor="text1"/>
                <w:sz w:val="28"/>
                <w:szCs w:val="28"/>
                <w:lang w:val="en-US" w:eastAsia="zh-CN"/>
                <w14:textFill>
                  <w14:solidFill>
                    <w14:schemeClr w14:val="tx1"/>
                  </w14:solidFill>
                </w14:textFill>
              </w:rPr>
            </w:pPr>
          </w:p>
        </w:tc>
      </w:tr>
      <w:tr>
        <w:trPr>
          <w:cantSplit/>
          <w:trHeight w:val="2106" w:hRule="atLeast"/>
        </w:trPr>
        <w:tc>
          <w:tcPr>
            <w:tcW w:w="3952" w:type="dxa"/>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Initial confidence for each body of evidence</w:t>
            </w:r>
          </w:p>
        </w:tc>
        <w:tc>
          <w:tcPr>
            <w:tcW w:w="967"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Risk of Bias</w:t>
            </w:r>
          </w:p>
        </w:tc>
        <w:tc>
          <w:tcPr>
            <w:tcW w:w="967"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Unexplained Inconsistency</w:t>
            </w:r>
          </w:p>
        </w:tc>
        <w:tc>
          <w:tcPr>
            <w:tcW w:w="967"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Indirectness</w:t>
            </w:r>
          </w:p>
        </w:tc>
        <w:tc>
          <w:tcPr>
            <w:tcW w:w="967"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Imprecision</w:t>
            </w:r>
          </w:p>
        </w:tc>
        <w:tc>
          <w:tcPr>
            <w:tcW w:w="969"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Publication bias</w:t>
            </w:r>
          </w:p>
        </w:tc>
        <w:tc>
          <w:tcPr>
            <w:tcW w:w="1044"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Large magnitude</w:t>
            </w:r>
          </w:p>
        </w:tc>
        <w:tc>
          <w:tcPr>
            <w:tcW w:w="1044"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Dose Response</w:t>
            </w:r>
          </w:p>
        </w:tc>
        <w:tc>
          <w:tcPr>
            <w:tcW w:w="1044"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Environmental Confounding</w:t>
            </w:r>
          </w:p>
        </w:tc>
        <w:tc>
          <w:tcPr>
            <w:tcW w:w="1046" w:type="dxa"/>
            <w:textDirection w:val="btLr"/>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Consistency</w:t>
            </w:r>
          </w:p>
        </w:tc>
        <w:tc>
          <w:tcPr>
            <w:tcW w:w="2175" w:type="dxa"/>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Final Confidence Rating</w:t>
            </w:r>
          </w:p>
        </w:tc>
        <w:tc>
          <w:tcPr>
            <w:tcW w:w="1443" w:type="dxa"/>
            <w:vAlign w:val="center"/>
          </w:tcPr>
          <w:p>
            <w:pPr>
              <w:pStyle w:val="19"/>
              <w:spacing w:line="360" w:lineRule="auto"/>
              <w:ind w:left="113" w:right="113"/>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Level of evidence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trPr>
        <w:tc>
          <w:tcPr>
            <w:tcW w:w="16585" w:type="dxa"/>
            <w:gridSpan w:val="12"/>
            <w:shd w:val="clear" w:color="auto" w:fill="8EAADB" w:themeFill="accent1" w:themeFillTint="99"/>
            <w:vAlign w:val="center"/>
          </w:tcPr>
          <w:p>
            <w:pPr>
              <w:pStyle w:val="19"/>
              <w:spacing w:line="360" w:lineRule="auto"/>
              <w:jc w:val="center"/>
              <w:rPr>
                <w:rFonts w:ascii="Garamond" w:hAnsi="Garamond"/>
                <w:b/>
                <w:bCs/>
                <w:color w:val="000000" w:themeColor="text1"/>
                <w:sz w:val="28"/>
                <w:szCs w:val="28"/>
                <w:lang w:val="en-US" w:eastAsia="zh-CN"/>
                <w14:textFill>
                  <w14:solidFill>
                    <w14:schemeClr w14:val="tx1"/>
                  </w14:solidFill>
                </w14:textFill>
              </w:rPr>
            </w:pPr>
            <w:r>
              <w:rPr>
                <w:rFonts w:hint="eastAsia" w:ascii="Garamond" w:hAnsi="Garamond" w:eastAsia="Garamond" w:cs="Garamond"/>
                <w:b/>
                <w:color w:val="000000" w:themeColor="text1"/>
                <w:sz w:val="28"/>
                <w:szCs w:val="28"/>
                <w:lang w:val="en-US" w:eastAsia="zh-CN" w:bidi="ar"/>
                <w14:textFill>
                  <w14:solidFill>
                    <w14:schemeClr w14:val="tx1"/>
                  </w14:solidFill>
                </w14:textFill>
              </w:rPr>
              <w:t>PFOA</w:t>
            </w:r>
          </w:p>
        </w:tc>
      </w:tr>
      <w:tr>
        <w:trPr>
          <w:trHeight w:val="1132" w:hRule="atLeast"/>
        </w:trPr>
        <w:tc>
          <w:tcPr>
            <w:tcW w:w="3952" w:type="dxa"/>
            <w:vAlign w:val="center"/>
          </w:tcPr>
          <w:p>
            <w:pPr>
              <w:pStyle w:val="19"/>
              <w:spacing w:line="360" w:lineRule="auto"/>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ALT</w:t>
            </w:r>
          </w:p>
          <w:p>
            <w:pPr>
              <w:pStyle w:val="19"/>
              <w:spacing w:line="360" w:lineRule="auto"/>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 (7 studies)</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ascii="Symbol" w:hAnsi="Symbol"/>
                <w:b/>
                <w:bCs/>
                <w:color w:val="000000" w:themeColor="text1"/>
                <w:sz w:val="28"/>
                <w:szCs w:val="28"/>
                <w:lang w:val="en-US" w:eastAsia="zh-CN"/>
                <w14:textFill>
                  <w14:solidFill>
                    <w14:schemeClr w14:val="tx1"/>
                  </w14:solidFill>
                </w14:textFill>
              </w:rPr>
              <w:t>¯</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9"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6"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2175"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Low</w:t>
            </w:r>
          </w:p>
        </w:tc>
        <w:tc>
          <w:tcPr>
            <w:tcW w:w="1443"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Inadequate</w:t>
            </w:r>
          </w:p>
        </w:tc>
      </w:tr>
      <w:tr>
        <w:trPr>
          <w:trHeight w:val="135" w:hRule="atLeast"/>
        </w:trPr>
        <w:tc>
          <w:tcPr>
            <w:tcW w:w="3952" w:type="dxa"/>
            <w:vAlign w:val="center"/>
          </w:tcPr>
          <w:p>
            <w:pPr>
              <w:pStyle w:val="19"/>
              <w:spacing w:line="360" w:lineRule="auto"/>
              <w:jc w:val="both"/>
              <w:rPr>
                <w:rFonts w:ascii="Garamond" w:hAnsi="Garamond" w:eastAsia="Garamond" w:cs="Garamond"/>
                <w:color w:val="000000" w:themeColor="text1"/>
                <w:sz w:val="28"/>
                <w:szCs w:val="28"/>
                <w:lang w:val="en-US" w:eastAsia="zh-CN" w:bidi="ar"/>
                <w14:textFill>
                  <w14:solidFill>
                    <w14:schemeClr w14:val="tx1"/>
                  </w14:solidFill>
                </w14:textFill>
              </w:rPr>
            </w:pPr>
            <w:r>
              <w:rPr>
                <w:rFonts w:hint="eastAsia" w:ascii="Garamond" w:hAnsi="Garamond" w:eastAsia="Garamond" w:cs="Garamond"/>
                <w:color w:val="000000" w:themeColor="text1"/>
                <w:sz w:val="28"/>
                <w:szCs w:val="28"/>
                <w:lang w:val="en-US" w:eastAsia="zh-CN" w:bidi="ar"/>
                <w14:textFill>
                  <w14:solidFill>
                    <w14:schemeClr w14:val="tx1"/>
                  </w14:solidFill>
                </w14:textFill>
              </w:rPr>
              <w:t>AST</w:t>
            </w:r>
          </w:p>
          <w:p>
            <w:pPr>
              <w:pStyle w:val="19"/>
              <w:spacing w:line="360" w:lineRule="auto"/>
              <w:jc w:val="both"/>
              <w:rPr>
                <w:rFonts w:ascii="Garamond" w:hAnsi="Garamond" w:eastAsia="Garamond" w:cs="Garamond"/>
                <w:color w:val="000000" w:themeColor="text1"/>
                <w:sz w:val="28"/>
                <w:szCs w:val="28"/>
                <w:lang w:val="en-US" w:eastAsia="zh-CN" w:bidi="ar"/>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 (6 studies)</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Symbol" w:hAnsi="Symbol"/>
                <w:b/>
                <w:bCs/>
                <w:color w:val="000000" w:themeColor="text1"/>
                <w:sz w:val="28"/>
                <w:szCs w:val="28"/>
                <w:lang w:val="en-US" w:eastAsia="zh-CN"/>
                <w14:textFill>
                  <w14:solidFill>
                    <w14:schemeClr w14:val="tx1"/>
                  </w14:solidFill>
                </w14:textFill>
              </w:rPr>
              <w:sym w:font="Symbol" w:char="F0AD"/>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9"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ascii="Symbol" w:hAnsi="Symbol"/>
                <w:b/>
                <w:bCs/>
                <w:color w:val="000000" w:themeColor="text1"/>
                <w:sz w:val="28"/>
                <w:szCs w:val="28"/>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6" w:type="dxa"/>
            <w:vAlign w:val="center"/>
          </w:tcPr>
          <w:p>
            <w:pPr>
              <w:pStyle w:val="19"/>
              <w:spacing w:line="360" w:lineRule="auto"/>
              <w:jc w:val="center"/>
              <w:rPr>
                <w:rFonts w:ascii="Garamond" w:hAnsi="Garamond"/>
                <w:b/>
                <w:bCs/>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2175" w:type="dxa"/>
            <w:vAlign w:val="center"/>
          </w:tcPr>
          <w:p>
            <w:pPr>
              <w:pStyle w:val="19"/>
              <w:spacing w:line="360" w:lineRule="auto"/>
              <w:jc w:val="center"/>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c>
          <w:tcPr>
            <w:tcW w:w="1443" w:type="dxa"/>
            <w:vAlign w:val="center"/>
          </w:tcPr>
          <w:p>
            <w:pPr>
              <w:pStyle w:val="19"/>
              <w:spacing w:line="360" w:lineRule="auto"/>
              <w:jc w:val="center"/>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r>
      <w:tr>
        <w:tc>
          <w:tcPr>
            <w:tcW w:w="3952" w:type="dxa"/>
            <w:vAlign w:val="center"/>
          </w:tcPr>
          <w:p>
            <w:pPr>
              <w:pStyle w:val="19"/>
              <w:spacing w:line="360" w:lineRule="auto"/>
              <w:jc w:val="both"/>
              <w:rPr>
                <w:rFonts w:ascii="Garamond" w:hAnsi="Garamond" w:eastAsia="Garamond" w:cs="Garamond"/>
                <w:color w:val="000000" w:themeColor="text1"/>
                <w:sz w:val="28"/>
                <w:szCs w:val="28"/>
                <w:lang w:val="en-US" w:eastAsia="zh-CN" w:bidi="ar"/>
                <w14:textFill>
                  <w14:solidFill>
                    <w14:schemeClr w14:val="tx1"/>
                  </w14:solidFill>
                </w14:textFill>
              </w:rPr>
            </w:pPr>
            <w:r>
              <w:rPr>
                <w:rFonts w:hint="eastAsia" w:ascii="Garamond" w:hAnsi="Garamond" w:eastAsia="Garamond" w:cs="Garamond"/>
                <w:color w:val="000000" w:themeColor="text1"/>
                <w:sz w:val="28"/>
                <w:szCs w:val="28"/>
                <w:lang w:val="en-US" w:eastAsia="zh-CN" w:bidi="ar"/>
                <w14:textFill>
                  <w14:solidFill>
                    <w14:schemeClr w14:val="tx1"/>
                  </w14:solidFill>
                </w14:textFill>
              </w:rPr>
              <w:t>GGT</w:t>
            </w:r>
            <w:r>
              <w:rPr>
                <w:rFonts w:ascii="Garamond" w:hAnsi="Garamond" w:eastAsia="Garamond" w:cs="Garamond"/>
                <w:color w:val="000000" w:themeColor="text1"/>
                <w:sz w:val="28"/>
                <w:szCs w:val="28"/>
                <w:lang w:val="en-US" w:eastAsia="zh-CN" w:bidi="ar"/>
                <w14:textFill>
                  <w14:solidFill>
                    <w14:schemeClr w14:val="tx1"/>
                  </w14:solidFill>
                </w14:textFill>
              </w:rPr>
              <w:t xml:space="preserve"> </w:t>
            </w:r>
          </w:p>
          <w:p>
            <w:pPr>
              <w:pStyle w:val="19"/>
              <w:spacing w:line="360" w:lineRule="auto"/>
              <w:jc w:val="both"/>
              <w:rPr>
                <w:rFonts w:ascii="Garamond" w:hAnsi="Garamond"/>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 (6 studies)</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9"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6"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2175"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c>
          <w:tcPr>
            <w:tcW w:w="1443"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r>
      <w:tr>
        <w:tc>
          <w:tcPr>
            <w:tcW w:w="3952" w:type="dxa"/>
            <w:vAlign w:val="center"/>
          </w:tcPr>
          <w:p>
            <w:pPr>
              <w:pStyle w:val="19"/>
              <w:spacing w:line="360" w:lineRule="auto"/>
              <w:jc w:val="both"/>
              <w:rPr>
                <w:rFonts w:ascii="Garamond" w:hAnsi="Garamond" w:eastAsia="Garamond" w:cs="Garamond"/>
                <w:color w:val="000000" w:themeColor="text1"/>
                <w:sz w:val="28"/>
                <w:szCs w:val="28"/>
                <w:lang w:val="en-US" w:eastAsia="zh-CN" w:bidi="ar"/>
                <w14:textFill>
                  <w14:solidFill>
                    <w14:schemeClr w14:val="tx1"/>
                  </w14:solidFill>
                </w14:textFill>
              </w:rPr>
            </w:pPr>
            <w:bookmarkStart w:id="134" w:name="OLE_LINK26"/>
            <w:bookmarkStart w:id="135" w:name="OLE_LINK25"/>
            <w:r>
              <w:rPr>
                <w:rFonts w:hint="eastAsia" w:ascii="Garamond" w:hAnsi="Garamond" w:eastAsia="Garamond" w:cs="Garamond"/>
                <w:color w:val="000000" w:themeColor="text1"/>
                <w:sz w:val="28"/>
                <w:szCs w:val="28"/>
                <w:lang w:val="en-US" w:eastAsia="zh-CN" w:bidi="ar"/>
                <w14:textFill>
                  <w14:solidFill>
                    <w14:schemeClr w14:val="tx1"/>
                  </w14:solidFill>
                </w14:textFill>
              </w:rPr>
              <w:t>ALP</w:t>
            </w:r>
          </w:p>
          <w:p>
            <w:pPr>
              <w:pStyle w:val="19"/>
              <w:spacing w:line="360" w:lineRule="auto"/>
              <w:jc w:val="both"/>
              <w:rPr>
                <w:rFonts w:ascii="Garamond" w:hAnsi="Garamond" w:eastAsia="Garamond" w:cs="Garamond"/>
                <w:color w:val="000000" w:themeColor="text1"/>
                <w:sz w:val="28"/>
                <w:szCs w:val="28"/>
                <w:lang w:val="en-US" w:eastAsia="zh-CN" w:bidi="ar"/>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 (4 studies)</w:t>
            </w:r>
            <w:bookmarkEnd w:id="134"/>
            <w:bookmarkEnd w:id="135"/>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967"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ascii="Symbol" w:hAnsi="Symbol"/>
                <w:b/>
                <w:bCs/>
                <w:color w:val="000000" w:themeColor="text1"/>
                <w:sz w:val="28"/>
                <w:szCs w:val="28"/>
                <w:lang w:val="en-US" w:eastAsia="zh-CN"/>
                <w14:textFill>
                  <w14:solidFill>
                    <w14:schemeClr w14:val="tx1"/>
                  </w14:solidFill>
                </w14:textFill>
              </w:rPr>
              <w:t>¯</w:t>
            </w:r>
          </w:p>
        </w:tc>
        <w:tc>
          <w:tcPr>
            <w:tcW w:w="969"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Symbol" w:hAnsi="Symbol"/>
                <w:b/>
                <w:bCs/>
                <w:color w:val="000000" w:themeColor="text1"/>
                <w:sz w:val="28"/>
                <w:szCs w:val="28"/>
                <w:lang w:val="en-US" w:eastAsia="zh-CN"/>
                <w14:textFill>
                  <w14:solidFill>
                    <w14:schemeClr w14:val="tx1"/>
                  </w14:solidFill>
                </w14:textFill>
              </w:rPr>
              <w:sym w:font="Symbol" w:char="F0AD"/>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4"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1046" w:type="dxa"/>
            <w:vAlign w:val="center"/>
          </w:tcPr>
          <w:p>
            <w:pPr>
              <w:pStyle w:val="19"/>
              <w:spacing w:line="360" w:lineRule="auto"/>
              <w:jc w:val="center"/>
              <w:rPr>
                <w:color w:val="000000" w:themeColor="text1"/>
                <w:sz w:val="32"/>
                <w:szCs w:val="32"/>
                <w:lang w:val="en-US" w:eastAsia="zh-CN"/>
                <w14:textFill>
                  <w14:solidFill>
                    <w14:schemeClr w14:val="tx1"/>
                  </w14:solidFill>
                </w14:textFill>
              </w:rPr>
            </w:pPr>
            <w:r>
              <w:rPr>
                <w:rFonts w:hint="eastAsia" w:ascii="Garamond" w:hAnsi="Garamond"/>
                <w:b/>
                <w:bCs/>
                <w:color w:val="000000" w:themeColor="text1"/>
                <w:sz w:val="32"/>
                <w:szCs w:val="32"/>
                <w:lang w:val="en-US" w:eastAsia="zh-CN"/>
                <w14:textFill>
                  <w14:solidFill>
                    <w14:schemeClr w14:val="tx1"/>
                  </w14:solidFill>
                </w14:textFill>
              </w:rPr>
              <w:t>---</w:t>
            </w:r>
          </w:p>
        </w:tc>
        <w:tc>
          <w:tcPr>
            <w:tcW w:w="2175"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c>
          <w:tcPr>
            <w:tcW w:w="1443" w:type="dxa"/>
            <w:vAlign w:val="center"/>
          </w:tcPr>
          <w:p>
            <w:pPr>
              <w:pStyle w:val="19"/>
              <w:spacing w:line="360" w:lineRule="auto"/>
              <w:jc w:val="center"/>
              <w:rPr>
                <w:color w:val="000000" w:themeColor="text1"/>
                <w:sz w:val="28"/>
                <w:szCs w:val="28"/>
                <w:lang w:val="en-US" w:eastAsia="zh-CN"/>
                <w14:textFill>
                  <w14:solidFill>
                    <w14:schemeClr w14:val="tx1"/>
                  </w14:solidFill>
                </w14:textFill>
              </w:rPr>
            </w:pPr>
            <w:r>
              <w:rPr>
                <w:rFonts w:hint="eastAsia" w:ascii="Garamond" w:hAnsi="Garamond"/>
                <w:color w:val="000000" w:themeColor="text1"/>
                <w:sz w:val="28"/>
                <w:szCs w:val="28"/>
                <w:lang w:val="en-US" w:eastAsia="zh-CN"/>
                <w14:textFill>
                  <w14:solidFill>
                    <w14:schemeClr w14:val="tx1"/>
                  </w14:solidFill>
                </w14:textFill>
              </w:rPr>
              <w:t>Moderate</w:t>
            </w:r>
          </w:p>
        </w:tc>
      </w:tr>
    </w:tbl>
    <w:p>
      <w:pPr>
        <w:spacing w:line="360" w:lineRule="auto"/>
        <w:rPr>
          <w:rFonts w:ascii="Garamond" w:hAnsi="Garamond" w:eastAsia="DengXian"/>
          <w:b/>
          <w:bCs/>
          <w:color w:val="000000" w:themeColor="text1"/>
          <w:sz w:val="28"/>
          <w:szCs w:val="28"/>
          <w14:textFill>
            <w14:solidFill>
              <w14:schemeClr w14:val="tx1"/>
            </w14:solidFill>
          </w14:textFill>
        </w:rPr>
      </w:pPr>
    </w:p>
    <w:p>
      <w:pPr>
        <w:rPr>
          <w:rFonts w:ascii="Garamond" w:hAnsi="Garamond" w:eastAsia="DengXian"/>
          <w:b/>
          <w:bCs/>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br w:type="page"/>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Fig S1.</w:t>
      </w:r>
      <w:r>
        <w:rPr>
          <w:rFonts w:ascii="Garamond" w:hAnsi="Garamond" w:eastAsia="DengXian"/>
          <w:color w:val="000000" w:themeColor="text1"/>
          <w:sz w:val="28"/>
          <w:szCs w:val="28"/>
          <w14:textFill>
            <w14:solidFill>
              <w14:schemeClr w14:val="tx1"/>
            </w14:solidFill>
          </w14:textFill>
        </w:rPr>
        <w:t xml:space="preserve"> Forest plot on the effect of </w:t>
      </w:r>
      <w:r>
        <w:rPr>
          <w:rFonts w:hint="eastAsia" w:ascii="Garamond" w:hAnsi="Garamond" w:eastAsia="DengXian"/>
          <w:color w:val="000000" w:themeColor="text1"/>
          <w:sz w:val="28"/>
          <w:szCs w:val="28"/>
          <w14:textFill>
            <w14:solidFill>
              <w14:schemeClr w14:val="tx1"/>
            </w14:solidFill>
          </w14:textFill>
        </w:rPr>
        <w:t>PFOA with ALT for continuous exposure</w:t>
      </w:r>
      <w:r>
        <w:rPr>
          <w:rFonts w:ascii="Garamond" w:hAnsi="Garamond" w:eastAsia="DengXian"/>
          <w:color w:val="000000" w:themeColor="text1"/>
          <w:sz w:val="28"/>
          <w:szCs w:val="28"/>
          <w14:textFill>
            <w14:solidFill>
              <w14:schemeClr w14:val="tx1"/>
            </w14:solidFill>
          </w14:textFill>
        </w:rPr>
        <w:t>.</w:t>
      </w:r>
    </w:p>
    <w:p>
      <w:pPr>
        <w:spacing w:line="360" w:lineRule="auto"/>
        <w:rPr>
          <w:rFonts w:ascii="Garamond" w:hAnsi="Garamond" w:eastAsia="DengXian"/>
          <w:color w:val="000000" w:themeColor="text1"/>
          <w:sz w:val="28"/>
          <w:szCs w:val="28"/>
          <w14:textFill>
            <w14:solidFill>
              <w14:schemeClr w14:val="tx1"/>
            </w14:solidFill>
          </w14:textFill>
        </w:rPr>
      </w:pPr>
      <w:r>
        <w:drawing>
          <wp:inline distT="0" distB="0" distL="0" distR="0">
            <wp:extent cx="6068060" cy="210058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31267" cy="2122227"/>
                    </a:xfrm>
                    <a:prstGeom prst="rect">
                      <a:avLst/>
                    </a:prstGeom>
                    <a:noFill/>
                  </pic:spPr>
                </pic:pic>
              </a:graphicData>
            </a:graphic>
          </wp:inline>
        </w:drawing>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Fig S2.</w:t>
      </w:r>
      <w:r>
        <w:rPr>
          <w:rFonts w:ascii="Garamond" w:hAnsi="Garamond" w:eastAsia="DengXian"/>
          <w:color w:val="000000" w:themeColor="text1"/>
          <w:sz w:val="28"/>
          <w:szCs w:val="28"/>
          <w14:textFill>
            <w14:solidFill>
              <w14:schemeClr w14:val="tx1"/>
            </w14:solidFill>
          </w14:textFill>
        </w:rPr>
        <w:t xml:space="preserve">  Forest plot on the effect of </w:t>
      </w:r>
      <w:r>
        <w:rPr>
          <w:rFonts w:hint="eastAsia" w:ascii="Garamond" w:hAnsi="Garamond" w:eastAsia="DengXian"/>
          <w:color w:val="000000" w:themeColor="text1"/>
          <w:sz w:val="28"/>
          <w:szCs w:val="28"/>
          <w14:textFill>
            <w14:solidFill>
              <w14:schemeClr w14:val="tx1"/>
            </w14:solidFill>
          </w14:textFill>
        </w:rPr>
        <w:t>PFOA with AST for continuous exposure</w:t>
      </w:r>
      <w:r>
        <w:rPr>
          <w:rFonts w:ascii="Garamond" w:hAnsi="Garamond" w:eastAsia="DengXian"/>
          <w:color w:val="000000" w:themeColor="text1"/>
          <w:sz w:val="28"/>
          <w:szCs w:val="28"/>
          <w14:textFill>
            <w14:solidFill>
              <w14:schemeClr w14:val="tx1"/>
            </w14:solidFill>
          </w14:textFill>
        </w:rPr>
        <w:t>.</w:t>
      </w:r>
    </w:p>
    <w:p>
      <w:pPr>
        <w:pStyle w:val="19"/>
        <w:snapToGrid w:val="0"/>
        <w:spacing w:line="360" w:lineRule="auto"/>
        <w:jc w:val="both"/>
        <w:rPr>
          <w:rFonts w:ascii="Garamond" w:hAnsi="Garamond" w:eastAsia="DengXian" w:cs="宋体"/>
          <w:color w:val="000000" w:themeColor="text1"/>
          <w:sz w:val="28"/>
          <w:szCs w:val="28"/>
          <w:lang w:val="en-US" w:eastAsia="zh-CN"/>
          <w14:textFill>
            <w14:solidFill>
              <w14:schemeClr w14:val="tx1"/>
            </w14:solidFill>
          </w14:textFill>
        </w:rPr>
      </w:pPr>
      <w:r>
        <w:drawing>
          <wp:inline distT="0" distB="0" distL="0" distR="0">
            <wp:extent cx="5857240" cy="2036445"/>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893713" cy="2049289"/>
                    </a:xfrm>
                    <a:prstGeom prst="rect">
                      <a:avLst/>
                    </a:prstGeom>
                    <a:noFill/>
                  </pic:spPr>
                </pic:pic>
              </a:graphicData>
            </a:graphic>
          </wp:inline>
        </w:drawing>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Fig S3.</w:t>
      </w:r>
      <w:r>
        <w:rPr>
          <w:rFonts w:ascii="Garamond" w:hAnsi="Garamond" w:eastAsia="DengXian"/>
          <w:color w:val="000000" w:themeColor="text1"/>
          <w:sz w:val="28"/>
          <w:szCs w:val="28"/>
          <w14:textFill>
            <w14:solidFill>
              <w14:schemeClr w14:val="tx1"/>
            </w14:solidFill>
          </w14:textFill>
        </w:rPr>
        <w:t xml:space="preserve"> Forest plot on the effect of </w:t>
      </w:r>
      <w:r>
        <w:rPr>
          <w:rFonts w:hint="eastAsia" w:ascii="Garamond" w:hAnsi="Garamond" w:eastAsia="DengXian"/>
          <w:color w:val="000000" w:themeColor="text1"/>
          <w:sz w:val="28"/>
          <w:szCs w:val="28"/>
          <w14:textFill>
            <w14:solidFill>
              <w14:schemeClr w14:val="tx1"/>
            </w14:solidFill>
          </w14:textFill>
        </w:rPr>
        <w:t>PFOA with GGT for continuous exposure</w:t>
      </w:r>
      <w:r>
        <w:rPr>
          <w:rFonts w:ascii="Garamond" w:hAnsi="Garamond" w:eastAsia="DengXian"/>
          <w:color w:val="000000" w:themeColor="text1"/>
          <w:sz w:val="28"/>
          <w:szCs w:val="28"/>
          <w14:textFill>
            <w14:solidFill>
              <w14:schemeClr w14:val="tx1"/>
            </w14:solidFill>
          </w14:textFill>
        </w:rPr>
        <w:t>.</w:t>
      </w:r>
    </w:p>
    <w:p>
      <w:pPr>
        <w:spacing w:line="360" w:lineRule="auto"/>
        <w:rPr>
          <w:rFonts w:ascii="Garamond" w:hAnsi="Garamond" w:eastAsia="DengXian"/>
          <w:color w:val="000000" w:themeColor="text1"/>
          <w:sz w:val="28"/>
          <w:szCs w:val="28"/>
          <w14:textFill>
            <w14:solidFill>
              <w14:schemeClr w14:val="tx1"/>
            </w14:solidFill>
          </w14:textFill>
        </w:rPr>
      </w:pPr>
      <w:r>
        <w:drawing>
          <wp:inline distT="0" distB="0" distL="0" distR="0">
            <wp:extent cx="5785485" cy="2047240"/>
            <wp:effectExtent l="0" t="0" r="571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828453" cy="2062504"/>
                    </a:xfrm>
                    <a:prstGeom prst="rect">
                      <a:avLst/>
                    </a:prstGeom>
                    <a:noFill/>
                  </pic:spPr>
                </pic:pic>
              </a:graphicData>
            </a:graphic>
          </wp:inline>
        </w:drawing>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Fig S4.</w:t>
      </w:r>
      <w:r>
        <w:rPr>
          <w:rFonts w:ascii="Garamond" w:hAnsi="Garamond" w:eastAsia="DengXian"/>
          <w:color w:val="000000" w:themeColor="text1"/>
          <w:sz w:val="28"/>
          <w:szCs w:val="28"/>
          <w14:textFill>
            <w14:solidFill>
              <w14:schemeClr w14:val="tx1"/>
            </w14:solidFill>
          </w14:textFill>
        </w:rPr>
        <w:t xml:space="preserve"> Forest plot on the effect of </w:t>
      </w:r>
      <w:bookmarkStart w:id="136" w:name="OLE_LINK19"/>
      <w:r>
        <w:rPr>
          <w:rFonts w:hint="eastAsia" w:ascii="Garamond" w:hAnsi="Garamond" w:eastAsia="DengXian"/>
          <w:color w:val="000000" w:themeColor="text1"/>
          <w:sz w:val="28"/>
          <w:szCs w:val="28"/>
          <w14:textFill>
            <w14:solidFill>
              <w14:schemeClr w14:val="tx1"/>
            </w14:solidFill>
          </w14:textFill>
        </w:rPr>
        <w:t>PFOA with ALP for continuous exposure</w:t>
      </w:r>
      <w:r>
        <w:rPr>
          <w:rFonts w:ascii="Garamond" w:hAnsi="Garamond" w:eastAsia="DengXian"/>
          <w:color w:val="000000" w:themeColor="text1"/>
          <w:sz w:val="28"/>
          <w:szCs w:val="28"/>
          <w14:textFill>
            <w14:solidFill>
              <w14:schemeClr w14:val="tx1"/>
            </w14:solidFill>
          </w14:textFill>
        </w:rPr>
        <w:t>.</w:t>
      </w:r>
      <w:bookmarkEnd w:id="136"/>
    </w:p>
    <w:p>
      <w:pPr>
        <w:pStyle w:val="19"/>
        <w:snapToGrid w:val="0"/>
        <w:spacing w:line="360" w:lineRule="auto"/>
        <w:jc w:val="both"/>
        <w:rPr>
          <w:rFonts w:hint="eastAsia" w:ascii="Garamond" w:hAnsi="Garamond" w:eastAsia="DengXian" w:cs="宋体"/>
          <w:color w:val="000000" w:themeColor="text1"/>
          <w:sz w:val="28"/>
          <w:szCs w:val="28"/>
          <w:lang w:val="en-US" w:eastAsia="zh-CN"/>
          <w14:textFill>
            <w14:solidFill>
              <w14:schemeClr w14:val="tx1"/>
            </w14:solidFill>
          </w14:textFill>
        </w:rPr>
      </w:pPr>
      <w:r>
        <w:drawing>
          <wp:inline distT="0" distB="0" distL="0" distR="0">
            <wp:extent cx="6043295" cy="2123440"/>
            <wp:effectExtent l="0" t="0" r="1905"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060064" cy="2129271"/>
                    </a:xfrm>
                    <a:prstGeom prst="rect">
                      <a:avLst/>
                    </a:prstGeom>
                    <a:noFill/>
                  </pic:spPr>
                </pic:pic>
              </a:graphicData>
            </a:graphic>
          </wp:inline>
        </w:drawing>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Fig S5.</w:t>
      </w:r>
      <w:r>
        <w:rPr>
          <w:rFonts w:ascii="Garamond" w:hAnsi="Garamond" w:eastAsia="DengXian"/>
          <w:color w:val="000000" w:themeColor="text1"/>
          <w:sz w:val="28"/>
          <w:szCs w:val="28"/>
          <w14:textFill>
            <w14:solidFill>
              <w14:schemeClr w14:val="tx1"/>
            </w14:solidFill>
          </w14:textFill>
        </w:rPr>
        <w:t xml:space="preserve"> Doi plot and LFK index analysis of publication bias in reported associations between </w:t>
      </w:r>
      <w:r>
        <w:rPr>
          <w:rFonts w:hint="eastAsia" w:ascii="Garamond" w:hAnsi="Garamond" w:eastAsia="DengXian"/>
          <w:color w:val="000000" w:themeColor="text1"/>
          <w:sz w:val="28"/>
          <w:szCs w:val="28"/>
          <w14:textFill>
            <w14:solidFill>
              <w14:schemeClr w14:val="tx1"/>
            </w14:solidFill>
          </w14:textFill>
        </w:rPr>
        <w:t>PFOA with ALT for continuous exposure</w:t>
      </w:r>
      <w:r>
        <w:rPr>
          <w:rFonts w:ascii="Garamond" w:hAnsi="Garamond" w:eastAsia="DengXian"/>
          <w:color w:val="000000" w:themeColor="text1"/>
          <w:sz w:val="28"/>
          <w:szCs w:val="28"/>
          <w14:textFill>
            <w14:solidFill>
              <w14:schemeClr w14:val="tx1"/>
            </w14:solidFill>
          </w14:textFill>
        </w:rPr>
        <w:t>.</w:t>
      </w:r>
    </w:p>
    <w:p>
      <w:pPr>
        <w:pStyle w:val="19"/>
        <w:snapToGrid w:val="0"/>
        <w:spacing w:line="360" w:lineRule="auto"/>
        <w:jc w:val="both"/>
        <w:rPr>
          <w:rFonts w:ascii="Garamond" w:hAnsi="Garamond" w:eastAsia="DengXian"/>
          <w:color w:val="000000" w:themeColor="text1"/>
          <w:sz w:val="28"/>
          <w:szCs w:val="28"/>
          <w14:textFill>
            <w14:solidFill>
              <w14:schemeClr w14:val="tx1"/>
            </w14:solidFill>
          </w14:textFill>
        </w:rPr>
      </w:pPr>
      <w:r>
        <w:rPr>
          <w:color w:val="000000" w:themeColor="text1"/>
          <w14:textFill>
            <w14:solidFill>
              <w14:schemeClr w14:val="tx1"/>
            </w14:solidFill>
          </w14:textFill>
        </w:rPr>
        <w:t xml:space="preserve"> </w:t>
      </w:r>
      <w:r>
        <w:rPr>
          <w:rFonts w:ascii="Garamond" w:hAnsi="Garamond" w:eastAsia="DengXian"/>
          <w:color w:val="000000" w:themeColor="text1"/>
          <w:sz w:val="28"/>
          <w:szCs w:val="28"/>
          <w14:textFill>
            <w14:solidFill>
              <w14:schemeClr w14:val="tx1"/>
            </w14:solidFill>
          </w14:textFill>
        </w:rPr>
        <w:drawing>
          <wp:inline distT="0" distB="0" distL="114300" distR="114300">
            <wp:extent cx="7858125" cy="1762125"/>
            <wp:effectExtent l="0" t="0" r="3810" b="3175"/>
            <wp:docPr id="44" name="图片 44"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11"/>
                    <pic:cNvPicPr>
                      <a:picLocks noChangeAspect="1"/>
                    </pic:cNvPicPr>
                  </pic:nvPicPr>
                  <pic:blipFill>
                    <a:blip r:embed="rId8"/>
                    <a:stretch>
                      <a:fillRect/>
                    </a:stretch>
                  </pic:blipFill>
                  <pic:spPr>
                    <a:xfrm>
                      <a:off x="0" y="0"/>
                      <a:ext cx="7984471" cy="1790668"/>
                    </a:xfrm>
                    <a:prstGeom prst="rect">
                      <a:avLst/>
                    </a:prstGeom>
                  </pic:spPr>
                </pic:pic>
              </a:graphicData>
            </a:graphic>
          </wp:inline>
        </w:drawing>
      </w:r>
    </w:p>
    <w:p>
      <w:pPr>
        <w:pStyle w:val="19"/>
        <w:snapToGrid w:val="0"/>
        <w:spacing w:line="360" w:lineRule="auto"/>
        <w:jc w:val="both"/>
        <w:rPr>
          <w:rFonts w:ascii="Garamond" w:hAnsi="Garamond" w:eastAsia="DengXian"/>
          <w:color w:val="000000" w:themeColor="text1"/>
          <w:sz w:val="28"/>
          <w:szCs w:val="28"/>
          <w14:textFill>
            <w14:solidFill>
              <w14:schemeClr w14:val="tx1"/>
            </w14:solidFill>
          </w14:textFill>
        </w:rPr>
      </w:pPr>
      <w:r>
        <w:rPr>
          <w:rFonts w:ascii="Garamond" w:hAnsi="Garamond" w:eastAsia="DengXian" w:cs="宋体"/>
          <w:b/>
          <w:bCs/>
          <w:color w:val="000000" w:themeColor="text1"/>
          <w:sz w:val="28"/>
          <w:szCs w:val="28"/>
          <w:lang w:val="en-US" w:eastAsia="zh-CN"/>
          <w14:textFill>
            <w14:solidFill>
              <w14:schemeClr w14:val="tx1"/>
            </w14:solidFill>
          </w14:textFill>
        </w:rPr>
        <w:t>Fig S6.</w:t>
      </w:r>
      <w:r>
        <w:rPr>
          <w:rFonts w:ascii="Garamond" w:hAnsi="Garamond" w:eastAsia="DengXian" w:cs="宋体"/>
          <w:color w:val="000000" w:themeColor="text1"/>
          <w:sz w:val="28"/>
          <w:szCs w:val="28"/>
          <w:lang w:val="en-US" w:eastAsia="zh-CN"/>
          <w14:textFill>
            <w14:solidFill>
              <w14:schemeClr w14:val="tx1"/>
            </w14:solidFill>
          </w14:textFill>
        </w:rPr>
        <w:t xml:space="preserve"> Doi plot and LFK index analysis of publication bias in reported associations between </w:t>
      </w:r>
      <w:r>
        <w:rPr>
          <w:rFonts w:hint="eastAsia" w:ascii="Garamond" w:hAnsi="Garamond" w:eastAsia="DengXian"/>
          <w:color w:val="000000" w:themeColor="text1"/>
          <w:sz w:val="28"/>
          <w:szCs w:val="28"/>
          <w14:textFill>
            <w14:solidFill>
              <w14:schemeClr w14:val="tx1"/>
            </w14:solidFill>
          </w14:textFill>
        </w:rPr>
        <w:t xml:space="preserve">PFOA with </w:t>
      </w:r>
      <w:r>
        <w:rPr>
          <w:rFonts w:hint="eastAsia" w:ascii="Garamond" w:hAnsi="Garamond" w:eastAsia="DengXian"/>
          <w:color w:val="000000" w:themeColor="text1"/>
          <w:sz w:val="28"/>
          <w:szCs w:val="28"/>
          <w:lang w:val="en-US" w:eastAsia="zh-CN"/>
          <w14:textFill>
            <w14:solidFill>
              <w14:schemeClr w14:val="tx1"/>
            </w14:solidFill>
          </w14:textFill>
        </w:rPr>
        <w:t>AST</w:t>
      </w:r>
      <w:r>
        <w:rPr>
          <w:rFonts w:hint="eastAsia" w:ascii="Garamond" w:hAnsi="Garamond" w:eastAsia="DengXian"/>
          <w:color w:val="000000" w:themeColor="text1"/>
          <w:sz w:val="28"/>
          <w:szCs w:val="28"/>
          <w14:textFill>
            <w14:solidFill>
              <w14:schemeClr w14:val="tx1"/>
            </w14:solidFill>
          </w14:textFill>
        </w:rPr>
        <w:t xml:space="preserve"> for continuous exposure</w:t>
      </w:r>
      <w:r>
        <w:rPr>
          <w:rFonts w:hint="eastAsia" w:ascii="Garamond" w:hAnsi="Garamond" w:eastAsia="DengXian"/>
          <w:color w:val="000000" w:themeColor="text1"/>
          <w:sz w:val="28"/>
          <w:szCs w:val="28"/>
          <w:lang w:val="en-US" w:eastAsia="zh-CN"/>
          <w14:textFill>
            <w14:solidFill>
              <w14:schemeClr w14:val="tx1"/>
            </w14:solidFill>
          </w14:textFill>
        </w:rPr>
        <w:t>.</w:t>
      </w:r>
    </w:p>
    <w:p>
      <w:pPr>
        <w:spacing w:line="360" w:lineRule="auto"/>
        <w:rPr>
          <w:rFonts w:ascii="Garamond" w:hAnsi="Garamond" w:eastAsia="DengXian"/>
          <w:color w:val="000000" w:themeColor="text1"/>
          <w:sz w:val="28"/>
          <w:szCs w:val="28"/>
          <w14:textFill>
            <w14:solidFill>
              <w14:schemeClr w14:val="tx1"/>
            </w14:solidFill>
          </w14:textFill>
        </w:rPr>
      </w:pPr>
      <w:r>
        <w:rPr>
          <w:rFonts w:hint="eastAsia" w:ascii="Garamond" w:hAnsi="Garamond" w:eastAsia="DengXian"/>
          <w:color w:val="000000" w:themeColor="text1"/>
          <w:sz w:val="28"/>
          <w:szCs w:val="28"/>
          <w14:textFill>
            <w14:solidFill>
              <w14:schemeClr w14:val="tx1"/>
            </w14:solidFill>
          </w14:textFill>
        </w:rPr>
        <w:drawing>
          <wp:inline distT="0" distB="0" distL="114300" distR="114300">
            <wp:extent cx="7823200" cy="1870075"/>
            <wp:effectExtent l="0" t="0" r="635" b="0"/>
            <wp:docPr id="46" name="图片 46" desc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ST"/>
                    <pic:cNvPicPr>
                      <a:picLocks noChangeAspect="1"/>
                    </pic:cNvPicPr>
                  </pic:nvPicPr>
                  <pic:blipFill>
                    <a:blip r:embed="rId9"/>
                    <a:stretch>
                      <a:fillRect/>
                    </a:stretch>
                  </pic:blipFill>
                  <pic:spPr>
                    <a:xfrm>
                      <a:off x="0" y="0"/>
                      <a:ext cx="7872622" cy="1882187"/>
                    </a:xfrm>
                    <a:prstGeom prst="rect">
                      <a:avLst/>
                    </a:prstGeom>
                  </pic:spPr>
                </pic:pic>
              </a:graphicData>
            </a:graphic>
          </wp:inline>
        </w:drawing>
      </w:r>
    </w:p>
    <w:p>
      <w:pPr>
        <w:pStyle w:val="19"/>
        <w:snapToGrid w:val="0"/>
        <w:spacing w:line="360" w:lineRule="auto"/>
        <w:jc w:val="both"/>
        <w:rPr>
          <w:rFonts w:ascii="Garamond" w:hAnsi="Garamond" w:eastAsia="DengXian" w:cs="宋体"/>
          <w:color w:val="000000" w:themeColor="text1"/>
          <w:sz w:val="28"/>
          <w:szCs w:val="28"/>
          <w:lang w:val="en-US" w:eastAsia="zh-CN"/>
          <w14:textFill>
            <w14:solidFill>
              <w14:schemeClr w14:val="tx1"/>
            </w14:solidFill>
          </w14:textFill>
        </w:rPr>
      </w:pPr>
      <w:r>
        <w:rPr>
          <w:rFonts w:ascii="Garamond" w:hAnsi="Garamond" w:eastAsia="DengXian" w:cs="宋体"/>
          <w:b/>
          <w:bCs/>
          <w:color w:val="000000" w:themeColor="text1"/>
          <w:sz w:val="28"/>
          <w:szCs w:val="28"/>
          <w:lang w:val="en-US" w:eastAsia="zh-CN"/>
          <w14:textFill>
            <w14:solidFill>
              <w14:schemeClr w14:val="tx1"/>
            </w14:solidFill>
          </w14:textFill>
        </w:rPr>
        <w:t>Fig S7.</w:t>
      </w:r>
      <w:r>
        <w:rPr>
          <w:rFonts w:ascii="Garamond" w:hAnsi="Garamond" w:eastAsia="DengXian" w:cs="宋体"/>
          <w:color w:val="000000" w:themeColor="text1"/>
          <w:sz w:val="28"/>
          <w:szCs w:val="28"/>
          <w:lang w:val="en-US" w:eastAsia="zh-CN"/>
          <w14:textFill>
            <w14:solidFill>
              <w14:schemeClr w14:val="tx1"/>
            </w14:solidFill>
          </w14:textFill>
        </w:rPr>
        <w:t xml:space="preserve"> Doi plot and LFK index analysis of publication bias in reported associations between </w:t>
      </w:r>
      <w:r>
        <w:rPr>
          <w:rFonts w:hint="eastAsia" w:ascii="Garamond" w:hAnsi="Garamond" w:eastAsia="DengXian"/>
          <w:color w:val="000000" w:themeColor="text1"/>
          <w:sz w:val="28"/>
          <w:szCs w:val="28"/>
          <w14:textFill>
            <w14:solidFill>
              <w14:schemeClr w14:val="tx1"/>
            </w14:solidFill>
          </w14:textFill>
        </w:rPr>
        <w:t xml:space="preserve">PFOA with </w:t>
      </w:r>
      <w:r>
        <w:rPr>
          <w:rFonts w:hint="eastAsia" w:ascii="Garamond" w:hAnsi="Garamond" w:eastAsia="DengXian"/>
          <w:color w:val="000000" w:themeColor="text1"/>
          <w:sz w:val="28"/>
          <w:szCs w:val="28"/>
          <w:lang w:val="en-US" w:eastAsia="zh-CN"/>
          <w14:textFill>
            <w14:solidFill>
              <w14:schemeClr w14:val="tx1"/>
            </w14:solidFill>
          </w14:textFill>
        </w:rPr>
        <w:t>GGT</w:t>
      </w:r>
      <w:r>
        <w:rPr>
          <w:rFonts w:hint="eastAsia" w:ascii="Garamond" w:hAnsi="Garamond" w:eastAsia="DengXian"/>
          <w:color w:val="000000" w:themeColor="text1"/>
          <w:sz w:val="28"/>
          <w:szCs w:val="28"/>
          <w14:textFill>
            <w14:solidFill>
              <w14:schemeClr w14:val="tx1"/>
            </w14:solidFill>
          </w14:textFill>
        </w:rPr>
        <w:t xml:space="preserve"> for continuous exposure</w:t>
      </w:r>
      <w:r>
        <w:rPr>
          <w:rFonts w:ascii="Garamond" w:hAnsi="Garamond" w:eastAsia="DengXian"/>
          <w:color w:val="000000" w:themeColor="text1"/>
          <w:sz w:val="28"/>
          <w:szCs w:val="28"/>
          <w14:textFill>
            <w14:solidFill>
              <w14:schemeClr w14:val="tx1"/>
            </w14:solidFill>
          </w14:textFill>
        </w:rPr>
        <w:t>.</w:t>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color w:val="000000" w:themeColor="text1"/>
          <w:sz w:val="28"/>
          <w:szCs w:val="28"/>
          <w14:textFill>
            <w14:solidFill>
              <w14:schemeClr w14:val="tx1"/>
            </w14:solidFill>
          </w14:textFill>
        </w:rPr>
        <w:drawing>
          <wp:inline distT="0" distB="0" distL="114300" distR="114300">
            <wp:extent cx="7240270" cy="1800225"/>
            <wp:effectExtent l="0" t="0" r="0" b="3810"/>
            <wp:docPr id="48" name="图片 48" descr="G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GGT"/>
                    <pic:cNvPicPr>
                      <a:picLocks noChangeAspect="1"/>
                    </pic:cNvPicPr>
                  </pic:nvPicPr>
                  <pic:blipFill>
                    <a:blip r:embed="rId10"/>
                    <a:stretch>
                      <a:fillRect/>
                    </a:stretch>
                  </pic:blipFill>
                  <pic:spPr>
                    <a:xfrm>
                      <a:off x="0" y="0"/>
                      <a:ext cx="7315493" cy="1818652"/>
                    </a:xfrm>
                    <a:prstGeom prst="rect">
                      <a:avLst/>
                    </a:prstGeom>
                  </pic:spPr>
                </pic:pic>
              </a:graphicData>
            </a:graphic>
          </wp:inline>
        </w:drawing>
      </w:r>
    </w:p>
    <w:p>
      <w:pPr>
        <w:spacing w:line="360" w:lineRule="auto"/>
        <w:rPr>
          <w:rFonts w:ascii="Garamond" w:hAnsi="Garamond" w:eastAsia="DengXian"/>
          <w:color w:val="000000" w:themeColor="text1"/>
          <w:sz w:val="28"/>
          <w:szCs w:val="28"/>
          <w14:textFill>
            <w14:solidFill>
              <w14:schemeClr w14:val="tx1"/>
            </w14:solidFill>
          </w14:textFill>
        </w:rPr>
      </w:pPr>
      <w:r>
        <w:rPr>
          <w:rFonts w:ascii="Garamond" w:hAnsi="Garamond" w:eastAsia="DengXian"/>
          <w:b/>
          <w:bCs/>
          <w:color w:val="000000" w:themeColor="text1"/>
          <w:sz w:val="28"/>
          <w:szCs w:val="28"/>
          <w14:textFill>
            <w14:solidFill>
              <w14:schemeClr w14:val="tx1"/>
            </w14:solidFill>
          </w14:textFill>
        </w:rPr>
        <w:t xml:space="preserve">Fig S8. </w:t>
      </w:r>
      <w:r>
        <w:rPr>
          <w:rFonts w:ascii="Garamond" w:hAnsi="Garamond" w:eastAsia="DengXian"/>
          <w:color w:val="000000" w:themeColor="text1"/>
          <w:sz w:val="28"/>
          <w:szCs w:val="28"/>
          <w14:textFill>
            <w14:solidFill>
              <w14:schemeClr w14:val="tx1"/>
            </w14:solidFill>
          </w14:textFill>
        </w:rPr>
        <w:t xml:space="preserve">Doi plot and LFK index analysis of publication bias in reported associations between </w:t>
      </w:r>
      <w:r>
        <w:rPr>
          <w:rFonts w:hint="eastAsia" w:ascii="Garamond" w:hAnsi="Garamond" w:eastAsia="DengXian"/>
          <w:color w:val="000000" w:themeColor="text1"/>
          <w:sz w:val="28"/>
          <w:szCs w:val="28"/>
          <w14:textFill>
            <w14:solidFill>
              <w14:schemeClr w14:val="tx1"/>
            </w14:solidFill>
          </w14:textFill>
        </w:rPr>
        <w:t>PFOA with ALP for continuous exposure</w:t>
      </w:r>
      <w:r>
        <w:rPr>
          <w:rFonts w:ascii="Garamond" w:hAnsi="Garamond" w:eastAsia="DengXian"/>
          <w:color w:val="000000" w:themeColor="text1"/>
          <w:sz w:val="28"/>
          <w:szCs w:val="28"/>
          <w14:textFill>
            <w14:solidFill>
              <w14:schemeClr w14:val="tx1"/>
            </w14:solidFill>
          </w14:textFill>
        </w:rPr>
        <w:t>.</w:t>
      </w:r>
    </w:p>
    <w:p>
      <w:pPr>
        <w:spacing w:line="360" w:lineRule="auto"/>
        <w:rPr>
          <w:rFonts w:hint="eastAsia" w:ascii="Garamond" w:hAnsi="Garamond" w:eastAsia="DengXian"/>
          <w:color w:val="000000" w:themeColor="text1"/>
          <w:sz w:val="28"/>
          <w:szCs w:val="28"/>
          <w14:textFill>
            <w14:solidFill>
              <w14:schemeClr w14:val="tx1"/>
            </w14:solidFill>
          </w14:textFill>
        </w:rPr>
      </w:pPr>
      <w:r>
        <w:rPr>
          <w:rFonts w:ascii="Garamond" w:hAnsi="Garamond" w:eastAsia="DengXian"/>
          <w:color w:val="000000" w:themeColor="text1"/>
          <w:sz w:val="28"/>
          <w:szCs w:val="28"/>
          <w14:textFill>
            <w14:solidFill>
              <w14:schemeClr w14:val="tx1"/>
            </w14:solidFill>
          </w14:textFill>
        </w:rPr>
        <w:drawing>
          <wp:inline distT="0" distB="0" distL="114300" distR="114300">
            <wp:extent cx="7218680" cy="1764665"/>
            <wp:effectExtent l="0" t="0" r="0" b="635"/>
            <wp:docPr id="50" name="图片 50"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44"/>
                    <pic:cNvPicPr>
                      <a:picLocks noChangeAspect="1"/>
                    </pic:cNvPicPr>
                  </pic:nvPicPr>
                  <pic:blipFill>
                    <a:blip r:embed="rId11"/>
                    <a:stretch>
                      <a:fillRect/>
                    </a:stretch>
                  </pic:blipFill>
                  <pic:spPr>
                    <a:xfrm>
                      <a:off x="0" y="0"/>
                      <a:ext cx="7280871" cy="1779948"/>
                    </a:xfrm>
                    <a:prstGeom prst="rect">
                      <a:avLst/>
                    </a:prstGeom>
                  </pic:spPr>
                </pic:pic>
              </a:graphicData>
            </a:graphic>
          </wp:inline>
        </w:drawing>
      </w:r>
    </w:p>
    <w:sectPr>
      <w:pgSz w:w="16840" w:h="11900" w:orient="landscape"/>
      <w:pgMar w:top="1800" w:right="1440" w:bottom="1800" w:left="144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Palatino Linotype">
    <w:altName w:val="苹方-简"/>
    <w:panose1 w:val="02040502050505030304"/>
    <w:charset w:val="00"/>
    <w:family w:val="roman"/>
    <w:pitch w:val="default"/>
    <w:sig w:usb0="00000000" w:usb1="00000000" w:usb2="00000000" w:usb3="00000000" w:csb0="0000019F" w:csb1="00000000"/>
  </w:font>
  <w:font w:name="Garamond">
    <w:panose1 w:val="02020404030301010803"/>
    <w:charset w:val="00"/>
    <w:family w:val="roman"/>
    <w:pitch w:val="default"/>
    <w:sig w:usb0="00000287" w:usb1="00000000" w:usb2="00000000" w:usb3="00000000" w:csb0="6000009F" w:csb1="DFD70000"/>
  </w:font>
  <w:font w:name="TimesNewRomanPSMT">
    <w:panose1 w:val="02020603050405020304"/>
    <w:charset w:val="00"/>
    <w:family w:val="roman"/>
    <w:pitch w:val="default"/>
    <w:sig w:usb0="E0002AEF" w:usb1="C0007841" w:usb2="00000009" w:usb3="00000000" w:csb0="400001FF" w:csb1="FFFF0000"/>
  </w:font>
  <w:font w:name="Arial">
    <w:panose1 w:val="020B0604020202090204"/>
    <w:charset w:val="00"/>
    <w:family w:val="swiss"/>
    <w:pitch w:val="default"/>
    <w:sig w:usb0="E0000AFF" w:usb1="00007843" w:usb2="00000001" w:usb3="00000000" w:csb0="400001BF" w:csb1="DFF70000"/>
  </w:font>
  <w:font w:name="Times">
    <w:panose1 w:val="00000500000000020000"/>
    <w:charset w:val="00"/>
    <w:family w:val="auto"/>
    <w:pitch w:val="default"/>
    <w:sig w:usb0="E00002FF" w:usb1="5000205A" w:usb2="00000000" w:usb3="00000000" w:csb0="2000019F" w:csb1="4F010000"/>
  </w:font>
  <w:font w:name="Symbol">
    <w:altName w:val="Kingsoft Sign"/>
    <w:panose1 w:val="05050102010706020507"/>
    <w:charset w:val="02"/>
    <w:family w:val="decorative"/>
    <w:pitch w:val="default"/>
    <w:sig w:usb0="00000000" w:usb1="00000000" w:usb2="00000000" w:usb3="00000000" w:csb0="8000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 w:name="DengXian">
    <w:altName w:val="汉仪中等线KW"/>
    <w:panose1 w:val="00000000000000000000"/>
    <w:charset w:val="00"/>
    <w:family w:val="auto"/>
    <w:pitch w:val="default"/>
    <w:sig w:usb0="00000000" w:usb1="00000000" w:usb2="00000000" w:usb3="00000000" w:csb0="00000000" w:csb1="00000000"/>
  </w:font>
  <w:font w:name="Wingdings">
    <w:panose1 w:val="05000000000000000000"/>
    <w:charset w:val="00"/>
    <w:family w:val="decorative"/>
    <w:pitch w:val="default"/>
    <w:sig w:usb0="00000000" w:usb1="00000000" w:usb2="00000000" w:usb3="00000000" w:csb0="80000000" w:csb1="00000000"/>
  </w:font>
  <w:font w:name="Garamond Bold">
    <w:panose1 w:val="02020404030301010803"/>
    <w:charset w:val="00"/>
    <w:family w:val="auto"/>
    <w:pitch w:val="default"/>
    <w:sig w:usb0="00000287" w:usb1="00000000" w:usb2="00000000" w:usb3="00000000" w:csb0="6000009F" w:csb1="DFD70000"/>
  </w:font>
  <w:font w:name="等线">
    <w:altName w:val="汉仪中等线KW"/>
    <w:panose1 w:val="00000000000000000000"/>
    <w:charset w:val="00"/>
    <w:family w:val="auto"/>
    <w:pitch w:val="default"/>
    <w:sig w:usb0="00000000" w:usb1="00000000" w:usb2="00000000" w:usb3="00000000" w:csb0="00000000" w:csb1="00000000"/>
  </w:font>
  <w:font w:name="冬青黑体简体中文">
    <w:panose1 w:val="020B0300000000000000"/>
    <w:charset w:val="86"/>
    <w:family w:val="auto"/>
    <w:pitch w:val="default"/>
    <w:sig w:usb0="A00002BF" w:usb1="1ACF7CFA" w:usb2="00000016" w:usb3="00000000" w:csb0="00060007" w:csb1="00000000"/>
  </w:font>
  <w:font w:name="Apple SD Gothic Neo">
    <w:panose1 w:val="02000300000000000000"/>
    <w:charset w:val="81"/>
    <w:family w:val="auto"/>
    <w:pitch w:val="default"/>
    <w:sig w:usb0="00000203" w:usb1="21D12C10" w:usb2="00000010" w:usb3="00000000" w:csb0="00280005" w:csb1="00000000"/>
  </w:font>
  <w:font w:name="宋体-简">
    <w:panose1 w:val="02010800040101010101"/>
    <w:charset w:val="86"/>
    <w:family w:val="auto"/>
    <w:pitch w:val="default"/>
    <w:sig w:usb0="00000001" w:usb1="080F0000" w:usb2="00000000" w:usb3="00000000" w:csb0="00040000" w:csb1="00000000"/>
  </w:font>
  <w:font w:name="儷宋 Pro">
    <w:panose1 w:val="02020300000000000000"/>
    <w:charset w:val="88"/>
    <w:family w:val="auto"/>
    <w:pitch w:val="default"/>
    <w:sig w:usb0="80000001" w:usb1="28091800" w:usb2="00000016" w:usb3="00000000" w:csb0="00100000" w:csb1="00000000"/>
  </w:font>
  <w:font w:name="文道楷体">
    <w:panose1 w:val="02010600040101010101"/>
    <w:charset w:val="86"/>
    <w:family w:val="auto"/>
    <w:pitch w:val="default"/>
    <w:sig w:usb0="00000001" w:usb1="18000C10" w:usb2="00000012" w:usb3="00000000" w:csb0="00140001" w:csb1="00000000"/>
  </w:font>
  <w:font w:name="®¨?">
    <w:panose1 w:val="03000600000000000000"/>
    <w:charset w:val="80"/>
    <w:family w:val="auto"/>
    <w:pitch w:val="default"/>
    <w:sig w:usb0="00000283" w:usb1="180F1C10" w:usb2="00000012" w:usb3="00000000" w:csb0="00020001" w:csb1="00000000"/>
  </w:font>
  <w:font w:name="標楷體">
    <w:panose1 w:val="02010601000101010101"/>
    <w:charset w:val="00"/>
    <w:family w:val="auto"/>
    <w:pitch w:val="default"/>
    <w:sig w:usb0="00000000" w:usb1="00000000" w:usb2="00000000" w:usb3="00000000" w:csb0="00000000" w:csb1="00000000"/>
  </w:font>
  <w:font w:name="GB18030 Bitmap">
    <w:panose1 w:val="00000000000000000000"/>
    <w:charset w:val="00"/>
    <w:family w:val="auto"/>
    <w:pitch w:val="default"/>
    <w:sig w:usb0="00000000" w:usb1="00000000" w:usb2="00000000" w:usb3="00000000" w:csb0="00000000" w:csb1="00000000"/>
  </w:font>
  <w:font w:name="Farisi">
    <w:panose1 w:val="00000400000000000000"/>
    <w:charset w:val="00"/>
    <w:family w:val="auto"/>
    <w:pitch w:val="default"/>
    <w:sig w:usb0="00000000" w:usb1="00000000" w:usb2="00000000" w:usb3="00000000" w:csb0="00000001" w:csb1="00000000"/>
  </w:font>
  <w:font w:name="DIN Alternate">
    <w:panose1 w:val="020B0500000000000000"/>
    <w:charset w:val="00"/>
    <w:family w:val="auto"/>
    <w:pitch w:val="default"/>
    <w:sig w:usb0="8000002F" w:usb1="10000048" w:usb2="00000000" w:usb3="00000000" w:csb0="20000111" w:csb1="40000000"/>
  </w:font>
  <w:font w:name="Farah">
    <w:panose1 w:val="00000400000000000000"/>
    <w:charset w:val="00"/>
    <w:family w:val="auto"/>
    <w:pitch w:val="default"/>
    <w:sig w:usb0="00000003" w:usb1="00000000" w:usb2="00000000" w:usb3="00000000" w:csb0="00000001" w:csb1="00000000"/>
  </w:font>
  <w:font w:name="Gill Sans Regular">
    <w:panose1 w:val="020B0502020104020203"/>
    <w:charset w:val="00"/>
    <w:family w:val="auto"/>
    <w:pitch w:val="default"/>
    <w:sig w:usb0="80000267" w:usb1="00000000" w:usb2="00000000" w:usb3="00000000" w:csb0="200001F7" w:csb1="CFFE0000"/>
  </w:font>
  <w:font w:name="Gurmukhi MT">
    <w:panose1 w:val="00000000000000000000"/>
    <w:charset w:val="00"/>
    <w:family w:val="auto"/>
    <w:pitch w:val="default"/>
    <w:sig w:usb0="80028003" w:usb1="1000C0C0" w:usb2="00000000" w:usb3="00000000" w:csb0="00000001" w:csb1="00000000"/>
  </w:font>
  <w:font w:name="Gurmukhi MN Regular">
    <w:panose1 w:val="02020600050405020304"/>
    <w:charset w:val="00"/>
    <w:family w:val="auto"/>
    <w:pitch w:val="default"/>
    <w:sig w:usb0="80100003" w:usb1="00002000" w:usb2="00000000" w:usb3="00000000" w:csb0="00000001" w:csb1="00000000"/>
  </w:font>
  <w:font w:name="Grantha Sangam MN Regular">
    <w:panose1 w:val="00000500000000000000"/>
    <w:charset w:val="00"/>
    <w:family w:val="auto"/>
    <w:pitch w:val="default"/>
    <w:sig w:usb0="00108001" w:usb1="02000004" w:usb2="00000000" w:usb3="00000000" w:csb0="00000001" w:csb1="00000000"/>
  </w:font>
  <w:font w:name="Geeza Pro Regular">
    <w:panose1 w:val="02000400000000000000"/>
    <w:charset w:val="00"/>
    <w:family w:val="auto"/>
    <w:pitch w:val="default"/>
    <w:sig w:usb0="80002000" w:usb1="80000000" w:usb2="00000008" w:usb3="00000000" w:csb0="00000001" w:csb1="00000000"/>
  </w:font>
  <w:font w:name="Garamond Regular">
    <w:panose1 w:val="02020404030301010803"/>
    <w:charset w:val="00"/>
    <w:family w:val="auto"/>
    <w:pitch w:val="default"/>
    <w:sig w:usb0="00000287" w:usb1="00000000" w:usb2="00000000" w:usb3="00000000" w:csb0="6000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cumentProtection w:enforcement="0"/>
  <w:defaultTabStop w:val="420"/>
  <w:drawingGridHorizontalSpacing w:val="120"/>
  <w:drawingGridVerticalSpacing w:val="42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2C3"/>
    <w:rsid w:val="00002413"/>
    <w:rsid w:val="00003534"/>
    <w:rsid w:val="00004AE1"/>
    <w:rsid w:val="00005116"/>
    <w:rsid w:val="00006696"/>
    <w:rsid w:val="000068CC"/>
    <w:rsid w:val="00010D26"/>
    <w:rsid w:val="00010F99"/>
    <w:rsid w:val="000116F4"/>
    <w:rsid w:val="00011A31"/>
    <w:rsid w:val="00012233"/>
    <w:rsid w:val="000126DD"/>
    <w:rsid w:val="00017381"/>
    <w:rsid w:val="00023102"/>
    <w:rsid w:val="00024046"/>
    <w:rsid w:val="0002419D"/>
    <w:rsid w:val="000246F1"/>
    <w:rsid w:val="00024B2F"/>
    <w:rsid w:val="00025E98"/>
    <w:rsid w:val="0002726E"/>
    <w:rsid w:val="00027389"/>
    <w:rsid w:val="00027CC1"/>
    <w:rsid w:val="00030857"/>
    <w:rsid w:val="00031D6C"/>
    <w:rsid w:val="00031D71"/>
    <w:rsid w:val="000324F8"/>
    <w:rsid w:val="00032CCD"/>
    <w:rsid w:val="00033B26"/>
    <w:rsid w:val="00034817"/>
    <w:rsid w:val="000417C3"/>
    <w:rsid w:val="000427AC"/>
    <w:rsid w:val="000436D1"/>
    <w:rsid w:val="00043DB8"/>
    <w:rsid w:val="00045104"/>
    <w:rsid w:val="000452D0"/>
    <w:rsid w:val="00046B41"/>
    <w:rsid w:val="000505AB"/>
    <w:rsid w:val="00050689"/>
    <w:rsid w:val="00051E77"/>
    <w:rsid w:val="00052B08"/>
    <w:rsid w:val="00055442"/>
    <w:rsid w:val="0005550A"/>
    <w:rsid w:val="00055A10"/>
    <w:rsid w:val="000577D4"/>
    <w:rsid w:val="00061C95"/>
    <w:rsid w:val="00062071"/>
    <w:rsid w:val="00062633"/>
    <w:rsid w:val="0006454A"/>
    <w:rsid w:val="00064F23"/>
    <w:rsid w:val="000659CB"/>
    <w:rsid w:val="00067248"/>
    <w:rsid w:val="000675F9"/>
    <w:rsid w:val="00070440"/>
    <w:rsid w:val="00070538"/>
    <w:rsid w:val="000728D5"/>
    <w:rsid w:val="00072EBE"/>
    <w:rsid w:val="000732EA"/>
    <w:rsid w:val="00073462"/>
    <w:rsid w:val="000765FB"/>
    <w:rsid w:val="00080BF8"/>
    <w:rsid w:val="00084050"/>
    <w:rsid w:val="00084FD8"/>
    <w:rsid w:val="00085E66"/>
    <w:rsid w:val="00090DAD"/>
    <w:rsid w:val="00093670"/>
    <w:rsid w:val="000936C7"/>
    <w:rsid w:val="000938FC"/>
    <w:rsid w:val="00093CFE"/>
    <w:rsid w:val="000962CF"/>
    <w:rsid w:val="00097146"/>
    <w:rsid w:val="000A1A20"/>
    <w:rsid w:val="000A4CF4"/>
    <w:rsid w:val="000B1174"/>
    <w:rsid w:val="000B1C00"/>
    <w:rsid w:val="000B362B"/>
    <w:rsid w:val="000B3C6E"/>
    <w:rsid w:val="000B5BE6"/>
    <w:rsid w:val="000B6442"/>
    <w:rsid w:val="000B6F0C"/>
    <w:rsid w:val="000B7FEE"/>
    <w:rsid w:val="000C06A6"/>
    <w:rsid w:val="000C29A0"/>
    <w:rsid w:val="000C3447"/>
    <w:rsid w:val="000C4E0A"/>
    <w:rsid w:val="000C6042"/>
    <w:rsid w:val="000C7390"/>
    <w:rsid w:val="000C7977"/>
    <w:rsid w:val="000D0503"/>
    <w:rsid w:val="000D2C14"/>
    <w:rsid w:val="000D391E"/>
    <w:rsid w:val="000D52D3"/>
    <w:rsid w:val="000D58ED"/>
    <w:rsid w:val="000D5CAE"/>
    <w:rsid w:val="000E1D42"/>
    <w:rsid w:val="000E5F1E"/>
    <w:rsid w:val="000F08D3"/>
    <w:rsid w:val="000F2554"/>
    <w:rsid w:val="000F477F"/>
    <w:rsid w:val="000F5914"/>
    <w:rsid w:val="000F7560"/>
    <w:rsid w:val="000F789B"/>
    <w:rsid w:val="0010140C"/>
    <w:rsid w:val="00102F51"/>
    <w:rsid w:val="00104AEE"/>
    <w:rsid w:val="001054CA"/>
    <w:rsid w:val="0010580D"/>
    <w:rsid w:val="0010692C"/>
    <w:rsid w:val="001104CA"/>
    <w:rsid w:val="00110778"/>
    <w:rsid w:val="00111889"/>
    <w:rsid w:val="00112367"/>
    <w:rsid w:val="0011237A"/>
    <w:rsid w:val="00113367"/>
    <w:rsid w:val="00113411"/>
    <w:rsid w:val="0011368D"/>
    <w:rsid w:val="00113F78"/>
    <w:rsid w:val="00114798"/>
    <w:rsid w:val="00114805"/>
    <w:rsid w:val="00114F70"/>
    <w:rsid w:val="00116B9E"/>
    <w:rsid w:val="00117893"/>
    <w:rsid w:val="0012107A"/>
    <w:rsid w:val="001238FB"/>
    <w:rsid w:val="001240B0"/>
    <w:rsid w:val="00124115"/>
    <w:rsid w:val="001245A3"/>
    <w:rsid w:val="00124D23"/>
    <w:rsid w:val="00130921"/>
    <w:rsid w:val="00132031"/>
    <w:rsid w:val="00135E95"/>
    <w:rsid w:val="0014137F"/>
    <w:rsid w:val="00141A27"/>
    <w:rsid w:val="00142661"/>
    <w:rsid w:val="001427A0"/>
    <w:rsid w:val="00142B68"/>
    <w:rsid w:val="00142E5B"/>
    <w:rsid w:val="001447A9"/>
    <w:rsid w:val="0014697D"/>
    <w:rsid w:val="00146C39"/>
    <w:rsid w:val="0014770D"/>
    <w:rsid w:val="001477F0"/>
    <w:rsid w:val="001552AE"/>
    <w:rsid w:val="00161F9F"/>
    <w:rsid w:val="00163EF5"/>
    <w:rsid w:val="00164389"/>
    <w:rsid w:val="0016482C"/>
    <w:rsid w:val="001674F0"/>
    <w:rsid w:val="001679B5"/>
    <w:rsid w:val="00171A28"/>
    <w:rsid w:val="00171DBB"/>
    <w:rsid w:val="0017392B"/>
    <w:rsid w:val="001749D3"/>
    <w:rsid w:val="00176483"/>
    <w:rsid w:val="00176CAD"/>
    <w:rsid w:val="00181DD1"/>
    <w:rsid w:val="00182C53"/>
    <w:rsid w:val="00183153"/>
    <w:rsid w:val="00184992"/>
    <w:rsid w:val="00185410"/>
    <w:rsid w:val="001854A5"/>
    <w:rsid w:val="00185F0C"/>
    <w:rsid w:val="001906D6"/>
    <w:rsid w:val="00190D5D"/>
    <w:rsid w:val="00190F8F"/>
    <w:rsid w:val="0019352D"/>
    <w:rsid w:val="0019376F"/>
    <w:rsid w:val="001959FF"/>
    <w:rsid w:val="00195A42"/>
    <w:rsid w:val="00197408"/>
    <w:rsid w:val="001A105B"/>
    <w:rsid w:val="001A4661"/>
    <w:rsid w:val="001A4D8F"/>
    <w:rsid w:val="001A5FB3"/>
    <w:rsid w:val="001A6A5C"/>
    <w:rsid w:val="001A7904"/>
    <w:rsid w:val="001A7C95"/>
    <w:rsid w:val="001A7D0F"/>
    <w:rsid w:val="001A7F83"/>
    <w:rsid w:val="001B01AA"/>
    <w:rsid w:val="001B1184"/>
    <w:rsid w:val="001B3C0D"/>
    <w:rsid w:val="001B3C1A"/>
    <w:rsid w:val="001B60DF"/>
    <w:rsid w:val="001B6E11"/>
    <w:rsid w:val="001B7EA4"/>
    <w:rsid w:val="001C0992"/>
    <w:rsid w:val="001C187E"/>
    <w:rsid w:val="001C37A1"/>
    <w:rsid w:val="001C3B3D"/>
    <w:rsid w:val="001C4F7C"/>
    <w:rsid w:val="001C612D"/>
    <w:rsid w:val="001C6F5F"/>
    <w:rsid w:val="001C7D96"/>
    <w:rsid w:val="001D0A3C"/>
    <w:rsid w:val="001D4164"/>
    <w:rsid w:val="001D4C02"/>
    <w:rsid w:val="001D79BD"/>
    <w:rsid w:val="001D7B49"/>
    <w:rsid w:val="001E036B"/>
    <w:rsid w:val="001E3051"/>
    <w:rsid w:val="001E611E"/>
    <w:rsid w:val="001F0465"/>
    <w:rsid w:val="001F0F04"/>
    <w:rsid w:val="001F13B7"/>
    <w:rsid w:val="001F17F6"/>
    <w:rsid w:val="001F1ED0"/>
    <w:rsid w:val="001F42A4"/>
    <w:rsid w:val="001F46C5"/>
    <w:rsid w:val="001F49F4"/>
    <w:rsid w:val="001F545E"/>
    <w:rsid w:val="001F5E1A"/>
    <w:rsid w:val="001F7073"/>
    <w:rsid w:val="002019CA"/>
    <w:rsid w:val="002042C3"/>
    <w:rsid w:val="00204410"/>
    <w:rsid w:val="00204F6B"/>
    <w:rsid w:val="0021407B"/>
    <w:rsid w:val="00214AD3"/>
    <w:rsid w:val="00220A10"/>
    <w:rsid w:val="00223915"/>
    <w:rsid w:val="0022417A"/>
    <w:rsid w:val="00224AC1"/>
    <w:rsid w:val="0022569F"/>
    <w:rsid w:val="002307AF"/>
    <w:rsid w:val="00231003"/>
    <w:rsid w:val="00231E86"/>
    <w:rsid w:val="00235105"/>
    <w:rsid w:val="0024180D"/>
    <w:rsid w:val="002439D9"/>
    <w:rsid w:val="00244128"/>
    <w:rsid w:val="00244F96"/>
    <w:rsid w:val="00245F45"/>
    <w:rsid w:val="002466EA"/>
    <w:rsid w:val="00251761"/>
    <w:rsid w:val="0025214B"/>
    <w:rsid w:val="00252659"/>
    <w:rsid w:val="0025291E"/>
    <w:rsid w:val="002529B5"/>
    <w:rsid w:val="00253691"/>
    <w:rsid w:val="002563C7"/>
    <w:rsid w:val="00256756"/>
    <w:rsid w:val="00262C60"/>
    <w:rsid w:val="00264084"/>
    <w:rsid w:val="00266BD9"/>
    <w:rsid w:val="00267055"/>
    <w:rsid w:val="00270CCF"/>
    <w:rsid w:val="00274931"/>
    <w:rsid w:val="002759E1"/>
    <w:rsid w:val="00276558"/>
    <w:rsid w:val="0028013D"/>
    <w:rsid w:val="00290BD9"/>
    <w:rsid w:val="002929CC"/>
    <w:rsid w:val="00292C34"/>
    <w:rsid w:val="002939B5"/>
    <w:rsid w:val="00293AE4"/>
    <w:rsid w:val="00294F87"/>
    <w:rsid w:val="00295C35"/>
    <w:rsid w:val="00295FC5"/>
    <w:rsid w:val="00297467"/>
    <w:rsid w:val="00297705"/>
    <w:rsid w:val="002A1637"/>
    <w:rsid w:val="002A205C"/>
    <w:rsid w:val="002A29DF"/>
    <w:rsid w:val="002A4E97"/>
    <w:rsid w:val="002A4FF7"/>
    <w:rsid w:val="002A573D"/>
    <w:rsid w:val="002A7D47"/>
    <w:rsid w:val="002B0158"/>
    <w:rsid w:val="002B4558"/>
    <w:rsid w:val="002B4DE6"/>
    <w:rsid w:val="002C1141"/>
    <w:rsid w:val="002C1D7B"/>
    <w:rsid w:val="002C27A7"/>
    <w:rsid w:val="002C35C8"/>
    <w:rsid w:val="002D2608"/>
    <w:rsid w:val="002E5F8F"/>
    <w:rsid w:val="002E6871"/>
    <w:rsid w:val="002E6A7D"/>
    <w:rsid w:val="002E77A6"/>
    <w:rsid w:val="002F65C3"/>
    <w:rsid w:val="002F6F9E"/>
    <w:rsid w:val="00306664"/>
    <w:rsid w:val="00306AEB"/>
    <w:rsid w:val="00307519"/>
    <w:rsid w:val="00307954"/>
    <w:rsid w:val="003112CB"/>
    <w:rsid w:val="00311B9A"/>
    <w:rsid w:val="00312227"/>
    <w:rsid w:val="003150A8"/>
    <w:rsid w:val="00316BC7"/>
    <w:rsid w:val="00316E8C"/>
    <w:rsid w:val="00321640"/>
    <w:rsid w:val="00321853"/>
    <w:rsid w:val="00322230"/>
    <w:rsid w:val="00324834"/>
    <w:rsid w:val="00326CF0"/>
    <w:rsid w:val="00333127"/>
    <w:rsid w:val="00333876"/>
    <w:rsid w:val="00333B0E"/>
    <w:rsid w:val="00335AAC"/>
    <w:rsid w:val="00340624"/>
    <w:rsid w:val="003409BE"/>
    <w:rsid w:val="00340A30"/>
    <w:rsid w:val="00342F7B"/>
    <w:rsid w:val="00343422"/>
    <w:rsid w:val="00344E6A"/>
    <w:rsid w:val="0034759C"/>
    <w:rsid w:val="00351EF6"/>
    <w:rsid w:val="003530C0"/>
    <w:rsid w:val="003536BC"/>
    <w:rsid w:val="003536D7"/>
    <w:rsid w:val="0035535B"/>
    <w:rsid w:val="00355E14"/>
    <w:rsid w:val="00356364"/>
    <w:rsid w:val="00357ABA"/>
    <w:rsid w:val="00362603"/>
    <w:rsid w:val="00363516"/>
    <w:rsid w:val="00363BBD"/>
    <w:rsid w:val="00364522"/>
    <w:rsid w:val="00365FBD"/>
    <w:rsid w:val="00366214"/>
    <w:rsid w:val="00366367"/>
    <w:rsid w:val="0036769D"/>
    <w:rsid w:val="00367B19"/>
    <w:rsid w:val="00372520"/>
    <w:rsid w:val="003735E8"/>
    <w:rsid w:val="003764B4"/>
    <w:rsid w:val="00377FF4"/>
    <w:rsid w:val="00383CEF"/>
    <w:rsid w:val="00383E8A"/>
    <w:rsid w:val="00383EFC"/>
    <w:rsid w:val="00384D8F"/>
    <w:rsid w:val="00386991"/>
    <w:rsid w:val="0038747A"/>
    <w:rsid w:val="003875EA"/>
    <w:rsid w:val="00387A7F"/>
    <w:rsid w:val="003916B4"/>
    <w:rsid w:val="00391CFB"/>
    <w:rsid w:val="00393B9D"/>
    <w:rsid w:val="003A0102"/>
    <w:rsid w:val="003A0348"/>
    <w:rsid w:val="003A1C42"/>
    <w:rsid w:val="003A3817"/>
    <w:rsid w:val="003A3854"/>
    <w:rsid w:val="003A3BCD"/>
    <w:rsid w:val="003A7204"/>
    <w:rsid w:val="003A75F6"/>
    <w:rsid w:val="003A7BAE"/>
    <w:rsid w:val="003B011D"/>
    <w:rsid w:val="003B029A"/>
    <w:rsid w:val="003B22FB"/>
    <w:rsid w:val="003B2B10"/>
    <w:rsid w:val="003B33EF"/>
    <w:rsid w:val="003B40EB"/>
    <w:rsid w:val="003B5F32"/>
    <w:rsid w:val="003B6EB2"/>
    <w:rsid w:val="003B792D"/>
    <w:rsid w:val="003C0D6E"/>
    <w:rsid w:val="003C18A1"/>
    <w:rsid w:val="003C24A6"/>
    <w:rsid w:val="003C26D1"/>
    <w:rsid w:val="003C35E2"/>
    <w:rsid w:val="003C3F5D"/>
    <w:rsid w:val="003C5542"/>
    <w:rsid w:val="003D209B"/>
    <w:rsid w:val="003D7680"/>
    <w:rsid w:val="003E03F9"/>
    <w:rsid w:val="003E0455"/>
    <w:rsid w:val="003E21C8"/>
    <w:rsid w:val="003E2474"/>
    <w:rsid w:val="003E25FD"/>
    <w:rsid w:val="003E28C9"/>
    <w:rsid w:val="003E2A04"/>
    <w:rsid w:val="003E3446"/>
    <w:rsid w:val="003E404A"/>
    <w:rsid w:val="003E4567"/>
    <w:rsid w:val="003E4DE0"/>
    <w:rsid w:val="003E4E13"/>
    <w:rsid w:val="003E71D5"/>
    <w:rsid w:val="003E7FF4"/>
    <w:rsid w:val="003F0941"/>
    <w:rsid w:val="003F28CE"/>
    <w:rsid w:val="003F3D91"/>
    <w:rsid w:val="003F4145"/>
    <w:rsid w:val="003F5366"/>
    <w:rsid w:val="003F546A"/>
    <w:rsid w:val="003F5B31"/>
    <w:rsid w:val="003F627B"/>
    <w:rsid w:val="003F6BA4"/>
    <w:rsid w:val="00400647"/>
    <w:rsid w:val="00400C9F"/>
    <w:rsid w:val="00401074"/>
    <w:rsid w:val="004015BA"/>
    <w:rsid w:val="004021B6"/>
    <w:rsid w:val="00402EBB"/>
    <w:rsid w:val="004054E8"/>
    <w:rsid w:val="00406ECC"/>
    <w:rsid w:val="004075B9"/>
    <w:rsid w:val="00407BAD"/>
    <w:rsid w:val="00410BE2"/>
    <w:rsid w:val="00411A12"/>
    <w:rsid w:val="00412EC4"/>
    <w:rsid w:val="004136FB"/>
    <w:rsid w:val="004148EE"/>
    <w:rsid w:val="00414B1D"/>
    <w:rsid w:val="00415C03"/>
    <w:rsid w:val="0042283C"/>
    <w:rsid w:val="004237E6"/>
    <w:rsid w:val="00425C61"/>
    <w:rsid w:val="00426817"/>
    <w:rsid w:val="00427F2B"/>
    <w:rsid w:val="0043041B"/>
    <w:rsid w:val="00430B66"/>
    <w:rsid w:val="00430BFD"/>
    <w:rsid w:val="00431BCB"/>
    <w:rsid w:val="00433DA4"/>
    <w:rsid w:val="004363BD"/>
    <w:rsid w:val="00437137"/>
    <w:rsid w:val="004400CF"/>
    <w:rsid w:val="00440D18"/>
    <w:rsid w:val="00446A84"/>
    <w:rsid w:val="004478BA"/>
    <w:rsid w:val="0045163F"/>
    <w:rsid w:val="00454690"/>
    <w:rsid w:val="0046002B"/>
    <w:rsid w:val="00461351"/>
    <w:rsid w:val="004615CC"/>
    <w:rsid w:val="004627EC"/>
    <w:rsid w:val="00466725"/>
    <w:rsid w:val="004714A0"/>
    <w:rsid w:val="0047171E"/>
    <w:rsid w:val="00471AB1"/>
    <w:rsid w:val="0047236A"/>
    <w:rsid w:val="00473E33"/>
    <w:rsid w:val="00476E2A"/>
    <w:rsid w:val="0048143F"/>
    <w:rsid w:val="00481461"/>
    <w:rsid w:val="00481BCF"/>
    <w:rsid w:val="004821C0"/>
    <w:rsid w:val="0048246D"/>
    <w:rsid w:val="004828D4"/>
    <w:rsid w:val="004832FF"/>
    <w:rsid w:val="00483BC6"/>
    <w:rsid w:val="00485DA9"/>
    <w:rsid w:val="00486EAA"/>
    <w:rsid w:val="00487163"/>
    <w:rsid w:val="004877EC"/>
    <w:rsid w:val="00487B01"/>
    <w:rsid w:val="00490662"/>
    <w:rsid w:val="00495CAD"/>
    <w:rsid w:val="00495D54"/>
    <w:rsid w:val="00496DDC"/>
    <w:rsid w:val="004A09F2"/>
    <w:rsid w:val="004A18E2"/>
    <w:rsid w:val="004A3F8F"/>
    <w:rsid w:val="004A4028"/>
    <w:rsid w:val="004A4978"/>
    <w:rsid w:val="004A5C7A"/>
    <w:rsid w:val="004A64FD"/>
    <w:rsid w:val="004A6DDF"/>
    <w:rsid w:val="004B0B7B"/>
    <w:rsid w:val="004B1752"/>
    <w:rsid w:val="004B41A4"/>
    <w:rsid w:val="004C1AAB"/>
    <w:rsid w:val="004C1F8A"/>
    <w:rsid w:val="004C73CE"/>
    <w:rsid w:val="004D45D9"/>
    <w:rsid w:val="004D48DA"/>
    <w:rsid w:val="004D4DCD"/>
    <w:rsid w:val="004E07F3"/>
    <w:rsid w:val="004E2495"/>
    <w:rsid w:val="004E2577"/>
    <w:rsid w:val="004E4100"/>
    <w:rsid w:val="004E7008"/>
    <w:rsid w:val="004E7B1C"/>
    <w:rsid w:val="004F2360"/>
    <w:rsid w:val="004F2465"/>
    <w:rsid w:val="004F38BC"/>
    <w:rsid w:val="004F4E95"/>
    <w:rsid w:val="004F633D"/>
    <w:rsid w:val="004F6B0F"/>
    <w:rsid w:val="004F7F1B"/>
    <w:rsid w:val="00500ACB"/>
    <w:rsid w:val="00502944"/>
    <w:rsid w:val="00502C35"/>
    <w:rsid w:val="00503CC6"/>
    <w:rsid w:val="0050432F"/>
    <w:rsid w:val="005067BD"/>
    <w:rsid w:val="005069E0"/>
    <w:rsid w:val="00510975"/>
    <w:rsid w:val="00510FC1"/>
    <w:rsid w:val="005119AF"/>
    <w:rsid w:val="00514B24"/>
    <w:rsid w:val="005162D8"/>
    <w:rsid w:val="00517B91"/>
    <w:rsid w:val="00520511"/>
    <w:rsid w:val="00522634"/>
    <w:rsid w:val="00523C26"/>
    <w:rsid w:val="00524419"/>
    <w:rsid w:val="00524BA3"/>
    <w:rsid w:val="005266D2"/>
    <w:rsid w:val="005266DA"/>
    <w:rsid w:val="0052694F"/>
    <w:rsid w:val="005305A4"/>
    <w:rsid w:val="005315AB"/>
    <w:rsid w:val="0053240C"/>
    <w:rsid w:val="00532683"/>
    <w:rsid w:val="0053471C"/>
    <w:rsid w:val="00534849"/>
    <w:rsid w:val="005355F3"/>
    <w:rsid w:val="0053651D"/>
    <w:rsid w:val="005375AB"/>
    <w:rsid w:val="00537913"/>
    <w:rsid w:val="00540E4D"/>
    <w:rsid w:val="00541345"/>
    <w:rsid w:val="00542F23"/>
    <w:rsid w:val="005436B1"/>
    <w:rsid w:val="00546F0D"/>
    <w:rsid w:val="00551F1A"/>
    <w:rsid w:val="00552322"/>
    <w:rsid w:val="005543B2"/>
    <w:rsid w:val="0055769A"/>
    <w:rsid w:val="00557E1A"/>
    <w:rsid w:val="00560F29"/>
    <w:rsid w:val="00567D72"/>
    <w:rsid w:val="00570512"/>
    <w:rsid w:val="00572111"/>
    <w:rsid w:val="005723ED"/>
    <w:rsid w:val="005743BB"/>
    <w:rsid w:val="005747D1"/>
    <w:rsid w:val="00574C0F"/>
    <w:rsid w:val="00575015"/>
    <w:rsid w:val="00576697"/>
    <w:rsid w:val="00576FAB"/>
    <w:rsid w:val="00577387"/>
    <w:rsid w:val="0057775A"/>
    <w:rsid w:val="0058054A"/>
    <w:rsid w:val="005812CD"/>
    <w:rsid w:val="0058505D"/>
    <w:rsid w:val="00585DC0"/>
    <w:rsid w:val="00586BC6"/>
    <w:rsid w:val="0059008B"/>
    <w:rsid w:val="00591F21"/>
    <w:rsid w:val="00592B68"/>
    <w:rsid w:val="00594883"/>
    <w:rsid w:val="00596D94"/>
    <w:rsid w:val="005A0A84"/>
    <w:rsid w:val="005A11BF"/>
    <w:rsid w:val="005A1813"/>
    <w:rsid w:val="005A1CFB"/>
    <w:rsid w:val="005A27F6"/>
    <w:rsid w:val="005A2F57"/>
    <w:rsid w:val="005A3F38"/>
    <w:rsid w:val="005A47B8"/>
    <w:rsid w:val="005A5E3F"/>
    <w:rsid w:val="005A67D1"/>
    <w:rsid w:val="005B0BBC"/>
    <w:rsid w:val="005B1135"/>
    <w:rsid w:val="005B185F"/>
    <w:rsid w:val="005B47F3"/>
    <w:rsid w:val="005B69AC"/>
    <w:rsid w:val="005C34AF"/>
    <w:rsid w:val="005C55BD"/>
    <w:rsid w:val="005C631B"/>
    <w:rsid w:val="005D0206"/>
    <w:rsid w:val="005D2CBA"/>
    <w:rsid w:val="005D314B"/>
    <w:rsid w:val="005D33CD"/>
    <w:rsid w:val="005D34D2"/>
    <w:rsid w:val="005D380C"/>
    <w:rsid w:val="005D3FD2"/>
    <w:rsid w:val="005D3FE2"/>
    <w:rsid w:val="005D46A4"/>
    <w:rsid w:val="005D48DE"/>
    <w:rsid w:val="005D51D7"/>
    <w:rsid w:val="005D5A17"/>
    <w:rsid w:val="005D61EC"/>
    <w:rsid w:val="005E07BF"/>
    <w:rsid w:val="005E2373"/>
    <w:rsid w:val="005E42BD"/>
    <w:rsid w:val="005E5026"/>
    <w:rsid w:val="005E581D"/>
    <w:rsid w:val="005E7014"/>
    <w:rsid w:val="005E780F"/>
    <w:rsid w:val="005E7CCE"/>
    <w:rsid w:val="005F20C4"/>
    <w:rsid w:val="005F3240"/>
    <w:rsid w:val="005F372A"/>
    <w:rsid w:val="005F39DD"/>
    <w:rsid w:val="005F5ECE"/>
    <w:rsid w:val="00603C1F"/>
    <w:rsid w:val="00604718"/>
    <w:rsid w:val="006057FC"/>
    <w:rsid w:val="00606CA8"/>
    <w:rsid w:val="00610D71"/>
    <w:rsid w:val="0061186F"/>
    <w:rsid w:val="00611C4E"/>
    <w:rsid w:val="00612D0D"/>
    <w:rsid w:val="00614004"/>
    <w:rsid w:val="00614B59"/>
    <w:rsid w:val="00615266"/>
    <w:rsid w:val="006224BD"/>
    <w:rsid w:val="00624BC8"/>
    <w:rsid w:val="00624D95"/>
    <w:rsid w:val="00626ABE"/>
    <w:rsid w:val="00626B2F"/>
    <w:rsid w:val="006277FC"/>
    <w:rsid w:val="00631643"/>
    <w:rsid w:val="006328F6"/>
    <w:rsid w:val="00632D39"/>
    <w:rsid w:val="006340E6"/>
    <w:rsid w:val="006351AE"/>
    <w:rsid w:val="0063579A"/>
    <w:rsid w:val="006370F0"/>
    <w:rsid w:val="00637110"/>
    <w:rsid w:val="00641069"/>
    <w:rsid w:val="006438D2"/>
    <w:rsid w:val="00651961"/>
    <w:rsid w:val="00651E49"/>
    <w:rsid w:val="006545A3"/>
    <w:rsid w:val="006556AE"/>
    <w:rsid w:val="00655735"/>
    <w:rsid w:val="006557B6"/>
    <w:rsid w:val="00655D67"/>
    <w:rsid w:val="00656AF6"/>
    <w:rsid w:val="006613C0"/>
    <w:rsid w:val="00661725"/>
    <w:rsid w:val="00662D10"/>
    <w:rsid w:val="00664AAA"/>
    <w:rsid w:val="006652CB"/>
    <w:rsid w:val="006662D8"/>
    <w:rsid w:val="00666FDC"/>
    <w:rsid w:val="00667140"/>
    <w:rsid w:val="00667C37"/>
    <w:rsid w:val="00667E6C"/>
    <w:rsid w:val="00673E6F"/>
    <w:rsid w:val="0067487A"/>
    <w:rsid w:val="0068012B"/>
    <w:rsid w:val="00680760"/>
    <w:rsid w:val="00680793"/>
    <w:rsid w:val="0068190D"/>
    <w:rsid w:val="00681C82"/>
    <w:rsid w:val="006859FA"/>
    <w:rsid w:val="0068624E"/>
    <w:rsid w:val="006862CD"/>
    <w:rsid w:val="006925D0"/>
    <w:rsid w:val="00692BFB"/>
    <w:rsid w:val="0069364D"/>
    <w:rsid w:val="00693F1D"/>
    <w:rsid w:val="00695640"/>
    <w:rsid w:val="00695F98"/>
    <w:rsid w:val="006A2241"/>
    <w:rsid w:val="006A3706"/>
    <w:rsid w:val="006A3DFE"/>
    <w:rsid w:val="006A51AE"/>
    <w:rsid w:val="006A79C6"/>
    <w:rsid w:val="006B03DB"/>
    <w:rsid w:val="006B4A45"/>
    <w:rsid w:val="006B7A31"/>
    <w:rsid w:val="006C2EBA"/>
    <w:rsid w:val="006C2F24"/>
    <w:rsid w:val="006C63A8"/>
    <w:rsid w:val="006C6973"/>
    <w:rsid w:val="006C6DC3"/>
    <w:rsid w:val="006C6FAB"/>
    <w:rsid w:val="006C7996"/>
    <w:rsid w:val="006D144A"/>
    <w:rsid w:val="006D160D"/>
    <w:rsid w:val="006D2F3D"/>
    <w:rsid w:val="006D31FA"/>
    <w:rsid w:val="006D4062"/>
    <w:rsid w:val="006D5094"/>
    <w:rsid w:val="006D62A0"/>
    <w:rsid w:val="006D6E84"/>
    <w:rsid w:val="006D706E"/>
    <w:rsid w:val="006E13EA"/>
    <w:rsid w:val="006E14E6"/>
    <w:rsid w:val="006E520A"/>
    <w:rsid w:val="006E544A"/>
    <w:rsid w:val="006E6146"/>
    <w:rsid w:val="006E639A"/>
    <w:rsid w:val="006E65A0"/>
    <w:rsid w:val="006E6733"/>
    <w:rsid w:val="006F0AC0"/>
    <w:rsid w:val="006F13DA"/>
    <w:rsid w:val="006F2B5C"/>
    <w:rsid w:val="006F400F"/>
    <w:rsid w:val="006F4836"/>
    <w:rsid w:val="006F4FE9"/>
    <w:rsid w:val="006F6131"/>
    <w:rsid w:val="006F696C"/>
    <w:rsid w:val="00711270"/>
    <w:rsid w:val="00711F74"/>
    <w:rsid w:val="00716441"/>
    <w:rsid w:val="00717A6E"/>
    <w:rsid w:val="007206BB"/>
    <w:rsid w:val="0072091D"/>
    <w:rsid w:val="007218CB"/>
    <w:rsid w:val="00722EBF"/>
    <w:rsid w:val="007244E3"/>
    <w:rsid w:val="00724C8E"/>
    <w:rsid w:val="0072506F"/>
    <w:rsid w:val="007336DE"/>
    <w:rsid w:val="00735B9A"/>
    <w:rsid w:val="00740C19"/>
    <w:rsid w:val="00742A09"/>
    <w:rsid w:val="00742D06"/>
    <w:rsid w:val="00743FB7"/>
    <w:rsid w:val="00744E71"/>
    <w:rsid w:val="0074686C"/>
    <w:rsid w:val="00751B29"/>
    <w:rsid w:val="00757EBB"/>
    <w:rsid w:val="00760567"/>
    <w:rsid w:val="0076262A"/>
    <w:rsid w:val="00762818"/>
    <w:rsid w:val="0076386C"/>
    <w:rsid w:val="00766F33"/>
    <w:rsid w:val="007673C2"/>
    <w:rsid w:val="00767A74"/>
    <w:rsid w:val="00770ACA"/>
    <w:rsid w:val="007728FC"/>
    <w:rsid w:val="00772F93"/>
    <w:rsid w:val="00773761"/>
    <w:rsid w:val="00775ADC"/>
    <w:rsid w:val="00776553"/>
    <w:rsid w:val="007776CE"/>
    <w:rsid w:val="0078234A"/>
    <w:rsid w:val="00782C51"/>
    <w:rsid w:val="00782D4A"/>
    <w:rsid w:val="00783E0C"/>
    <w:rsid w:val="00784595"/>
    <w:rsid w:val="00785CE9"/>
    <w:rsid w:val="00787AC7"/>
    <w:rsid w:val="00790339"/>
    <w:rsid w:val="00791BB6"/>
    <w:rsid w:val="00792F27"/>
    <w:rsid w:val="007933A2"/>
    <w:rsid w:val="0079380A"/>
    <w:rsid w:val="00794CB7"/>
    <w:rsid w:val="00797860"/>
    <w:rsid w:val="007A19D1"/>
    <w:rsid w:val="007A1F05"/>
    <w:rsid w:val="007A367A"/>
    <w:rsid w:val="007A4B00"/>
    <w:rsid w:val="007A5744"/>
    <w:rsid w:val="007A58CA"/>
    <w:rsid w:val="007A5CF7"/>
    <w:rsid w:val="007A7F94"/>
    <w:rsid w:val="007B0D69"/>
    <w:rsid w:val="007B1709"/>
    <w:rsid w:val="007B1E00"/>
    <w:rsid w:val="007B3A53"/>
    <w:rsid w:val="007B3E5F"/>
    <w:rsid w:val="007B6D56"/>
    <w:rsid w:val="007B7728"/>
    <w:rsid w:val="007C1171"/>
    <w:rsid w:val="007C12D2"/>
    <w:rsid w:val="007C4A0C"/>
    <w:rsid w:val="007C5D81"/>
    <w:rsid w:val="007C5F5F"/>
    <w:rsid w:val="007C60D7"/>
    <w:rsid w:val="007C6624"/>
    <w:rsid w:val="007C6FC4"/>
    <w:rsid w:val="007D4774"/>
    <w:rsid w:val="007D4E34"/>
    <w:rsid w:val="007D595B"/>
    <w:rsid w:val="007D7C2E"/>
    <w:rsid w:val="007E0299"/>
    <w:rsid w:val="007E02F1"/>
    <w:rsid w:val="007E0E45"/>
    <w:rsid w:val="007E24F4"/>
    <w:rsid w:val="007E51C6"/>
    <w:rsid w:val="007E52F1"/>
    <w:rsid w:val="007E5E10"/>
    <w:rsid w:val="007E7598"/>
    <w:rsid w:val="007E7770"/>
    <w:rsid w:val="007E7903"/>
    <w:rsid w:val="007F1743"/>
    <w:rsid w:val="007F1B5E"/>
    <w:rsid w:val="007F20F0"/>
    <w:rsid w:val="007F25DA"/>
    <w:rsid w:val="007F2B7E"/>
    <w:rsid w:val="007F688C"/>
    <w:rsid w:val="007F6C52"/>
    <w:rsid w:val="00804E1B"/>
    <w:rsid w:val="00806D14"/>
    <w:rsid w:val="00807BA6"/>
    <w:rsid w:val="00810071"/>
    <w:rsid w:val="00812A60"/>
    <w:rsid w:val="00815BD5"/>
    <w:rsid w:val="00817B40"/>
    <w:rsid w:val="00820CF0"/>
    <w:rsid w:val="00821077"/>
    <w:rsid w:val="00821197"/>
    <w:rsid w:val="008239E0"/>
    <w:rsid w:val="008263D6"/>
    <w:rsid w:val="0082788C"/>
    <w:rsid w:val="0083409A"/>
    <w:rsid w:val="00835196"/>
    <w:rsid w:val="0083709A"/>
    <w:rsid w:val="00842112"/>
    <w:rsid w:val="0084631B"/>
    <w:rsid w:val="0084707B"/>
    <w:rsid w:val="0084777C"/>
    <w:rsid w:val="008478F9"/>
    <w:rsid w:val="00854968"/>
    <w:rsid w:val="00857339"/>
    <w:rsid w:val="00860480"/>
    <w:rsid w:val="008604A7"/>
    <w:rsid w:val="008610E4"/>
    <w:rsid w:val="00864768"/>
    <w:rsid w:val="00864967"/>
    <w:rsid w:val="00866AAB"/>
    <w:rsid w:val="0087189E"/>
    <w:rsid w:val="00873A6D"/>
    <w:rsid w:val="0087406F"/>
    <w:rsid w:val="00875B99"/>
    <w:rsid w:val="00876A73"/>
    <w:rsid w:val="008815CE"/>
    <w:rsid w:val="008829B8"/>
    <w:rsid w:val="0088305C"/>
    <w:rsid w:val="00884F94"/>
    <w:rsid w:val="0088579D"/>
    <w:rsid w:val="0088662B"/>
    <w:rsid w:val="00886718"/>
    <w:rsid w:val="00887512"/>
    <w:rsid w:val="008879B2"/>
    <w:rsid w:val="008900A3"/>
    <w:rsid w:val="00891DB6"/>
    <w:rsid w:val="00892973"/>
    <w:rsid w:val="00892DEE"/>
    <w:rsid w:val="0089392A"/>
    <w:rsid w:val="008A39C0"/>
    <w:rsid w:val="008A6BF4"/>
    <w:rsid w:val="008A7B1F"/>
    <w:rsid w:val="008A7F43"/>
    <w:rsid w:val="008B034C"/>
    <w:rsid w:val="008B0B5C"/>
    <w:rsid w:val="008B160D"/>
    <w:rsid w:val="008B3626"/>
    <w:rsid w:val="008B4D60"/>
    <w:rsid w:val="008B572E"/>
    <w:rsid w:val="008B6127"/>
    <w:rsid w:val="008B6DA9"/>
    <w:rsid w:val="008B7D85"/>
    <w:rsid w:val="008C0D02"/>
    <w:rsid w:val="008C412C"/>
    <w:rsid w:val="008C5CE2"/>
    <w:rsid w:val="008C70FB"/>
    <w:rsid w:val="008C7A7E"/>
    <w:rsid w:val="008D0420"/>
    <w:rsid w:val="008D13EB"/>
    <w:rsid w:val="008D1D93"/>
    <w:rsid w:val="008D2BB0"/>
    <w:rsid w:val="008D5C9A"/>
    <w:rsid w:val="008D61B3"/>
    <w:rsid w:val="008E1DC1"/>
    <w:rsid w:val="008E205A"/>
    <w:rsid w:val="008E269C"/>
    <w:rsid w:val="008E435A"/>
    <w:rsid w:val="008E6307"/>
    <w:rsid w:val="008F3211"/>
    <w:rsid w:val="008F3A03"/>
    <w:rsid w:val="008F55D0"/>
    <w:rsid w:val="008F5BFC"/>
    <w:rsid w:val="008F5F4E"/>
    <w:rsid w:val="008F773D"/>
    <w:rsid w:val="008F786F"/>
    <w:rsid w:val="008F7EBB"/>
    <w:rsid w:val="00901092"/>
    <w:rsid w:val="0090293B"/>
    <w:rsid w:val="00902B35"/>
    <w:rsid w:val="00903352"/>
    <w:rsid w:val="009048A4"/>
    <w:rsid w:val="00906D50"/>
    <w:rsid w:val="00910690"/>
    <w:rsid w:val="00911D53"/>
    <w:rsid w:val="0091282C"/>
    <w:rsid w:val="00913D9C"/>
    <w:rsid w:val="00913FFC"/>
    <w:rsid w:val="00914617"/>
    <w:rsid w:val="0091462E"/>
    <w:rsid w:val="00914D6A"/>
    <w:rsid w:val="00914D86"/>
    <w:rsid w:val="00915FF0"/>
    <w:rsid w:val="0091667D"/>
    <w:rsid w:val="00916936"/>
    <w:rsid w:val="009169CD"/>
    <w:rsid w:val="00916B64"/>
    <w:rsid w:val="00916B7A"/>
    <w:rsid w:val="00917376"/>
    <w:rsid w:val="0091799C"/>
    <w:rsid w:val="009179F5"/>
    <w:rsid w:val="009203F2"/>
    <w:rsid w:val="00921B1A"/>
    <w:rsid w:val="0092404A"/>
    <w:rsid w:val="00924D44"/>
    <w:rsid w:val="00925126"/>
    <w:rsid w:val="00925938"/>
    <w:rsid w:val="009262BF"/>
    <w:rsid w:val="00926B62"/>
    <w:rsid w:val="009273A4"/>
    <w:rsid w:val="00931236"/>
    <w:rsid w:val="009315D9"/>
    <w:rsid w:val="009322E5"/>
    <w:rsid w:val="009352AD"/>
    <w:rsid w:val="00941167"/>
    <w:rsid w:val="00941194"/>
    <w:rsid w:val="009424FF"/>
    <w:rsid w:val="0094290B"/>
    <w:rsid w:val="009436A3"/>
    <w:rsid w:val="00947589"/>
    <w:rsid w:val="009500E8"/>
    <w:rsid w:val="009510D0"/>
    <w:rsid w:val="00952B75"/>
    <w:rsid w:val="00952E4A"/>
    <w:rsid w:val="0095590B"/>
    <w:rsid w:val="009571AF"/>
    <w:rsid w:val="00961D5D"/>
    <w:rsid w:val="009639C7"/>
    <w:rsid w:val="009642D5"/>
    <w:rsid w:val="009650EC"/>
    <w:rsid w:val="00966304"/>
    <w:rsid w:val="00966972"/>
    <w:rsid w:val="009704F6"/>
    <w:rsid w:val="0097210B"/>
    <w:rsid w:val="00973237"/>
    <w:rsid w:val="009732E4"/>
    <w:rsid w:val="009758E1"/>
    <w:rsid w:val="00975CC1"/>
    <w:rsid w:val="009765D4"/>
    <w:rsid w:val="00976939"/>
    <w:rsid w:val="009803AA"/>
    <w:rsid w:val="00981F3D"/>
    <w:rsid w:val="00982693"/>
    <w:rsid w:val="00982D0D"/>
    <w:rsid w:val="00984895"/>
    <w:rsid w:val="00984EF3"/>
    <w:rsid w:val="00985774"/>
    <w:rsid w:val="00985EC6"/>
    <w:rsid w:val="009902E3"/>
    <w:rsid w:val="00990E78"/>
    <w:rsid w:val="00994F62"/>
    <w:rsid w:val="0099689F"/>
    <w:rsid w:val="0099708D"/>
    <w:rsid w:val="00997177"/>
    <w:rsid w:val="00997892"/>
    <w:rsid w:val="00997FF7"/>
    <w:rsid w:val="009A01B3"/>
    <w:rsid w:val="009A0A58"/>
    <w:rsid w:val="009A2EAA"/>
    <w:rsid w:val="009A5739"/>
    <w:rsid w:val="009A625A"/>
    <w:rsid w:val="009A6F5F"/>
    <w:rsid w:val="009A7F33"/>
    <w:rsid w:val="009A7F66"/>
    <w:rsid w:val="009B0F99"/>
    <w:rsid w:val="009B10DF"/>
    <w:rsid w:val="009B192D"/>
    <w:rsid w:val="009B19AC"/>
    <w:rsid w:val="009B3295"/>
    <w:rsid w:val="009B535F"/>
    <w:rsid w:val="009B5FB2"/>
    <w:rsid w:val="009B7747"/>
    <w:rsid w:val="009B7AD3"/>
    <w:rsid w:val="009C0BFA"/>
    <w:rsid w:val="009C1B8A"/>
    <w:rsid w:val="009C32D9"/>
    <w:rsid w:val="009C3BFF"/>
    <w:rsid w:val="009C7C78"/>
    <w:rsid w:val="009D12D8"/>
    <w:rsid w:val="009D38B3"/>
    <w:rsid w:val="009D39BE"/>
    <w:rsid w:val="009D40BC"/>
    <w:rsid w:val="009D5AD9"/>
    <w:rsid w:val="009D68DB"/>
    <w:rsid w:val="009D6A8B"/>
    <w:rsid w:val="009D6CAB"/>
    <w:rsid w:val="009D6F5E"/>
    <w:rsid w:val="009E05AF"/>
    <w:rsid w:val="009E36ED"/>
    <w:rsid w:val="009E5CB7"/>
    <w:rsid w:val="009F1EAA"/>
    <w:rsid w:val="009F67F7"/>
    <w:rsid w:val="00A05D9F"/>
    <w:rsid w:val="00A07438"/>
    <w:rsid w:val="00A11020"/>
    <w:rsid w:val="00A11079"/>
    <w:rsid w:val="00A114F4"/>
    <w:rsid w:val="00A12A4C"/>
    <w:rsid w:val="00A15421"/>
    <w:rsid w:val="00A156B4"/>
    <w:rsid w:val="00A15B63"/>
    <w:rsid w:val="00A16F65"/>
    <w:rsid w:val="00A17B59"/>
    <w:rsid w:val="00A200AA"/>
    <w:rsid w:val="00A2024E"/>
    <w:rsid w:val="00A2049D"/>
    <w:rsid w:val="00A22509"/>
    <w:rsid w:val="00A241DD"/>
    <w:rsid w:val="00A24E92"/>
    <w:rsid w:val="00A25B78"/>
    <w:rsid w:val="00A27FD5"/>
    <w:rsid w:val="00A30119"/>
    <w:rsid w:val="00A30E65"/>
    <w:rsid w:val="00A3210E"/>
    <w:rsid w:val="00A3279A"/>
    <w:rsid w:val="00A35AD5"/>
    <w:rsid w:val="00A35CA3"/>
    <w:rsid w:val="00A36379"/>
    <w:rsid w:val="00A36AE4"/>
    <w:rsid w:val="00A36DCD"/>
    <w:rsid w:val="00A37C9F"/>
    <w:rsid w:val="00A40899"/>
    <w:rsid w:val="00A40942"/>
    <w:rsid w:val="00A429ED"/>
    <w:rsid w:val="00A43DB6"/>
    <w:rsid w:val="00A45446"/>
    <w:rsid w:val="00A478B8"/>
    <w:rsid w:val="00A53538"/>
    <w:rsid w:val="00A5465D"/>
    <w:rsid w:val="00A54C6E"/>
    <w:rsid w:val="00A55054"/>
    <w:rsid w:val="00A551E3"/>
    <w:rsid w:val="00A55F73"/>
    <w:rsid w:val="00A57B76"/>
    <w:rsid w:val="00A61998"/>
    <w:rsid w:val="00A64E2E"/>
    <w:rsid w:val="00A655E4"/>
    <w:rsid w:val="00A65B64"/>
    <w:rsid w:val="00A6782D"/>
    <w:rsid w:val="00A727D3"/>
    <w:rsid w:val="00A735A0"/>
    <w:rsid w:val="00A74A4A"/>
    <w:rsid w:val="00A75A1A"/>
    <w:rsid w:val="00A77032"/>
    <w:rsid w:val="00A8081E"/>
    <w:rsid w:val="00A81CB0"/>
    <w:rsid w:val="00A8426B"/>
    <w:rsid w:val="00A84673"/>
    <w:rsid w:val="00A93810"/>
    <w:rsid w:val="00A93949"/>
    <w:rsid w:val="00A94AE3"/>
    <w:rsid w:val="00A94FB5"/>
    <w:rsid w:val="00A977DC"/>
    <w:rsid w:val="00AA13D2"/>
    <w:rsid w:val="00AA1D32"/>
    <w:rsid w:val="00AA2558"/>
    <w:rsid w:val="00AA28A2"/>
    <w:rsid w:val="00AA314B"/>
    <w:rsid w:val="00AA3B2F"/>
    <w:rsid w:val="00AA6D8B"/>
    <w:rsid w:val="00AB0B36"/>
    <w:rsid w:val="00AB1E47"/>
    <w:rsid w:val="00AB2690"/>
    <w:rsid w:val="00AB2ABB"/>
    <w:rsid w:val="00AB3870"/>
    <w:rsid w:val="00AB607B"/>
    <w:rsid w:val="00AB6D3A"/>
    <w:rsid w:val="00AC0DCE"/>
    <w:rsid w:val="00AC15A1"/>
    <w:rsid w:val="00AC2AA8"/>
    <w:rsid w:val="00AC4C35"/>
    <w:rsid w:val="00AC60A2"/>
    <w:rsid w:val="00AC6591"/>
    <w:rsid w:val="00AD2AC6"/>
    <w:rsid w:val="00AD42AF"/>
    <w:rsid w:val="00AD6280"/>
    <w:rsid w:val="00AD6F65"/>
    <w:rsid w:val="00AE0789"/>
    <w:rsid w:val="00AE0A6A"/>
    <w:rsid w:val="00AE0C95"/>
    <w:rsid w:val="00AE4B11"/>
    <w:rsid w:val="00AE4D13"/>
    <w:rsid w:val="00AE500A"/>
    <w:rsid w:val="00AE6BF2"/>
    <w:rsid w:val="00AE6F0F"/>
    <w:rsid w:val="00AE78AF"/>
    <w:rsid w:val="00AF022D"/>
    <w:rsid w:val="00AF1EB5"/>
    <w:rsid w:val="00AF39D2"/>
    <w:rsid w:val="00AF5D92"/>
    <w:rsid w:val="00AF65F3"/>
    <w:rsid w:val="00AF7219"/>
    <w:rsid w:val="00AF7F8F"/>
    <w:rsid w:val="00B01AF1"/>
    <w:rsid w:val="00B01B06"/>
    <w:rsid w:val="00B02AA4"/>
    <w:rsid w:val="00B044E6"/>
    <w:rsid w:val="00B0762B"/>
    <w:rsid w:val="00B153EB"/>
    <w:rsid w:val="00B158A4"/>
    <w:rsid w:val="00B15AAA"/>
    <w:rsid w:val="00B169E6"/>
    <w:rsid w:val="00B1736C"/>
    <w:rsid w:val="00B17859"/>
    <w:rsid w:val="00B17CEB"/>
    <w:rsid w:val="00B20B1E"/>
    <w:rsid w:val="00B22197"/>
    <w:rsid w:val="00B233D9"/>
    <w:rsid w:val="00B23967"/>
    <w:rsid w:val="00B24EB9"/>
    <w:rsid w:val="00B31D24"/>
    <w:rsid w:val="00B3264F"/>
    <w:rsid w:val="00B330BE"/>
    <w:rsid w:val="00B347D9"/>
    <w:rsid w:val="00B3540C"/>
    <w:rsid w:val="00B35E31"/>
    <w:rsid w:val="00B407E2"/>
    <w:rsid w:val="00B40C69"/>
    <w:rsid w:val="00B411A4"/>
    <w:rsid w:val="00B417C5"/>
    <w:rsid w:val="00B44502"/>
    <w:rsid w:val="00B45DA8"/>
    <w:rsid w:val="00B460AD"/>
    <w:rsid w:val="00B51F3D"/>
    <w:rsid w:val="00B52502"/>
    <w:rsid w:val="00B52951"/>
    <w:rsid w:val="00B53071"/>
    <w:rsid w:val="00B55EBB"/>
    <w:rsid w:val="00B60D0F"/>
    <w:rsid w:val="00B61431"/>
    <w:rsid w:val="00B66516"/>
    <w:rsid w:val="00B678CC"/>
    <w:rsid w:val="00B713CC"/>
    <w:rsid w:val="00B727CA"/>
    <w:rsid w:val="00B72987"/>
    <w:rsid w:val="00B80C1B"/>
    <w:rsid w:val="00B816BD"/>
    <w:rsid w:val="00B83935"/>
    <w:rsid w:val="00B83EB5"/>
    <w:rsid w:val="00B848A8"/>
    <w:rsid w:val="00B84954"/>
    <w:rsid w:val="00B85C54"/>
    <w:rsid w:val="00B8671D"/>
    <w:rsid w:val="00B87F72"/>
    <w:rsid w:val="00B91B92"/>
    <w:rsid w:val="00B91CC5"/>
    <w:rsid w:val="00B92C99"/>
    <w:rsid w:val="00B92FC4"/>
    <w:rsid w:val="00B96168"/>
    <w:rsid w:val="00BA1C9D"/>
    <w:rsid w:val="00BA31E8"/>
    <w:rsid w:val="00BA3A04"/>
    <w:rsid w:val="00BA3ED1"/>
    <w:rsid w:val="00BA3FE8"/>
    <w:rsid w:val="00BA5140"/>
    <w:rsid w:val="00BA69E7"/>
    <w:rsid w:val="00BB0315"/>
    <w:rsid w:val="00BB1E73"/>
    <w:rsid w:val="00BB20F6"/>
    <w:rsid w:val="00BC1760"/>
    <w:rsid w:val="00BC18DE"/>
    <w:rsid w:val="00BC2287"/>
    <w:rsid w:val="00BC3FA5"/>
    <w:rsid w:val="00BC673D"/>
    <w:rsid w:val="00BC6D37"/>
    <w:rsid w:val="00BC7556"/>
    <w:rsid w:val="00BC7716"/>
    <w:rsid w:val="00BD2308"/>
    <w:rsid w:val="00BD2AE3"/>
    <w:rsid w:val="00BD45C4"/>
    <w:rsid w:val="00BD4E95"/>
    <w:rsid w:val="00BD64C0"/>
    <w:rsid w:val="00BD75D1"/>
    <w:rsid w:val="00BD7B64"/>
    <w:rsid w:val="00BE6701"/>
    <w:rsid w:val="00BE6D8A"/>
    <w:rsid w:val="00BE6E7A"/>
    <w:rsid w:val="00BE702D"/>
    <w:rsid w:val="00BF10A9"/>
    <w:rsid w:val="00BF11CB"/>
    <w:rsid w:val="00BF1334"/>
    <w:rsid w:val="00BF14B7"/>
    <w:rsid w:val="00BF3EFB"/>
    <w:rsid w:val="00BF7A76"/>
    <w:rsid w:val="00BF7C98"/>
    <w:rsid w:val="00C013BF"/>
    <w:rsid w:val="00C0323D"/>
    <w:rsid w:val="00C066C2"/>
    <w:rsid w:val="00C0721D"/>
    <w:rsid w:val="00C07B40"/>
    <w:rsid w:val="00C12156"/>
    <w:rsid w:val="00C1227E"/>
    <w:rsid w:val="00C138C7"/>
    <w:rsid w:val="00C14FAC"/>
    <w:rsid w:val="00C154BE"/>
    <w:rsid w:val="00C15A67"/>
    <w:rsid w:val="00C15BA0"/>
    <w:rsid w:val="00C16523"/>
    <w:rsid w:val="00C16DD0"/>
    <w:rsid w:val="00C17B01"/>
    <w:rsid w:val="00C17DFC"/>
    <w:rsid w:val="00C20709"/>
    <w:rsid w:val="00C20721"/>
    <w:rsid w:val="00C21503"/>
    <w:rsid w:val="00C2159D"/>
    <w:rsid w:val="00C22728"/>
    <w:rsid w:val="00C2388B"/>
    <w:rsid w:val="00C2474C"/>
    <w:rsid w:val="00C24A05"/>
    <w:rsid w:val="00C314A0"/>
    <w:rsid w:val="00C35413"/>
    <w:rsid w:val="00C3597C"/>
    <w:rsid w:val="00C35B53"/>
    <w:rsid w:val="00C36063"/>
    <w:rsid w:val="00C3728D"/>
    <w:rsid w:val="00C4147F"/>
    <w:rsid w:val="00C418C1"/>
    <w:rsid w:val="00C41C00"/>
    <w:rsid w:val="00C41D4E"/>
    <w:rsid w:val="00C42AB4"/>
    <w:rsid w:val="00C44540"/>
    <w:rsid w:val="00C46313"/>
    <w:rsid w:val="00C5133D"/>
    <w:rsid w:val="00C53DE1"/>
    <w:rsid w:val="00C5586F"/>
    <w:rsid w:val="00C576F0"/>
    <w:rsid w:val="00C609DE"/>
    <w:rsid w:val="00C6105E"/>
    <w:rsid w:val="00C629A8"/>
    <w:rsid w:val="00C63249"/>
    <w:rsid w:val="00C65CAF"/>
    <w:rsid w:val="00C705EF"/>
    <w:rsid w:val="00C710ED"/>
    <w:rsid w:val="00C717D0"/>
    <w:rsid w:val="00C724B6"/>
    <w:rsid w:val="00C730E6"/>
    <w:rsid w:val="00C7353C"/>
    <w:rsid w:val="00C73D03"/>
    <w:rsid w:val="00C75B87"/>
    <w:rsid w:val="00C762C2"/>
    <w:rsid w:val="00C77641"/>
    <w:rsid w:val="00C77F4C"/>
    <w:rsid w:val="00C82E31"/>
    <w:rsid w:val="00C840B5"/>
    <w:rsid w:val="00C852DC"/>
    <w:rsid w:val="00C8649C"/>
    <w:rsid w:val="00C86EC1"/>
    <w:rsid w:val="00C87E05"/>
    <w:rsid w:val="00C90C92"/>
    <w:rsid w:val="00C93697"/>
    <w:rsid w:val="00C94C2B"/>
    <w:rsid w:val="00C95144"/>
    <w:rsid w:val="00C97160"/>
    <w:rsid w:val="00CA1219"/>
    <w:rsid w:val="00CA2174"/>
    <w:rsid w:val="00CA34CB"/>
    <w:rsid w:val="00CA37FF"/>
    <w:rsid w:val="00CA5BCC"/>
    <w:rsid w:val="00CA7831"/>
    <w:rsid w:val="00CB0CF9"/>
    <w:rsid w:val="00CB144F"/>
    <w:rsid w:val="00CB5AA8"/>
    <w:rsid w:val="00CC006A"/>
    <w:rsid w:val="00CC0342"/>
    <w:rsid w:val="00CC2388"/>
    <w:rsid w:val="00CC33E1"/>
    <w:rsid w:val="00CC5684"/>
    <w:rsid w:val="00CC5A82"/>
    <w:rsid w:val="00CC6F1C"/>
    <w:rsid w:val="00CD0DFD"/>
    <w:rsid w:val="00CD33BD"/>
    <w:rsid w:val="00CD3FB7"/>
    <w:rsid w:val="00CD44F1"/>
    <w:rsid w:val="00CD4837"/>
    <w:rsid w:val="00CD4DC8"/>
    <w:rsid w:val="00CD5F69"/>
    <w:rsid w:val="00CD7047"/>
    <w:rsid w:val="00CE1747"/>
    <w:rsid w:val="00CF1A89"/>
    <w:rsid w:val="00CF2393"/>
    <w:rsid w:val="00CF707F"/>
    <w:rsid w:val="00CF71F0"/>
    <w:rsid w:val="00CF74B9"/>
    <w:rsid w:val="00D00D9F"/>
    <w:rsid w:val="00D0233F"/>
    <w:rsid w:val="00D033CD"/>
    <w:rsid w:val="00D05AB0"/>
    <w:rsid w:val="00D063CF"/>
    <w:rsid w:val="00D0659F"/>
    <w:rsid w:val="00D06BC9"/>
    <w:rsid w:val="00D07022"/>
    <w:rsid w:val="00D101F6"/>
    <w:rsid w:val="00D103BE"/>
    <w:rsid w:val="00D121A4"/>
    <w:rsid w:val="00D12736"/>
    <w:rsid w:val="00D1366A"/>
    <w:rsid w:val="00D16B2E"/>
    <w:rsid w:val="00D17429"/>
    <w:rsid w:val="00D17F0A"/>
    <w:rsid w:val="00D210F9"/>
    <w:rsid w:val="00D21D08"/>
    <w:rsid w:val="00D23AE1"/>
    <w:rsid w:val="00D25A03"/>
    <w:rsid w:val="00D26330"/>
    <w:rsid w:val="00D263F3"/>
    <w:rsid w:val="00D27D1D"/>
    <w:rsid w:val="00D304D2"/>
    <w:rsid w:val="00D37C58"/>
    <w:rsid w:val="00D37DD1"/>
    <w:rsid w:val="00D41428"/>
    <w:rsid w:val="00D41DD5"/>
    <w:rsid w:val="00D42299"/>
    <w:rsid w:val="00D43520"/>
    <w:rsid w:val="00D455E6"/>
    <w:rsid w:val="00D45B36"/>
    <w:rsid w:val="00D47302"/>
    <w:rsid w:val="00D4733E"/>
    <w:rsid w:val="00D52548"/>
    <w:rsid w:val="00D52D09"/>
    <w:rsid w:val="00D53327"/>
    <w:rsid w:val="00D55FDF"/>
    <w:rsid w:val="00D56E58"/>
    <w:rsid w:val="00D60AB6"/>
    <w:rsid w:val="00D60B3C"/>
    <w:rsid w:val="00D62AF6"/>
    <w:rsid w:val="00D64A3F"/>
    <w:rsid w:val="00D654E3"/>
    <w:rsid w:val="00D67DEE"/>
    <w:rsid w:val="00D719A2"/>
    <w:rsid w:val="00D75C00"/>
    <w:rsid w:val="00D75F82"/>
    <w:rsid w:val="00D77529"/>
    <w:rsid w:val="00D82555"/>
    <w:rsid w:val="00D82BAB"/>
    <w:rsid w:val="00D85928"/>
    <w:rsid w:val="00D85D6C"/>
    <w:rsid w:val="00D8604C"/>
    <w:rsid w:val="00D86F2A"/>
    <w:rsid w:val="00D91970"/>
    <w:rsid w:val="00D93928"/>
    <w:rsid w:val="00DA0AA7"/>
    <w:rsid w:val="00DA0EA9"/>
    <w:rsid w:val="00DA186A"/>
    <w:rsid w:val="00DA289E"/>
    <w:rsid w:val="00DA3682"/>
    <w:rsid w:val="00DA4A85"/>
    <w:rsid w:val="00DA5282"/>
    <w:rsid w:val="00DA5731"/>
    <w:rsid w:val="00DA58B4"/>
    <w:rsid w:val="00DA7C85"/>
    <w:rsid w:val="00DA7FAB"/>
    <w:rsid w:val="00DB04DD"/>
    <w:rsid w:val="00DB2086"/>
    <w:rsid w:val="00DB2213"/>
    <w:rsid w:val="00DB3BF8"/>
    <w:rsid w:val="00DB5D0A"/>
    <w:rsid w:val="00DB6A5A"/>
    <w:rsid w:val="00DC0D08"/>
    <w:rsid w:val="00DC28F8"/>
    <w:rsid w:val="00DC3084"/>
    <w:rsid w:val="00DC5776"/>
    <w:rsid w:val="00DC5D07"/>
    <w:rsid w:val="00DC6F49"/>
    <w:rsid w:val="00DD2105"/>
    <w:rsid w:val="00DD2155"/>
    <w:rsid w:val="00DD407B"/>
    <w:rsid w:val="00DD7199"/>
    <w:rsid w:val="00DD7EBE"/>
    <w:rsid w:val="00DE0AC3"/>
    <w:rsid w:val="00DE197E"/>
    <w:rsid w:val="00DE2335"/>
    <w:rsid w:val="00DE39A1"/>
    <w:rsid w:val="00DE7F37"/>
    <w:rsid w:val="00DF0544"/>
    <w:rsid w:val="00DF17EF"/>
    <w:rsid w:val="00DF33BF"/>
    <w:rsid w:val="00DF4E8E"/>
    <w:rsid w:val="00DF532E"/>
    <w:rsid w:val="00E01B2D"/>
    <w:rsid w:val="00E02818"/>
    <w:rsid w:val="00E04499"/>
    <w:rsid w:val="00E04AA6"/>
    <w:rsid w:val="00E05312"/>
    <w:rsid w:val="00E06D93"/>
    <w:rsid w:val="00E07012"/>
    <w:rsid w:val="00E10DE7"/>
    <w:rsid w:val="00E1159B"/>
    <w:rsid w:val="00E11D5C"/>
    <w:rsid w:val="00E13829"/>
    <w:rsid w:val="00E149A8"/>
    <w:rsid w:val="00E15055"/>
    <w:rsid w:val="00E16034"/>
    <w:rsid w:val="00E1639A"/>
    <w:rsid w:val="00E17DC6"/>
    <w:rsid w:val="00E20C47"/>
    <w:rsid w:val="00E2291F"/>
    <w:rsid w:val="00E230AE"/>
    <w:rsid w:val="00E254D9"/>
    <w:rsid w:val="00E25872"/>
    <w:rsid w:val="00E2671E"/>
    <w:rsid w:val="00E27DE5"/>
    <w:rsid w:val="00E30037"/>
    <w:rsid w:val="00E30DD6"/>
    <w:rsid w:val="00E3315F"/>
    <w:rsid w:val="00E33E2A"/>
    <w:rsid w:val="00E35E71"/>
    <w:rsid w:val="00E37402"/>
    <w:rsid w:val="00E4012A"/>
    <w:rsid w:val="00E431B3"/>
    <w:rsid w:val="00E43985"/>
    <w:rsid w:val="00E443DF"/>
    <w:rsid w:val="00E448E5"/>
    <w:rsid w:val="00E46CB8"/>
    <w:rsid w:val="00E5123B"/>
    <w:rsid w:val="00E517A8"/>
    <w:rsid w:val="00E527D8"/>
    <w:rsid w:val="00E529FA"/>
    <w:rsid w:val="00E56C61"/>
    <w:rsid w:val="00E60235"/>
    <w:rsid w:val="00E611DA"/>
    <w:rsid w:val="00E624DB"/>
    <w:rsid w:val="00E632B8"/>
    <w:rsid w:val="00E6336D"/>
    <w:rsid w:val="00E64A12"/>
    <w:rsid w:val="00E64B2B"/>
    <w:rsid w:val="00E67209"/>
    <w:rsid w:val="00E678A7"/>
    <w:rsid w:val="00E70B4A"/>
    <w:rsid w:val="00E722A8"/>
    <w:rsid w:val="00E72763"/>
    <w:rsid w:val="00E74D00"/>
    <w:rsid w:val="00E750EC"/>
    <w:rsid w:val="00E76578"/>
    <w:rsid w:val="00E778CB"/>
    <w:rsid w:val="00E803E6"/>
    <w:rsid w:val="00E82EFF"/>
    <w:rsid w:val="00E8396C"/>
    <w:rsid w:val="00E847F3"/>
    <w:rsid w:val="00E867AF"/>
    <w:rsid w:val="00E876A9"/>
    <w:rsid w:val="00E8782D"/>
    <w:rsid w:val="00E9328C"/>
    <w:rsid w:val="00E95872"/>
    <w:rsid w:val="00E96B46"/>
    <w:rsid w:val="00E97ABF"/>
    <w:rsid w:val="00EA0882"/>
    <w:rsid w:val="00EA3A89"/>
    <w:rsid w:val="00EA4470"/>
    <w:rsid w:val="00EA45D9"/>
    <w:rsid w:val="00EA46C0"/>
    <w:rsid w:val="00EA78C8"/>
    <w:rsid w:val="00EB017E"/>
    <w:rsid w:val="00EB386A"/>
    <w:rsid w:val="00EB418B"/>
    <w:rsid w:val="00EB4DD3"/>
    <w:rsid w:val="00EB7434"/>
    <w:rsid w:val="00EB7845"/>
    <w:rsid w:val="00EC1510"/>
    <w:rsid w:val="00EC5BA5"/>
    <w:rsid w:val="00ED0976"/>
    <w:rsid w:val="00ED0A0E"/>
    <w:rsid w:val="00ED0EA7"/>
    <w:rsid w:val="00ED49B5"/>
    <w:rsid w:val="00ED691D"/>
    <w:rsid w:val="00EE02DA"/>
    <w:rsid w:val="00EE09AF"/>
    <w:rsid w:val="00EE1EC9"/>
    <w:rsid w:val="00EE2835"/>
    <w:rsid w:val="00EE294D"/>
    <w:rsid w:val="00EE30C4"/>
    <w:rsid w:val="00EE77AA"/>
    <w:rsid w:val="00EF0268"/>
    <w:rsid w:val="00EF093A"/>
    <w:rsid w:val="00EF27A7"/>
    <w:rsid w:val="00EF3345"/>
    <w:rsid w:val="00EF6239"/>
    <w:rsid w:val="00EF66E2"/>
    <w:rsid w:val="00EF7B6F"/>
    <w:rsid w:val="00F00B39"/>
    <w:rsid w:val="00F015A6"/>
    <w:rsid w:val="00F02EE9"/>
    <w:rsid w:val="00F03259"/>
    <w:rsid w:val="00F03B5B"/>
    <w:rsid w:val="00F0615D"/>
    <w:rsid w:val="00F105EE"/>
    <w:rsid w:val="00F10737"/>
    <w:rsid w:val="00F12C89"/>
    <w:rsid w:val="00F14D7D"/>
    <w:rsid w:val="00F16C47"/>
    <w:rsid w:val="00F2018F"/>
    <w:rsid w:val="00F20C69"/>
    <w:rsid w:val="00F212C4"/>
    <w:rsid w:val="00F21D3A"/>
    <w:rsid w:val="00F22851"/>
    <w:rsid w:val="00F23630"/>
    <w:rsid w:val="00F23F1F"/>
    <w:rsid w:val="00F30385"/>
    <w:rsid w:val="00F31852"/>
    <w:rsid w:val="00F31C3F"/>
    <w:rsid w:val="00F31D2E"/>
    <w:rsid w:val="00F327F3"/>
    <w:rsid w:val="00F3310A"/>
    <w:rsid w:val="00F33E0E"/>
    <w:rsid w:val="00F36F73"/>
    <w:rsid w:val="00F4031E"/>
    <w:rsid w:val="00F465E7"/>
    <w:rsid w:val="00F46C4A"/>
    <w:rsid w:val="00F509D8"/>
    <w:rsid w:val="00F50B9A"/>
    <w:rsid w:val="00F5125B"/>
    <w:rsid w:val="00F52801"/>
    <w:rsid w:val="00F53671"/>
    <w:rsid w:val="00F54A3A"/>
    <w:rsid w:val="00F564C9"/>
    <w:rsid w:val="00F564D9"/>
    <w:rsid w:val="00F602B8"/>
    <w:rsid w:val="00F6056B"/>
    <w:rsid w:val="00F62FAF"/>
    <w:rsid w:val="00F65960"/>
    <w:rsid w:val="00F664A9"/>
    <w:rsid w:val="00F6661E"/>
    <w:rsid w:val="00F66B3A"/>
    <w:rsid w:val="00F67094"/>
    <w:rsid w:val="00F67786"/>
    <w:rsid w:val="00F67D41"/>
    <w:rsid w:val="00F7005B"/>
    <w:rsid w:val="00F70191"/>
    <w:rsid w:val="00F76994"/>
    <w:rsid w:val="00F77E4D"/>
    <w:rsid w:val="00F80133"/>
    <w:rsid w:val="00F8646F"/>
    <w:rsid w:val="00F901BB"/>
    <w:rsid w:val="00F91D52"/>
    <w:rsid w:val="00F91EB6"/>
    <w:rsid w:val="00F958C5"/>
    <w:rsid w:val="00F963DC"/>
    <w:rsid w:val="00F972A3"/>
    <w:rsid w:val="00FA076D"/>
    <w:rsid w:val="00FA1B0C"/>
    <w:rsid w:val="00FA2581"/>
    <w:rsid w:val="00FA25EF"/>
    <w:rsid w:val="00FA3282"/>
    <w:rsid w:val="00FA3D14"/>
    <w:rsid w:val="00FA520F"/>
    <w:rsid w:val="00FB0D62"/>
    <w:rsid w:val="00FB367B"/>
    <w:rsid w:val="00FB54BE"/>
    <w:rsid w:val="00FB5EBB"/>
    <w:rsid w:val="00FB72B7"/>
    <w:rsid w:val="00FC0C0E"/>
    <w:rsid w:val="00FC23FA"/>
    <w:rsid w:val="00FC25F9"/>
    <w:rsid w:val="00FC2842"/>
    <w:rsid w:val="00FC2CF6"/>
    <w:rsid w:val="00FC5FC1"/>
    <w:rsid w:val="00FC64D7"/>
    <w:rsid w:val="00FC68FE"/>
    <w:rsid w:val="00FD207A"/>
    <w:rsid w:val="00FD31E8"/>
    <w:rsid w:val="00FD52B3"/>
    <w:rsid w:val="00FD52B7"/>
    <w:rsid w:val="00FD5B38"/>
    <w:rsid w:val="00FE0011"/>
    <w:rsid w:val="00FE08DC"/>
    <w:rsid w:val="00FE2058"/>
    <w:rsid w:val="00FE240E"/>
    <w:rsid w:val="00FE24B5"/>
    <w:rsid w:val="00FE29D2"/>
    <w:rsid w:val="00FE3911"/>
    <w:rsid w:val="00FE58FA"/>
    <w:rsid w:val="00FE650D"/>
    <w:rsid w:val="00FE6B75"/>
    <w:rsid w:val="00FF0CFB"/>
    <w:rsid w:val="00FF2099"/>
    <w:rsid w:val="00FF310E"/>
    <w:rsid w:val="00FF7496"/>
    <w:rsid w:val="01B90D31"/>
    <w:rsid w:val="03EF5E37"/>
    <w:rsid w:val="04F772BB"/>
    <w:rsid w:val="05927147"/>
    <w:rsid w:val="0F435B99"/>
    <w:rsid w:val="119B6B4E"/>
    <w:rsid w:val="12184C01"/>
    <w:rsid w:val="12E33AE1"/>
    <w:rsid w:val="156C3FB4"/>
    <w:rsid w:val="171B17F8"/>
    <w:rsid w:val="19AD6C4C"/>
    <w:rsid w:val="203F1A95"/>
    <w:rsid w:val="2B580CD4"/>
    <w:rsid w:val="2CF032BA"/>
    <w:rsid w:val="2DB01141"/>
    <w:rsid w:val="32A528BB"/>
    <w:rsid w:val="36003339"/>
    <w:rsid w:val="36345D4F"/>
    <w:rsid w:val="372C58FE"/>
    <w:rsid w:val="3AB17EC0"/>
    <w:rsid w:val="3AEC118E"/>
    <w:rsid w:val="41372217"/>
    <w:rsid w:val="42B6571B"/>
    <w:rsid w:val="43CC4ADD"/>
    <w:rsid w:val="45975529"/>
    <w:rsid w:val="4FB053E3"/>
    <w:rsid w:val="55A14F57"/>
    <w:rsid w:val="55C60F03"/>
    <w:rsid w:val="55EB5DE1"/>
    <w:rsid w:val="5ABD767F"/>
    <w:rsid w:val="5BC400E3"/>
    <w:rsid w:val="5D851176"/>
    <w:rsid w:val="5DF75AEC"/>
    <w:rsid w:val="5F961E6B"/>
    <w:rsid w:val="62724EDB"/>
    <w:rsid w:val="712E0813"/>
    <w:rsid w:val="74772FB2"/>
    <w:rsid w:val="78632360"/>
    <w:rsid w:val="7C5A2B78"/>
    <w:rsid w:val="7E49036C"/>
    <w:rsid w:val="7EED790F"/>
    <w:rsid w:val="DBE574CB"/>
    <w:rsid w:val="EF7D86C8"/>
    <w:rsid w:val="FFBD3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8">
    <w:name w:val="Default Paragraph Font"/>
    <w:unhideWhenUsed/>
    <w:uiPriority w:val="1"/>
  </w:style>
  <w:style w:type="table" w:default="1" w:styleId="12">
    <w:name w:val="Normal Table"/>
    <w:unhideWhenUsed/>
    <w:uiPriority w:val="99"/>
    <w:tblPr>
      <w:tblCellMar>
        <w:top w:w="0" w:type="dxa"/>
        <w:left w:w="108" w:type="dxa"/>
        <w:bottom w:w="0" w:type="dxa"/>
        <w:right w:w="108" w:type="dxa"/>
      </w:tblCellMar>
    </w:tblPr>
  </w:style>
  <w:style w:type="paragraph" w:styleId="2">
    <w:name w:val="annotation subject"/>
    <w:basedOn w:val="3"/>
    <w:next w:val="3"/>
    <w:link w:val="27"/>
    <w:unhideWhenUsed/>
    <w:qFormat/>
    <w:uiPriority w:val="99"/>
    <w:rPr>
      <w:b/>
      <w:bCs/>
    </w:rPr>
  </w:style>
  <w:style w:type="paragraph" w:styleId="3">
    <w:name w:val="annotation text"/>
    <w:basedOn w:val="1"/>
    <w:link w:val="26"/>
    <w:unhideWhenUsed/>
    <w:qFormat/>
    <w:uiPriority w:val="99"/>
  </w:style>
  <w:style w:type="paragraph" w:styleId="4">
    <w:name w:val="Balloon Text"/>
    <w:basedOn w:val="1"/>
    <w:link w:val="14"/>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pPr>
    <w:rPr>
      <w:sz w:val="18"/>
      <w:szCs w:val="18"/>
    </w:rPr>
  </w:style>
  <w:style w:type="paragraph" w:styleId="6">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pPr>
  </w:style>
  <w:style w:type="character" w:styleId="9">
    <w:name w:val="Strong"/>
    <w:basedOn w:val="8"/>
    <w:qFormat/>
    <w:uiPriority w:val="22"/>
    <w:rPr>
      <w:b/>
      <w:bCs/>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annotation reference"/>
    <w:basedOn w:val="8"/>
    <w:unhideWhenUsed/>
    <w:qFormat/>
    <w:uiPriority w:val="99"/>
    <w:rPr>
      <w:sz w:val="21"/>
      <w:szCs w:val="21"/>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批注框文本 字符"/>
    <w:basedOn w:val="8"/>
    <w:link w:val="4"/>
    <w:semiHidden/>
    <w:qFormat/>
    <w:uiPriority w:val="99"/>
    <w:rPr>
      <w:rFonts w:ascii="宋体" w:hAnsi="宋体" w:eastAsia="宋体" w:cs="宋体"/>
      <w:kern w:val="0"/>
      <w:sz w:val="18"/>
      <w:szCs w:val="18"/>
    </w:rPr>
  </w:style>
  <w:style w:type="character" w:customStyle="1" w:styleId="15">
    <w:name w:val="页脚 字符"/>
    <w:basedOn w:val="8"/>
    <w:link w:val="5"/>
    <w:qFormat/>
    <w:uiPriority w:val="0"/>
    <w:rPr>
      <w:rFonts w:ascii="宋体" w:hAnsi="宋体" w:eastAsia="宋体" w:cs="宋体"/>
      <w:kern w:val="0"/>
      <w:sz w:val="18"/>
      <w:szCs w:val="18"/>
    </w:rPr>
  </w:style>
  <w:style w:type="character" w:customStyle="1" w:styleId="16">
    <w:name w:val="页眉 字符"/>
    <w:basedOn w:val="8"/>
    <w:link w:val="6"/>
    <w:qFormat/>
    <w:uiPriority w:val="0"/>
    <w:rPr>
      <w:rFonts w:ascii="宋体" w:hAnsi="宋体" w:eastAsia="宋体" w:cs="宋体"/>
      <w:kern w:val="0"/>
      <w:sz w:val="18"/>
      <w:szCs w:val="18"/>
    </w:rPr>
  </w:style>
  <w:style w:type="paragraph" w:customStyle="1" w:styleId="17">
    <w:name w:val="无间隔1"/>
    <w:qFormat/>
    <w:uiPriority w:val="1"/>
    <w:pPr>
      <w:widowControl w:val="0"/>
      <w:jc w:val="both"/>
    </w:pPr>
    <w:rPr>
      <w:rFonts w:asciiTheme="minorHAnsi" w:hAnsiTheme="minorHAnsi" w:eastAsiaTheme="minorEastAsia" w:cstheme="minorBidi"/>
      <w:kern w:val="2"/>
      <w:sz w:val="24"/>
      <w:szCs w:val="24"/>
      <w:lang w:val="en-US" w:eastAsia="zh-CN" w:bidi="ar-SA"/>
    </w:rPr>
  </w:style>
  <w:style w:type="character" w:customStyle="1" w:styleId="18">
    <w:name w:val="apple-converted-space"/>
    <w:basedOn w:val="8"/>
    <w:qFormat/>
    <w:uiPriority w:val="0"/>
  </w:style>
  <w:style w:type="paragraph" w:customStyle="1" w:styleId="19">
    <w:name w:val="Default"/>
    <w:qFormat/>
    <w:uiPriority w:val="99"/>
    <w:pPr>
      <w:widowControl w:val="0"/>
      <w:autoSpaceDE w:val="0"/>
      <w:autoSpaceDN w:val="0"/>
      <w:adjustRightInd w:val="0"/>
    </w:pPr>
    <w:rPr>
      <w:rFonts w:ascii="Calibri" w:hAnsi="Calibri" w:eastAsia="宋体" w:cs="Calibri"/>
      <w:color w:val="000000"/>
      <w:sz w:val="24"/>
      <w:szCs w:val="24"/>
      <w:lang w:val="en-CA" w:eastAsia="en-CA" w:bidi="ar-SA"/>
    </w:rPr>
  </w:style>
  <w:style w:type="character" w:customStyle="1" w:styleId="20">
    <w:name w:val="term"/>
    <w:basedOn w:val="8"/>
    <w:qFormat/>
    <w:uiPriority w:val="0"/>
  </w:style>
  <w:style w:type="paragraph" w:customStyle="1" w:styleId="21">
    <w:name w:val="MDPI_4.1_table_caption"/>
    <w:basedOn w:val="1"/>
    <w:qFormat/>
    <w:uiPriority w:val="0"/>
    <w:pPr>
      <w:adjustRightInd w:val="0"/>
      <w:snapToGrid w:val="0"/>
      <w:spacing w:before="240" w:after="120" w:line="260" w:lineRule="atLeast"/>
      <w:ind w:left="425" w:right="425"/>
      <w:jc w:val="both"/>
    </w:pPr>
    <w:rPr>
      <w:rFonts w:ascii="Palatino Linotype" w:hAnsi="Palatino Linotype" w:eastAsia="Times New Roman" w:cs="Times New Roman"/>
      <w:color w:val="000000"/>
      <w:sz w:val="18"/>
      <w:szCs w:val="22"/>
      <w:lang w:eastAsia="de-DE" w:bidi="en-US"/>
    </w:rPr>
  </w:style>
  <w:style w:type="character" w:customStyle="1" w:styleId="22">
    <w:name w:val="占位符文本1"/>
    <w:basedOn w:val="8"/>
    <w:semiHidden/>
    <w:qFormat/>
    <w:uiPriority w:val="99"/>
    <w:rPr>
      <w:color w:val="808080"/>
    </w:rPr>
  </w:style>
  <w:style w:type="table" w:customStyle="1" w:styleId="23">
    <w:name w:val="网格型浅色1"/>
    <w:basedOn w:val="12"/>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24">
    <w:name w:val="history-span"/>
    <w:basedOn w:val="8"/>
    <w:qFormat/>
    <w:uiPriority w:val="0"/>
  </w:style>
  <w:style w:type="paragraph" w:customStyle="1" w:styleId="25">
    <w:name w:val="无间隔11"/>
    <w:qFormat/>
    <w:uiPriority w:val="1"/>
    <w:pPr>
      <w:widowControl w:val="0"/>
      <w:jc w:val="both"/>
    </w:pPr>
    <w:rPr>
      <w:rFonts w:asciiTheme="minorHAnsi" w:hAnsiTheme="minorHAnsi" w:eastAsiaTheme="minorEastAsia" w:cstheme="minorBidi"/>
      <w:kern w:val="2"/>
      <w:sz w:val="24"/>
      <w:szCs w:val="24"/>
      <w:lang w:val="en-US" w:eastAsia="zh-CN" w:bidi="ar-SA"/>
    </w:rPr>
  </w:style>
  <w:style w:type="character" w:customStyle="1" w:styleId="26">
    <w:name w:val="批注文字 字符"/>
    <w:basedOn w:val="8"/>
    <w:link w:val="3"/>
    <w:semiHidden/>
    <w:qFormat/>
    <w:uiPriority w:val="99"/>
    <w:rPr>
      <w:rFonts w:ascii="宋体" w:hAnsi="宋体" w:cs="宋体"/>
      <w:sz w:val="24"/>
      <w:szCs w:val="24"/>
    </w:rPr>
  </w:style>
  <w:style w:type="character" w:customStyle="1" w:styleId="27">
    <w:name w:val="批注主题 字符"/>
    <w:basedOn w:val="26"/>
    <w:link w:val="2"/>
    <w:semiHidden/>
    <w:qFormat/>
    <w:uiPriority w:val="99"/>
    <w:rPr>
      <w:rFonts w:ascii="宋体" w:hAnsi="宋体" w:cs="宋体"/>
      <w:b/>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5134</Words>
  <Characters>29265</Characters>
  <Lines>243</Lines>
  <Paragraphs>68</Paragraphs>
  <TotalTime>0</TotalTime>
  <ScaleCrop>false</ScaleCrop>
  <LinksUpToDate>false</LinksUpToDate>
  <CharactersWithSpaces>34331</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2021-04-18T20:55:00Z</dcterms:created>
  <dc:creator>Hu Cheng-Yang</dc:creator>
  <cp:lastModifiedBy>gui</cp:lastModifiedBy>
  <dcterms:modified xsi:type="dcterms:W3CDTF">2021-07-25T21:21:15Z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y fmtid="{D5CDD505-2E9C-101B-9397-08002B2CF9AE}" pid="3" name="ICV">
    <vt:lpwstr>09C01DB5347B4343BFE458615A979350</vt:lpwstr>
  </property>
</Properties>
</file>