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3B162">
      <w:pPr>
        <w:pStyle w:val="18"/>
        <w:rPr>
          <w:rFonts w:eastAsiaTheme="minorEastAsia"/>
          <w:b/>
          <w:bCs/>
          <w:kern w:val="2"/>
          <w:sz w:val="24"/>
          <w:szCs w:val="24"/>
        </w:rPr>
      </w:pPr>
      <w:r>
        <w:rPr>
          <w:rFonts w:eastAsiaTheme="minorEastAsia"/>
          <w:b/>
          <w:bCs/>
          <w:kern w:val="2"/>
          <w:sz w:val="24"/>
          <w:szCs w:val="24"/>
        </w:rPr>
        <w:t>Appendix file</w:t>
      </w:r>
    </w:p>
    <w:p w14:paraId="0528CD27">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cs="Times New Roman"/>
          <w:b/>
          <w:bCs/>
          <w:sz w:val="24"/>
          <w:szCs w:val="24"/>
        </w:rPr>
      </w:pPr>
      <w:r>
        <w:rPr>
          <w:rFonts w:ascii="Times New Roman" w:hAnsi="Times New Roman" w:cs="Times New Roman"/>
          <w:b/>
          <w:bCs/>
          <w:sz w:val="24"/>
          <w:szCs w:val="24"/>
        </w:rPr>
        <w:t>Manuscript name:</w:t>
      </w:r>
      <w:r>
        <w:rPr>
          <w:rFonts w:ascii="Times New Roman" w:hAnsi="Times New Roman" w:cs="Times New Roman"/>
          <w:sz w:val="24"/>
          <w:szCs w:val="24"/>
        </w:rPr>
        <w:t xml:space="preserve"> </w:t>
      </w:r>
      <w:r>
        <w:rPr>
          <w:rFonts w:hint="eastAsia" w:ascii="Times New Roman" w:hAnsi="Times New Roman" w:cs="Times New Roman"/>
          <w:sz w:val="24"/>
          <w:szCs w:val="24"/>
        </w:rPr>
        <w:t>Clinical Impact and Cost-Effectiveness of Rapid vs. Non-Rapid Initiation Antiretroviral Therapy Regimens in HIV-Positive Men Who Have Sex With Men in China: A Study Combining Modelling and 96-Week Multicenter Cohort Data</w:t>
      </w:r>
    </w:p>
    <w:p w14:paraId="09530EC3">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 xml:space="preserve">Kejia Zhou </w:t>
      </w:r>
      <w:r>
        <w:rPr>
          <w:rFonts w:ascii="Times New Roman" w:hAnsi="Times New Roman" w:cs="Times New Roman"/>
          <w:szCs w:val="21"/>
          <w:vertAlign w:val="superscript"/>
        </w:rPr>
        <w:t>1,2†</w:t>
      </w:r>
      <w:r>
        <w:rPr>
          <w:rFonts w:ascii="Times New Roman" w:hAnsi="Times New Roman" w:cs="Times New Roman"/>
          <w:szCs w:val="21"/>
        </w:rPr>
        <w:t xml:space="preserve">, Xi Wang </w:t>
      </w:r>
      <w:r>
        <w:rPr>
          <w:rFonts w:ascii="Times New Roman" w:hAnsi="Times New Roman" w:cs="Times New Roman"/>
          <w:szCs w:val="21"/>
          <w:vertAlign w:val="superscript"/>
        </w:rPr>
        <w:t>3†</w:t>
      </w:r>
      <w:r>
        <w:rPr>
          <w:rFonts w:ascii="Times New Roman" w:hAnsi="Times New Roman" w:cs="Times New Roman"/>
          <w:szCs w:val="21"/>
        </w:rPr>
        <w:t xml:space="preserve">, Dachaung Zhou </w:t>
      </w:r>
      <w:r>
        <w:rPr>
          <w:rFonts w:ascii="Times New Roman" w:hAnsi="Times New Roman" w:cs="Times New Roman"/>
          <w:szCs w:val="21"/>
          <w:vertAlign w:val="superscript"/>
        </w:rPr>
        <w:t>1,2</w:t>
      </w:r>
      <w:r>
        <w:rPr>
          <w:rFonts w:ascii="Times New Roman" w:hAnsi="Times New Roman" w:cs="Times New Roman"/>
          <w:szCs w:val="21"/>
        </w:rPr>
        <w:t xml:space="preserve">, Lili Dai </w:t>
      </w:r>
      <w:r>
        <w:rPr>
          <w:rFonts w:ascii="Times New Roman" w:hAnsi="Times New Roman" w:cs="Times New Roman"/>
          <w:szCs w:val="21"/>
          <w:vertAlign w:val="superscript"/>
        </w:rPr>
        <w:t>3*</w:t>
      </w:r>
      <w:r>
        <w:rPr>
          <w:rFonts w:ascii="Times New Roman" w:hAnsi="Times New Roman" w:cs="Times New Roman"/>
          <w:szCs w:val="21"/>
        </w:rPr>
        <w:t xml:space="preserve">, Wenxi Tang </w:t>
      </w:r>
      <w:r>
        <w:rPr>
          <w:rFonts w:ascii="Times New Roman" w:hAnsi="Times New Roman" w:cs="Times New Roman"/>
          <w:szCs w:val="21"/>
          <w:vertAlign w:val="superscript"/>
        </w:rPr>
        <w:t>1,2*</w:t>
      </w:r>
    </w:p>
    <w:p w14:paraId="526A0E27">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 Contributed equally</w:t>
      </w:r>
    </w:p>
    <w:p w14:paraId="49ADDAAA">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1 Department of Pharmacoeconomics, School of International Pharmaceutical Business, China Pharmaceutical University, Nanjing, Jiangsu, China</w:t>
      </w:r>
    </w:p>
    <w:p w14:paraId="2DAA8633">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2 Center for Pharmacoeconomics and Outcomes Research, China Pharmaceutical University, Nanjing, Jiangsu, China</w:t>
      </w:r>
    </w:p>
    <w:p w14:paraId="01EB0F39">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3 Beijing Youan Hospital, Capital Medical University, Beijing, China</w:t>
      </w:r>
    </w:p>
    <w:p w14:paraId="31B3B621">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p>
    <w:p w14:paraId="565EE136">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 Correspondence</w:t>
      </w:r>
    </w:p>
    <w:p w14:paraId="10F2C191">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Wenxi Tang, PhD, Center for Pharmacoeconomics and Outcomes Research &amp; Department of Public Affairs Management, School of International Pharmaceutical Business, China Pharmaceutical University, Nanjing, Jiangsu, China.</w:t>
      </w:r>
    </w:p>
    <w:p w14:paraId="4BF88F32">
      <w:pPr>
        <w:keepNext w:val="0"/>
        <w:keepLines w:val="0"/>
        <w:pageBreakBefore w:val="0"/>
        <w:widowControl w:val="0"/>
        <w:kinsoku/>
        <w:wordWrap/>
        <w:overflowPunct/>
        <w:topLinePunct w:val="0"/>
        <w:autoSpaceDE/>
        <w:autoSpaceDN/>
        <w:bidi w:val="0"/>
        <w:adjustRightInd/>
        <w:snapToGrid/>
        <w:spacing w:line="360" w:lineRule="auto"/>
        <w:textAlignment w:val="auto"/>
        <w:rPr>
          <w:rStyle w:val="14"/>
          <w:rFonts w:ascii="Times New Roman" w:hAnsi="Times New Roman" w:cs="Times New Roman"/>
          <w:szCs w:val="21"/>
        </w:rPr>
      </w:pPr>
      <w:r>
        <w:rPr>
          <w:rFonts w:ascii="Times New Roman" w:hAnsi="Times New Roman" w:cs="Times New Roman"/>
          <w:szCs w:val="21"/>
        </w:rPr>
        <w:t xml:space="preserve">Email: </w:t>
      </w:r>
      <w:r>
        <w:fldChar w:fldCharType="begin"/>
      </w:r>
      <w:r>
        <w:instrText xml:space="preserve"> HYPERLINK "mailto:tokammy@cpu.edu.cn" </w:instrText>
      </w:r>
      <w:r>
        <w:fldChar w:fldCharType="separate"/>
      </w:r>
      <w:r>
        <w:rPr>
          <w:rStyle w:val="14"/>
          <w:rFonts w:ascii="Times New Roman" w:hAnsi="Times New Roman" w:cs="Times New Roman"/>
          <w:szCs w:val="21"/>
        </w:rPr>
        <w:t>tokammy@cpu.edu.cn</w:t>
      </w:r>
      <w:r>
        <w:rPr>
          <w:rStyle w:val="14"/>
          <w:rFonts w:ascii="Times New Roman" w:hAnsi="Times New Roman" w:cs="Times New Roman"/>
          <w:szCs w:val="21"/>
        </w:rPr>
        <w:fldChar w:fldCharType="end"/>
      </w:r>
    </w:p>
    <w:p w14:paraId="199A61DC">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hint="eastAsia" w:ascii="Times New Roman" w:hAnsi="Times New Roman" w:cs="Times New Roman"/>
          <w:szCs w:val="21"/>
        </w:rPr>
        <w:t xml:space="preserve">Lili Dai </w:t>
      </w:r>
      <w:r>
        <w:rPr>
          <w:rFonts w:ascii="Times New Roman" w:hAnsi="Times New Roman" w:cs="Times New Roman"/>
          <w:szCs w:val="21"/>
        </w:rPr>
        <w:t>PhD</w:t>
      </w:r>
      <w:r>
        <w:rPr>
          <w:rFonts w:hint="eastAsia" w:ascii="Times New Roman" w:hAnsi="Times New Roman" w:cs="Times New Roman"/>
          <w:szCs w:val="21"/>
        </w:rPr>
        <w:t xml:space="preserve">, </w:t>
      </w:r>
      <w:r>
        <w:rPr>
          <w:rFonts w:ascii="Times New Roman" w:hAnsi="Times New Roman" w:cs="Times New Roman"/>
          <w:szCs w:val="21"/>
        </w:rPr>
        <w:t>Beijing Youan Hospital, Capital Medical University, No. 8 Xitoutiao, Youanmenwai, Fengtai District, Beijing, 100069, China</w:t>
      </w:r>
      <w:r>
        <w:rPr>
          <w:rFonts w:hint="eastAsia" w:ascii="Times New Roman" w:hAnsi="Times New Roman" w:cs="Times New Roman"/>
          <w:szCs w:val="21"/>
        </w:rPr>
        <w:t>.</w:t>
      </w:r>
    </w:p>
    <w:p w14:paraId="52A8EF97">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Cs w:val="21"/>
        </w:rPr>
      </w:pPr>
      <w:r>
        <w:rPr>
          <w:rFonts w:ascii="Times New Roman" w:hAnsi="Times New Roman" w:cs="Times New Roman"/>
          <w:szCs w:val="21"/>
        </w:rPr>
        <w:t>Email: lilydaier@ccmu.edu.cn</w:t>
      </w:r>
    </w:p>
    <w:p w14:paraId="35FC5650">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b/>
          <w:bCs/>
        </w:rPr>
      </w:pPr>
      <w:r>
        <w:rPr>
          <w:rFonts w:ascii="Times New Roman" w:hAnsi="Times New Roman" w:cs="Times New Roman"/>
          <w:b/>
          <w:bCs/>
        </w:rPr>
        <w:br w:type="page"/>
      </w:r>
    </w:p>
    <w:sdt>
      <w:sdtPr>
        <w:rPr>
          <w:rFonts w:ascii="Times New Roman" w:hAnsi="Times New Roman" w:cs="Times New Roman"/>
          <w:b/>
          <w:bCs/>
          <w:kern w:val="44"/>
          <w:sz w:val="32"/>
          <w:szCs w:val="32"/>
        </w:rPr>
        <w:id w:val="147457759"/>
        <w15:color w:val="DBDBDB"/>
        <w:docPartObj>
          <w:docPartGallery w:val="Table of Contents"/>
          <w:docPartUnique/>
        </w:docPartObj>
      </w:sdtPr>
      <w:sdtEndPr>
        <w:rPr>
          <w:rFonts w:ascii="Times New Roman" w:hAnsi="Times New Roman" w:cs="Times New Roman"/>
          <w:b/>
          <w:bCs/>
          <w:kern w:val="2"/>
          <w:sz w:val="24"/>
          <w:szCs w:val="24"/>
        </w:rPr>
      </w:sdtEndPr>
      <w:sdtContent>
        <w:p w14:paraId="2C880877">
          <w:pPr>
            <w:spacing w:line="480" w:lineRule="auto"/>
            <w:jc w:val="left"/>
            <w:outlineLvl w:val="0"/>
            <w:rPr>
              <w:rFonts w:ascii="Times New Roman" w:hAnsi="Times New Roman" w:cs="Times New Roman"/>
              <w:b/>
              <w:bCs/>
              <w:kern w:val="44"/>
              <w:sz w:val="32"/>
              <w:szCs w:val="32"/>
            </w:rPr>
          </w:pPr>
          <w:bookmarkStart w:id="0" w:name="_Toc3321"/>
          <w:bookmarkStart w:id="1" w:name="_Toc216103809"/>
          <w:bookmarkStart w:id="2" w:name="_Toc32515"/>
          <w:r>
            <w:rPr>
              <w:rFonts w:ascii="Times New Roman" w:hAnsi="Times New Roman" w:cs="Times New Roman"/>
              <w:b/>
              <w:bCs/>
              <w:kern w:val="44"/>
              <w:sz w:val="32"/>
              <w:szCs w:val="32"/>
            </w:rPr>
            <w:t>Content</w:t>
          </w:r>
          <w:bookmarkEnd w:id="0"/>
          <w:bookmarkEnd w:id="1"/>
          <w:bookmarkEnd w:id="2"/>
        </w:p>
        <w:p w14:paraId="6BF997E3">
          <w:pPr>
            <w:pStyle w:val="8"/>
            <w:tabs>
              <w:tab w:val="left" w:pos="440"/>
              <w:tab w:val="right" w:leader="dot" w:pos="8296"/>
            </w:tabs>
            <w:spacing w:line="480" w:lineRule="auto"/>
            <w:rPr>
              <w:rStyle w:val="14"/>
              <w:rFonts w:hint="eastAsia"/>
              <w:sz w:val="24"/>
              <w:szCs w:val="28"/>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TOC \o "1-1" \h \u </w:instrText>
          </w:r>
          <w:r>
            <w:rPr>
              <w:rFonts w:ascii="Times New Roman" w:hAnsi="Times New Roman" w:cs="Times New Roman"/>
              <w:b/>
              <w:bCs/>
              <w:sz w:val="24"/>
              <w:szCs w:val="24"/>
            </w:rPr>
            <w:fldChar w:fldCharType="separate"/>
          </w:r>
          <w:r>
            <w:fldChar w:fldCharType="begin"/>
          </w:r>
          <w:r>
            <w:instrText xml:space="preserve"> HYPERLINK \l "_Toc216103810" </w:instrText>
          </w:r>
          <w:r>
            <w:fldChar w:fldCharType="separate"/>
          </w:r>
          <w:r>
            <w:rPr>
              <w:rStyle w:val="14"/>
              <w:rFonts w:ascii="Times New Roman" w:hAnsi="Times New Roman" w:cs="Times New Roman"/>
              <w:sz w:val="24"/>
              <w:szCs w:val="28"/>
            </w:rPr>
            <w:t>1</w:t>
          </w:r>
          <w:r>
            <w:rPr>
              <w:rStyle w:val="14"/>
              <w:rFonts w:hint="eastAsia"/>
              <w:sz w:val="24"/>
              <w:szCs w:val="28"/>
            </w:rPr>
            <w:tab/>
          </w:r>
          <w:r>
            <w:rPr>
              <w:rStyle w:val="14"/>
              <w:rFonts w:ascii="Times New Roman" w:hAnsi="Times New Roman" w:cs="Times New Roman"/>
              <w:sz w:val="24"/>
              <w:szCs w:val="28"/>
            </w:rPr>
            <w:t>Detailed Study Flow</w:t>
          </w:r>
          <w:r>
            <w:rPr>
              <w:rStyle w:val="14"/>
              <w:rFonts w:hint="eastAsia"/>
            </w:rPr>
            <w:tab/>
          </w:r>
          <w:r>
            <w:rPr>
              <w:rStyle w:val="14"/>
              <w:rFonts w:hint="eastAsia"/>
            </w:rPr>
            <w:fldChar w:fldCharType="begin"/>
          </w:r>
          <w:r>
            <w:rPr>
              <w:rStyle w:val="14"/>
              <w:rFonts w:hint="eastAsia"/>
            </w:rPr>
            <w:instrText xml:space="preserve"> </w:instrText>
          </w:r>
          <w:r>
            <w:rPr>
              <w:rStyle w:val="14"/>
            </w:rPr>
            <w:instrText xml:space="preserve">PAGEREF _Toc216103810 \h</w:instrText>
          </w:r>
          <w:r>
            <w:rPr>
              <w:rStyle w:val="14"/>
              <w:rFonts w:hint="eastAsia"/>
            </w:rPr>
            <w:instrText xml:space="preserve"> </w:instrText>
          </w:r>
          <w:r>
            <w:rPr>
              <w:rStyle w:val="14"/>
              <w:rFonts w:hint="eastAsia"/>
            </w:rPr>
            <w:fldChar w:fldCharType="separate"/>
          </w:r>
          <w:r>
            <w:rPr>
              <w:rStyle w:val="14"/>
            </w:rPr>
            <w:t>4</w:t>
          </w:r>
          <w:r>
            <w:rPr>
              <w:rStyle w:val="14"/>
              <w:rFonts w:hint="eastAsia"/>
            </w:rPr>
            <w:fldChar w:fldCharType="end"/>
          </w:r>
          <w:r>
            <w:rPr>
              <w:rStyle w:val="14"/>
              <w:rFonts w:hint="eastAsia"/>
            </w:rPr>
            <w:fldChar w:fldCharType="end"/>
          </w:r>
        </w:p>
        <w:p w14:paraId="6144C883">
          <w:pPr>
            <w:pStyle w:val="8"/>
            <w:tabs>
              <w:tab w:val="left" w:pos="440"/>
              <w:tab w:val="right" w:leader="dot" w:pos="8296"/>
            </w:tabs>
            <w:spacing w:line="480" w:lineRule="auto"/>
            <w:rPr>
              <w:rFonts w:ascii="Times New Roman" w:hAnsi="Times New Roman" w:cs="Times New Roman"/>
              <w:sz w:val="28"/>
              <w:szCs w:val="32"/>
              <w14:ligatures w14:val="standardContextual"/>
            </w:rPr>
          </w:pPr>
          <w:r>
            <w:fldChar w:fldCharType="begin"/>
          </w:r>
          <w:r>
            <w:instrText xml:space="preserve"> HYPERLINK \l "_Toc216103811" </w:instrText>
          </w:r>
          <w:r>
            <w:fldChar w:fldCharType="separate"/>
          </w:r>
          <w:r>
            <w:rPr>
              <w:rStyle w:val="14"/>
              <w:rFonts w:ascii="Times New Roman" w:hAnsi="Times New Roman" w:cs="Times New Roman"/>
              <w:sz w:val="24"/>
              <w:szCs w:val="28"/>
            </w:rPr>
            <w:t>2</w:t>
          </w:r>
          <w:r>
            <w:rPr>
              <w:rFonts w:ascii="Times New Roman" w:hAnsi="Times New Roman" w:cs="Times New Roman"/>
              <w:sz w:val="28"/>
              <w:szCs w:val="32"/>
              <w14:ligatures w14:val="standardContextual"/>
            </w:rPr>
            <w:tab/>
          </w:r>
          <w:r>
            <w:rPr>
              <w:rStyle w:val="14"/>
              <w:rFonts w:ascii="Times New Roman" w:hAnsi="Times New Roman" w:cs="Times New Roman"/>
              <w:sz w:val="24"/>
              <w:szCs w:val="28"/>
            </w:rPr>
            <w:t>Derivation of Model Structure</w:t>
          </w:r>
          <w:r>
            <w:rPr>
              <w:rFonts w:ascii="Times New Roman" w:hAnsi="Times New Roman" w:cs="Times New Roman"/>
              <w:sz w:val="24"/>
              <w:szCs w:val="28"/>
            </w:rPr>
            <w:tab/>
          </w:r>
          <w:r>
            <w:rPr>
              <w:rFonts w:ascii="Times New Roman" w:hAnsi="Times New Roman" w:cs="Times New Roman"/>
              <w:sz w:val="24"/>
              <w:szCs w:val="28"/>
            </w:rPr>
            <w:fldChar w:fldCharType="begin"/>
          </w:r>
          <w:r>
            <w:rPr>
              <w:rFonts w:ascii="Times New Roman" w:hAnsi="Times New Roman" w:cs="Times New Roman"/>
              <w:sz w:val="24"/>
              <w:szCs w:val="28"/>
            </w:rPr>
            <w:instrText xml:space="preserve"> PAGEREF _Toc216103811 \h </w:instrText>
          </w:r>
          <w:r>
            <w:rPr>
              <w:rFonts w:ascii="Times New Roman" w:hAnsi="Times New Roman" w:cs="Times New Roman"/>
              <w:sz w:val="24"/>
              <w:szCs w:val="28"/>
            </w:rPr>
            <w:fldChar w:fldCharType="separate"/>
          </w:r>
          <w:r>
            <w:rPr>
              <w:rFonts w:ascii="Times New Roman" w:hAnsi="Times New Roman" w:cs="Times New Roman"/>
              <w:sz w:val="24"/>
              <w:szCs w:val="28"/>
            </w:rPr>
            <w:t>12</w:t>
          </w:r>
          <w:r>
            <w:rPr>
              <w:rFonts w:ascii="Times New Roman" w:hAnsi="Times New Roman" w:cs="Times New Roman"/>
              <w:sz w:val="24"/>
              <w:szCs w:val="28"/>
            </w:rPr>
            <w:fldChar w:fldCharType="end"/>
          </w:r>
          <w:r>
            <w:rPr>
              <w:rFonts w:ascii="Times New Roman" w:hAnsi="Times New Roman" w:cs="Times New Roman"/>
              <w:sz w:val="24"/>
              <w:szCs w:val="28"/>
            </w:rPr>
            <w:fldChar w:fldCharType="end"/>
          </w:r>
        </w:p>
        <w:p w14:paraId="26CD3CE8">
          <w:pPr>
            <w:pStyle w:val="8"/>
            <w:tabs>
              <w:tab w:val="left" w:pos="440"/>
              <w:tab w:val="right" w:leader="dot" w:pos="8296"/>
            </w:tabs>
            <w:spacing w:line="480" w:lineRule="auto"/>
            <w:rPr>
              <w:rFonts w:ascii="Times New Roman" w:hAnsi="Times New Roman" w:cs="Times New Roman"/>
              <w:sz w:val="28"/>
              <w:szCs w:val="32"/>
              <w14:ligatures w14:val="standardContextual"/>
            </w:rPr>
          </w:pPr>
          <w:r>
            <w:fldChar w:fldCharType="begin"/>
          </w:r>
          <w:r>
            <w:instrText xml:space="preserve"> HYPERLINK \l "_Toc216103812" </w:instrText>
          </w:r>
          <w:r>
            <w:fldChar w:fldCharType="separate"/>
          </w:r>
          <w:r>
            <w:rPr>
              <w:rStyle w:val="14"/>
              <w:rFonts w:ascii="Times New Roman" w:hAnsi="Times New Roman" w:cs="Times New Roman"/>
              <w:sz w:val="24"/>
              <w:szCs w:val="28"/>
            </w:rPr>
            <w:t>3</w:t>
          </w:r>
          <w:r>
            <w:rPr>
              <w:rFonts w:ascii="Times New Roman" w:hAnsi="Times New Roman" w:cs="Times New Roman"/>
              <w:sz w:val="28"/>
              <w:szCs w:val="32"/>
              <w14:ligatures w14:val="standardContextual"/>
            </w:rPr>
            <w:tab/>
          </w:r>
          <w:r>
            <w:rPr>
              <w:rStyle w:val="14"/>
              <w:rFonts w:ascii="Times New Roman" w:hAnsi="Times New Roman" w:cs="Times New Roman"/>
              <w:sz w:val="24"/>
              <w:szCs w:val="28"/>
            </w:rPr>
            <w:t>Supplementary Data on Results</w:t>
          </w:r>
          <w:r>
            <w:rPr>
              <w:rFonts w:ascii="Times New Roman" w:hAnsi="Times New Roman" w:cs="Times New Roman"/>
              <w:sz w:val="24"/>
              <w:szCs w:val="28"/>
            </w:rPr>
            <w:tab/>
          </w:r>
          <w:r>
            <w:rPr>
              <w:rFonts w:ascii="Times New Roman" w:hAnsi="Times New Roman" w:cs="Times New Roman"/>
              <w:sz w:val="24"/>
              <w:szCs w:val="28"/>
            </w:rPr>
            <w:fldChar w:fldCharType="begin"/>
          </w:r>
          <w:r>
            <w:rPr>
              <w:rFonts w:ascii="Times New Roman" w:hAnsi="Times New Roman" w:cs="Times New Roman"/>
              <w:sz w:val="24"/>
              <w:szCs w:val="28"/>
            </w:rPr>
            <w:instrText xml:space="preserve"> PAGEREF _Toc216103812 \h </w:instrText>
          </w:r>
          <w:r>
            <w:rPr>
              <w:rFonts w:ascii="Times New Roman" w:hAnsi="Times New Roman" w:cs="Times New Roman"/>
              <w:sz w:val="24"/>
              <w:szCs w:val="28"/>
            </w:rPr>
            <w:fldChar w:fldCharType="separate"/>
          </w:r>
          <w:r>
            <w:rPr>
              <w:rFonts w:ascii="Times New Roman" w:hAnsi="Times New Roman" w:cs="Times New Roman"/>
              <w:sz w:val="24"/>
              <w:szCs w:val="28"/>
            </w:rPr>
            <w:t>40</w:t>
          </w:r>
          <w:r>
            <w:rPr>
              <w:rFonts w:ascii="Times New Roman" w:hAnsi="Times New Roman" w:cs="Times New Roman"/>
              <w:sz w:val="24"/>
              <w:szCs w:val="28"/>
            </w:rPr>
            <w:fldChar w:fldCharType="end"/>
          </w:r>
          <w:r>
            <w:rPr>
              <w:rFonts w:ascii="Times New Roman" w:hAnsi="Times New Roman" w:cs="Times New Roman"/>
              <w:sz w:val="24"/>
              <w:szCs w:val="28"/>
            </w:rPr>
            <w:fldChar w:fldCharType="end"/>
          </w:r>
        </w:p>
        <w:p w14:paraId="2AA658AA">
          <w:pPr>
            <w:pStyle w:val="8"/>
            <w:tabs>
              <w:tab w:val="left" w:pos="440"/>
              <w:tab w:val="right" w:leader="dot" w:pos="8296"/>
            </w:tabs>
            <w:spacing w:line="480" w:lineRule="auto"/>
            <w:rPr>
              <w:rFonts w:ascii="Times New Roman" w:hAnsi="Times New Roman" w:cs="Times New Roman"/>
              <w:sz w:val="28"/>
              <w:szCs w:val="32"/>
              <w14:ligatures w14:val="standardContextual"/>
            </w:rPr>
          </w:pPr>
          <w:r>
            <w:fldChar w:fldCharType="begin"/>
          </w:r>
          <w:r>
            <w:instrText xml:space="preserve"> HYPERLINK \l "_Toc216103813" </w:instrText>
          </w:r>
          <w:r>
            <w:fldChar w:fldCharType="separate"/>
          </w:r>
          <w:r>
            <w:rPr>
              <w:rStyle w:val="14"/>
              <w:rFonts w:ascii="Times New Roman" w:hAnsi="Times New Roman" w:cs="Times New Roman"/>
              <w:sz w:val="24"/>
              <w:szCs w:val="28"/>
            </w:rPr>
            <w:t>4</w:t>
          </w:r>
          <w:r>
            <w:rPr>
              <w:rFonts w:ascii="Times New Roman" w:hAnsi="Times New Roman" w:cs="Times New Roman"/>
              <w:sz w:val="28"/>
              <w:szCs w:val="32"/>
              <w14:ligatures w14:val="standardContextual"/>
            </w:rPr>
            <w:tab/>
          </w:r>
          <w:r>
            <w:rPr>
              <w:rStyle w:val="14"/>
              <w:rFonts w:ascii="Times New Roman" w:hAnsi="Times New Roman" w:cs="Times New Roman"/>
              <w:sz w:val="24"/>
              <w:szCs w:val="28"/>
            </w:rPr>
            <w:t>References</w:t>
          </w:r>
          <w:r>
            <w:rPr>
              <w:rFonts w:ascii="Times New Roman" w:hAnsi="Times New Roman" w:cs="Times New Roman"/>
              <w:sz w:val="24"/>
              <w:szCs w:val="28"/>
            </w:rPr>
            <w:tab/>
          </w:r>
          <w:r>
            <w:rPr>
              <w:rFonts w:ascii="Times New Roman" w:hAnsi="Times New Roman" w:cs="Times New Roman"/>
              <w:sz w:val="24"/>
              <w:szCs w:val="28"/>
            </w:rPr>
            <w:fldChar w:fldCharType="begin"/>
          </w:r>
          <w:r>
            <w:rPr>
              <w:rFonts w:ascii="Times New Roman" w:hAnsi="Times New Roman" w:cs="Times New Roman"/>
              <w:sz w:val="24"/>
              <w:szCs w:val="28"/>
            </w:rPr>
            <w:instrText xml:space="preserve"> PAGEREF _Toc216103813 \h </w:instrText>
          </w:r>
          <w:r>
            <w:rPr>
              <w:rFonts w:ascii="Times New Roman" w:hAnsi="Times New Roman" w:cs="Times New Roman"/>
              <w:sz w:val="24"/>
              <w:szCs w:val="28"/>
            </w:rPr>
            <w:fldChar w:fldCharType="separate"/>
          </w:r>
          <w:r>
            <w:rPr>
              <w:rFonts w:ascii="Times New Roman" w:hAnsi="Times New Roman" w:cs="Times New Roman"/>
              <w:sz w:val="24"/>
              <w:szCs w:val="28"/>
            </w:rPr>
            <w:t>59</w:t>
          </w:r>
          <w:r>
            <w:rPr>
              <w:rFonts w:ascii="Times New Roman" w:hAnsi="Times New Roman" w:cs="Times New Roman"/>
              <w:sz w:val="24"/>
              <w:szCs w:val="28"/>
            </w:rPr>
            <w:fldChar w:fldCharType="end"/>
          </w:r>
          <w:r>
            <w:rPr>
              <w:rFonts w:ascii="Times New Roman" w:hAnsi="Times New Roman" w:cs="Times New Roman"/>
              <w:sz w:val="24"/>
              <w:szCs w:val="28"/>
            </w:rPr>
            <w:fldChar w:fldCharType="end"/>
          </w:r>
        </w:p>
        <w:p w14:paraId="27ED88E8">
          <w:pPr>
            <w:pStyle w:val="16"/>
            <w:spacing w:line="480" w:lineRule="auto"/>
            <w:ind w:firstLine="0" w:firstLineChars="0"/>
            <w:rPr>
              <w:rFonts w:ascii="Times New Roman" w:hAnsi="Times New Roman" w:cs="Times New Roman"/>
              <w:b/>
              <w:bCs/>
              <w:sz w:val="24"/>
              <w:szCs w:val="24"/>
            </w:rPr>
          </w:pPr>
          <w:r>
            <w:rPr>
              <w:rFonts w:ascii="Times New Roman" w:hAnsi="Times New Roman" w:cs="Times New Roman"/>
              <w:bCs/>
              <w:sz w:val="24"/>
              <w:szCs w:val="24"/>
            </w:rPr>
            <w:fldChar w:fldCharType="end"/>
          </w:r>
        </w:p>
      </w:sdtContent>
    </w:sdt>
    <w:p w14:paraId="5EA9FA6E">
      <w:pPr>
        <w:pStyle w:val="8"/>
        <w:tabs>
          <w:tab w:val="right" w:leader="dot" w:pos="8306"/>
        </w:tabs>
        <w:spacing w:line="480" w:lineRule="auto"/>
        <w:rPr>
          <w:rFonts w:ascii="Times New Roman" w:hAnsi="Times New Roman" w:cs="Times New Roman"/>
          <w:b/>
          <w:bCs/>
          <w:kern w:val="44"/>
          <w:sz w:val="32"/>
          <w:szCs w:val="32"/>
        </w:rPr>
      </w:pPr>
      <w:r>
        <w:rPr>
          <w:rFonts w:ascii="Times New Roman" w:hAnsi="Times New Roman" w:cs="Times New Roman"/>
          <w:b/>
          <w:bCs/>
          <w:kern w:val="44"/>
          <w:sz w:val="32"/>
          <w:szCs w:val="32"/>
        </w:rPr>
        <w:t>List of Tables</w:t>
      </w:r>
    </w:p>
    <w:p w14:paraId="48964ED1">
      <w:pPr>
        <w:pStyle w:val="9"/>
        <w:tabs>
          <w:tab w:val="right" w:leader="dot" w:pos="8296"/>
        </w:tabs>
        <w:spacing w:line="480" w:lineRule="auto"/>
        <w:ind w:left="99" w:leftChars="47" w:firstLine="0" w:firstLineChars="0"/>
        <w:rPr>
          <w:rFonts w:ascii="Times New Roman" w:hAnsi="Times New Roman" w:cs="Times New Roman"/>
          <w:kern w:val="44"/>
          <w:sz w:val="24"/>
          <w:szCs w:val="24"/>
        </w:rPr>
      </w:pPr>
      <w:r>
        <w:rPr>
          <w:rFonts w:ascii="Times New Roman" w:hAnsi="Times New Roman" w:cs="Times New Roman"/>
          <w:bCs/>
          <w:kern w:val="44"/>
          <w:sz w:val="24"/>
          <w:szCs w:val="24"/>
        </w:rPr>
        <w:fldChar w:fldCharType="begin"/>
      </w:r>
      <w:r>
        <w:rPr>
          <w:rFonts w:ascii="Times New Roman" w:hAnsi="Times New Roman" w:cs="Times New Roman"/>
          <w:bCs/>
          <w:kern w:val="44"/>
          <w:sz w:val="24"/>
          <w:szCs w:val="24"/>
        </w:rPr>
        <w:instrText xml:space="preserve"> TOC \h \z \c "Appendix Table" </w:instrText>
      </w:r>
      <w:r>
        <w:rPr>
          <w:rFonts w:ascii="Times New Roman" w:hAnsi="Times New Roman" w:cs="Times New Roman"/>
          <w:bCs/>
          <w:kern w:val="44"/>
          <w:sz w:val="24"/>
          <w:szCs w:val="24"/>
        </w:rPr>
        <w:fldChar w:fldCharType="separate"/>
      </w:r>
      <w:r>
        <w:fldChar w:fldCharType="begin"/>
      </w:r>
      <w:r>
        <w:instrText xml:space="preserve"> HYPERLINK \l "_Toc216103911" </w:instrText>
      </w:r>
      <w:r>
        <w:fldChar w:fldCharType="separate"/>
      </w:r>
      <w:r>
        <w:rPr>
          <w:rFonts w:ascii="Times New Roman" w:hAnsi="Times New Roman" w:cs="Times New Roman"/>
          <w:kern w:val="44"/>
          <w:sz w:val="24"/>
          <w:szCs w:val="24"/>
        </w:rPr>
        <w:t>Appendix Table 1. Cohort Population Characteristics—Baseline CD4+ T-cell Count Distribution</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_Toc216103911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17</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495A8117">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"_Toc216103912" </w:instrText>
      </w:r>
      <w:r>
        <w:fldChar w:fldCharType="separate"/>
      </w:r>
      <w:r>
        <w:rPr>
          <w:rFonts w:ascii="Times New Roman" w:hAnsi="Times New Roman" w:cs="Times New Roman"/>
          <w:kern w:val="44"/>
          <w:sz w:val="24"/>
          <w:szCs w:val="24"/>
        </w:rPr>
        <w:t>Appendix Table 2. ART Effectiveness Indicators of Viral Suppression Rate</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_Toc216103912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19</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30172F0A">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"_Toc216103913" </w:instrText>
      </w:r>
      <w:r>
        <w:fldChar w:fldCharType="separate"/>
      </w:r>
      <w:r>
        <w:rPr>
          <w:rFonts w:ascii="Times New Roman" w:hAnsi="Times New Roman" w:cs="Times New Roman"/>
          <w:kern w:val="44"/>
          <w:sz w:val="24"/>
          <w:szCs w:val="24"/>
        </w:rPr>
        <w:t>Appendix Table 3. ART Effectiveness Indicators of CD4+ T-cell Count Changes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_Toc216103913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20</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04746AC1">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"_Toc216103914" </w:instrText>
      </w:r>
      <w:r>
        <w:fldChar w:fldCharType="separate"/>
      </w:r>
      <w:r>
        <w:rPr>
          <w:rFonts w:ascii="Times New Roman" w:hAnsi="Times New Roman" w:cs="Times New Roman"/>
          <w:kern w:val="44"/>
          <w:sz w:val="24"/>
          <w:szCs w:val="24"/>
        </w:rPr>
        <w:t>Appendix Table 4. The Data on Age-Varying Natural Mortality</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_Toc216103914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22</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0130129C">
      <w:pPr>
        <w:pStyle w:val="9"/>
        <w:tabs>
          <w:tab w:val="right" w:leader="dot" w:pos="8296"/>
        </w:tabs>
        <w:spacing w:line="480" w:lineRule="auto"/>
        <w:ind w:left="99" w:leftChars="47" w:firstLine="0" w:firstLineChars="0"/>
        <w:rPr>
          <w:rFonts w:ascii="Times New Roman" w:hAnsi="Times New Roman" w:cs="Times New Roman"/>
          <w:kern w:val="44"/>
          <w:sz w:val="24"/>
          <w:szCs w:val="24"/>
        </w:rPr>
      </w:pPr>
      <w:r>
        <w:fldChar w:fldCharType="begin"/>
      </w:r>
      <w:r>
        <w:instrText xml:space="preserve"> HYPERLINK \l "_Toc216103915" </w:instrText>
      </w:r>
      <w:r>
        <w:fldChar w:fldCharType="separate"/>
      </w:r>
      <w:r>
        <w:rPr>
          <w:rFonts w:ascii="Times New Roman" w:hAnsi="Times New Roman" w:cs="Times New Roman"/>
          <w:kern w:val="44"/>
          <w:sz w:val="24"/>
          <w:szCs w:val="24"/>
        </w:rPr>
        <w:t>Appendix Table 5. HIV-Related Mortality and ADEs Incidence Rates for Different Health States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_Toc216103915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23</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2C468965">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"_Toc216103916" </w:instrText>
      </w:r>
      <w:r>
        <w:fldChar w:fldCharType="separate"/>
      </w:r>
      <w:r>
        <w:rPr>
          <w:rFonts w:ascii="Times New Roman" w:hAnsi="Times New Roman" w:cs="Times New Roman"/>
          <w:kern w:val="44"/>
          <w:sz w:val="24"/>
          <w:szCs w:val="24"/>
        </w:rPr>
        <w:t>Appendix Table 6. Treatment Discontinuation Rates for Different ART Regimens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_Toc216103916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23</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2911AD4D">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"_Toc216103917" </w:instrText>
      </w:r>
      <w:r>
        <w:fldChar w:fldCharType="separate"/>
      </w:r>
      <w:r>
        <w:rPr>
          <w:rFonts w:ascii="Times New Roman" w:hAnsi="Times New Roman" w:cs="Times New Roman"/>
          <w:kern w:val="44"/>
          <w:sz w:val="24"/>
          <w:szCs w:val="24"/>
        </w:rPr>
        <w:t>Appendix Table 7. Transmission-Related Behavioral Parameters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_Toc216103917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25</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26323E80">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"_Toc216103918" </w:instrText>
      </w:r>
      <w:r>
        <w:fldChar w:fldCharType="separate"/>
      </w:r>
      <w:r>
        <w:rPr>
          <w:rFonts w:ascii="Times New Roman" w:hAnsi="Times New Roman" w:cs="Times New Roman"/>
          <w:kern w:val="44"/>
          <w:sz w:val="24"/>
          <w:szCs w:val="24"/>
        </w:rPr>
        <w:t>Appendix Table 8. Prices and Annual Costs of ART Regimens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_Toc216103918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27</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70947652">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"_Toc216103919" </w:instrText>
      </w:r>
      <w:r>
        <w:fldChar w:fldCharType="separate"/>
      </w:r>
      <w:r>
        <w:rPr>
          <w:rFonts w:ascii="Times New Roman" w:hAnsi="Times New Roman" w:cs="Times New Roman"/>
          <w:kern w:val="44"/>
          <w:sz w:val="24"/>
          <w:szCs w:val="24"/>
        </w:rPr>
        <w:t>Appendix Table 9. Annual Cost of ART Regimens and Testing Programs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_Toc216103919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27</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0A8C2ABB">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"_Toc216103920" </w:instrText>
      </w:r>
      <w:r>
        <w:fldChar w:fldCharType="separate"/>
      </w:r>
      <w:r>
        <w:rPr>
          <w:rFonts w:ascii="Times New Roman" w:hAnsi="Times New Roman" w:cs="Times New Roman"/>
          <w:kern w:val="44"/>
          <w:sz w:val="24"/>
          <w:szCs w:val="24"/>
        </w:rPr>
        <w:t>Appendix Table 10. Utility Values for Each Health State</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_Toc216103920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28</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3E4FF843">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"_Toc216103921" </w:instrText>
      </w:r>
      <w:r>
        <w:fldChar w:fldCharType="separate"/>
      </w:r>
      <w:r>
        <w:rPr>
          <w:rFonts w:ascii="Times New Roman" w:hAnsi="Times New Roman" w:cs="Times New Roman"/>
          <w:kern w:val="44"/>
          <w:sz w:val="24"/>
          <w:szCs w:val="24"/>
        </w:rPr>
        <w:t>Appendix Table 11. Costs and Utilities for Various Types of ADEs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_Toc216103921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28</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1CF40240">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"_Toc216103922" </w:instrText>
      </w:r>
      <w:r>
        <w:fldChar w:fldCharType="separate"/>
      </w:r>
      <w:r>
        <w:rPr>
          <w:rFonts w:ascii="Times New Roman" w:hAnsi="Times New Roman" w:cs="Times New Roman"/>
          <w:kern w:val="44"/>
          <w:sz w:val="24"/>
          <w:szCs w:val="24"/>
        </w:rPr>
        <w:t>Appendix Table 12. AEs Incidence Rates, Costs, and Utilities for ART Regimens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_Toc216103922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30</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580717E8">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"_Toc216103923" </w:instrText>
      </w:r>
      <w:r>
        <w:fldChar w:fldCharType="separate"/>
      </w:r>
      <w:r>
        <w:rPr>
          <w:rFonts w:ascii="Times New Roman" w:hAnsi="Times New Roman" w:cs="Times New Roman"/>
          <w:kern w:val="44"/>
          <w:sz w:val="24"/>
          <w:szCs w:val="24"/>
        </w:rPr>
        <w:t>Appendix Table 13. CPI, Discount and Exchange Rate Statistics Table</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_Toc216103923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31</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232D0423">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"_Toc216103924" </w:instrText>
      </w:r>
      <w:r>
        <w:fldChar w:fldCharType="separate"/>
      </w:r>
      <w:r>
        <w:rPr>
          <w:rFonts w:ascii="Times New Roman" w:hAnsi="Times New Roman" w:cs="Times New Roman"/>
          <w:kern w:val="44"/>
          <w:sz w:val="24"/>
          <w:szCs w:val="24"/>
        </w:rPr>
        <w:t>Appendix Table 14 Names and Explanations of Model Parameter</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_Toc216103924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32</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110478ED">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"_Toc216103925" </w:instrText>
      </w:r>
      <w:r>
        <w:fldChar w:fldCharType="separate"/>
      </w:r>
      <w:r>
        <w:rPr>
          <w:rFonts w:ascii="Times New Roman" w:hAnsi="Times New Roman" w:cs="Times New Roman"/>
          <w:kern w:val="44"/>
          <w:sz w:val="24"/>
          <w:szCs w:val="24"/>
        </w:rPr>
        <w:t>Appendix Table 15 Names and Explanations of Model States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_Toc216103925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34</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739FD723">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"_Toc216103926" </w:instrText>
      </w:r>
      <w:r>
        <w:fldChar w:fldCharType="separate"/>
      </w:r>
      <w:r>
        <w:rPr>
          <w:rFonts w:ascii="Times New Roman" w:hAnsi="Times New Roman" w:cs="Times New Roman"/>
          <w:kern w:val="44"/>
          <w:sz w:val="24"/>
          <w:szCs w:val="24"/>
        </w:rPr>
        <w:t>Appendix Table 16 Patient Baseline Characteristics of PP Dataset</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_Toc216103926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41</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560D5F03">
      <w:pPr>
        <w:pStyle w:val="9"/>
        <w:tabs>
          <w:tab w:val="right" w:leader="dot" w:pos="8296"/>
        </w:tabs>
        <w:spacing w:line="480" w:lineRule="auto"/>
        <w:ind w:left="99" w:leftChars="47" w:firstLine="0" w:firstLineChars="0"/>
        <w:rPr>
          <w:rFonts w:ascii="Times New Roman" w:hAnsi="Times New Roman" w:cs="Times New Roman"/>
          <w:kern w:val="44"/>
          <w:sz w:val="24"/>
          <w:szCs w:val="24"/>
        </w:rPr>
      </w:pPr>
      <w:r>
        <w:fldChar w:fldCharType="begin"/>
      </w:r>
      <w:r>
        <w:instrText xml:space="preserve"> HYPERLINK \l "_Toc216103927" </w:instrText>
      </w:r>
      <w:r>
        <w:fldChar w:fldCharType="separate"/>
      </w:r>
      <w:r>
        <w:rPr>
          <w:rFonts w:ascii="Times New Roman" w:hAnsi="Times New Roman" w:cs="Times New Roman"/>
          <w:kern w:val="44"/>
          <w:sz w:val="24"/>
          <w:szCs w:val="24"/>
        </w:rPr>
        <w:t>Appendix Table 17 Clinical outcomes of CD4+ T-cell Counts and Plasma HIV-1 RNA in ITT and PP datasets</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_Toc216103927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43</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5A02D553">
      <w:pPr>
        <w:pStyle w:val="9"/>
        <w:tabs>
          <w:tab w:val="right" w:leader="dot" w:pos="8296"/>
        </w:tabs>
        <w:spacing w:line="480" w:lineRule="auto"/>
        <w:ind w:left="299" w:leftChars="47" w:firstLineChars="0"/>
        <w:rPr>
          <w:rFonts w:ascii="Times New Roman" w:hAnsi="Times New Roman" w:cs="Times New Roman"/>
          <w:kern w:val="44"/>
          <w:sz w:val="24"/>
          <w:szCs w:val="24"/>
        </w:rPr>
      </w:pPr>
      <w:r>
        <w:fldChar w:fldCharType="begin"/>
      </w:r>
      <w:r>
        <w:instrText xml:space="preserve"> HYPERLINK \l "_Toc216103928" </w:instrText>
      </w:r>
      <w:r>
        <w:fldChar w:fldCharType="separate"/>
      </w:r>
      <w:r>
        <w:rPr>
          <w:rFonts w:ascii="Times New Roman" w:hAnsi="Times New Roman" w:cs="Times New Roman"/>
          <w:kern w:val="44"/>
          <w:sz w:val="24"/>
          <w:szCs w:val="24"/>
        </w:rPr>
        <w:t>Appendix Table 18 Cost-Effectiveness Results (PP dataset)</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_Toc216103928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48</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39BEA5D2">
      <w:pPr>
        <w:pStyle w:val="9"/>
        <w:tabs>
          <w:tab w:val="right" w:leader="dot" w:pos="8296"/>
        </w:tabs>
        <w:spacing w:line="480" w:lineRule="auto"/>
        <w:ind w:left="99" w:leftChars="47" w:firstLine="0" w:firstLineChars="0"/>
        <w:rPr>
          <w:rFonts w:ascii="Times New Roman" w:hAnsi="Times New Roman" w:cs="Times New Roman"/>
          <w:sz w:val="22"/>
          <w:szCs w:val="24"/>
          <w14:ligatures w14:val="standardContextual"/>
        </w:rPr>
      </w:pPr>
      <w:r>
        <w:fldChar w:fldCharType="begin"/>
      </w:r>
      <w:r>
        <w:instrText xml:space="preserve"> HYPERLINK \l "_Toc216103929" </w:instrText>
      </w:r>
      <w:r>
        <w:fldChar w:fldCharType="separate"/>
      </w:r>
      <w:r>
        <w:rPr>
          <w:rFonts w:ascii="Times New Roman" w:hAnsi="Times New Roman" w:cs="Times New Roman"/>
          <w:kern w:val="44"/>
          <w:sz w:val="24"/>
          <w:szCs w:val="24"/>
        </w:rPr>
        <w:t>Appendix Table 19 Detailed Breakdown of QALYs and Costs (Incremental Values): Rapid vs. Non-Rapid Initiation by Treatment Regimen and Model</w:t>
      </w:r>
      <w:r>
        <w:rPr>
          <w:rFonts w:ascii="Times New Roman" w:hAnsi="Times New Roman" w:cs="Times New Roman"/>
          <w:kern w:val="44"/>
          <w:sz w:val="24"/>
          <w:szCs w:val="24"/>
        </w:rPr>
        <w:tab/>
      </w: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PAGEREF _Toc216103929 \h </w:instrText>
      </w:r>
      <w:r>
        <w:rPr>
          <w:rFonts w:ascii="Times New Roman" w:hAnsi="Times New Roman" w:cs="Times New Roman"/>
          <w:kern w:val="44"/>
          <w:sz w:val="24"/>
          <w:szCs w:val="24"/>
        </w:rPr>
        <w:fldChar w:fldCharType="separate"/>
      </w:r>
      <w:r>
        <w:rPr>
          <w:rFonts w:ascii="Times New Roman" w:hAnsi="Times New Roman" w:cs="Times New Roman"/>
          <w:kern w:val="44"/>
          <w:sz w:val="24"/>
          <w:szCs w:val="24"/>
        </w:rPr>
        <w:t>49</w:t>
      </w:r>
      <w:r>
        <w:rPr>
          <w:rFonts w:ascii="Times New Roman" w:hAnsi="Times New Roman" w:cs="Times New Roman"/>
          <w:kern w:val="44"/>
          <w:sz w:val="24"/>
          <w:szCs w:val="24"/>
        </w:rPr>
        <w:fldChar w:fldCharType="end"/>
      </w:r>
      <w:r>
        <w:rPr>
          <w:rFonts w:ascii="Times New Roman" w:hAnsi="Times New Roman" w:cs="Times New Roman"/>
          <w:kern w:val="44"/>
          <w:sz w:val="24"/>
          <w:szCs w:val="24"/>
        </w:rPr>
        <w:fldChar w:fldCharType="end"/>
      </w:r>
    </w:p>
    <w:p w14:paraId="40D3DB9A">
      <w:pPr>
        <w:pStyle w:val="8"/>
        <w:tabs>
          <w:tab w:val="right" w:leader="dot" w:pos="8306"/>
        </w:tabs>
        <w:spacing w:line="480" w:lineRule="auto"/>
        <w:jc w:val="left"/>
        <w:rPr>
          <w:rFonts w:ascii="Times New Roman" w:hAnsi="Times New Roman" w:cs="Times New Roman"/>
          <w:b/>
          <w:bCs/>
          <w:sz w:val="24"/>
          <w:szCs w:val="24"/>
        </w:rPr>
      </w:pPr>
      <w:r>
        <w:rPr>
          <w:rFonts w:ascii="Times New Roman" w:hAnsi="Times New Roman" w:cs="Times New Roman"/>
          <w:bCs/>
          <w:kern w:val="44"/>
          <w:sz w:val="24"/>
          <w:szCs w:val="24"/>
        </w:rPr>
        <w:fldChar w:fldCharType="end"/>
      </w:r>
    </w:p>
    <w:p w14:paraId="1A9C852E">
      <w:pPr>
        <w:pStyle w:val="8"/>
        <w:tabs>
          <w:tab w:val="right" w:leader="dot" w:pos="8306"/>
        </w:tabs>
        <w:spacing w:line="480" w:lineRule="auto"/>
        <w:rPr>
          <w:rFonts w:ascii="Times New Roman" w:hAnsi="Times New Roman" w:cs="Times New Roman"/>
          <w:b/>
          <w:bCs/>
          <w:kern w:val="44"/>
          <w:sz w:val="32"/>
          <w:szCs w:val="32"/>
        </w:rPr>
      </w:pPr>
      <w:r>
        <w:rPr>
          <w:rFonts w:ascii="Times New Roman" w:hAnsi="Times New Roman" w:cs="Times New Roman"/>
          <w:b/>
          <w:bCs/>
          <w:kern w:val="44"/>
          <w:sz w:val="32"/>
          <w:szCs w:val="32"/>
        </w:rPr>
        <w:t>List of Figures</w:t>
      </w:r>
    </w:p>
    <w:p w14:paraId="01ADEE36">
      <w:pPr>
        <w:pStyle w:val="8"/>
        <w:tabs>
          <w:tab w:val="right" w:leader="dot" w:pos="8306"/>
        </w:tabs>
        <w:spacing w:line="480" w:lineRule="auto"/>
        <w:rPr>
          <w:rFonts w:ascii="Times New Roman" w:hAnsi="Times New Roman" w:cs="Times New Roman"/>
          <w:kern w:val="44"/>
          <w:sz w:val="24"/>
          <w:szCs w:val="24"/>
        </w:rPr>
      </w:pPr>
      <w:r>
        <w:rPr>
          <w:rFonts w:ascii="Times New Roman" w:hAnsi="Times New Roman" w:cs="Times New Roman"/>
          <w:kern w:val="44"/>
          <w:sz w:val="24"/>
          <w:szCs w:val="24"/>
        </w:rPr>
        <w:fldChar w:fldCharType="begin"/>
      </w:r>
      <w:r>
        <w:rPr>
          <w:rFonts w:ascii="Times New Roman" w:hAnsi="Times New Roman" w:cs="Times New Roman"/>
          <w:kern w:val="44"/>
          <w:sz w:val="24"/>
          <w:szCs w:val="24"/>
        </w:rPr>
        <w:instrText xml:space="preserve"> TOC \h \z \c "Appendix Figure" </w:instrText>
      </w:r>
      <w:r>
        <w:rPr>
          <w:rFonts w:ascii="Times New Roman" w:hAnsi="Times New Roman" w:cs="Times New Roman"/>
          <w:kern w:val="44"/>
          <w:sz w:val="24"/>
          <w:szCs w:val="24"/>
        </w:rPr>
        <w:fldChar w:fldCharType="separate"/>
      </w:r>
      <w:r>
        <w:fldChar w:fldCharType="begin"/>
      </w:r>
      <w:r>
        <w:instrText xml:space="preserve"> HYPERLINK \l "_Toc213841083" </w:instrText>
      </w:r>
      <w:r>
        <w:fldChar w:fldCharType="separate"/>
      </w:r>
      <w:r>
        <w:rPr>
          <w:rFonts w:hint="eastAsia" w:ascii="Times New Roman" w:hAnsi="Times New Roman" w:cs="Times New Roman"/>
          <w:kern w:val="44"/>
          <w:sz w:val="24"/>
          <w:szCs w:val="24"/>
        </w:rPr>
        <w:t>Appendix Figure 1 Study Flowchart</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_Toc213841083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11</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08983F73">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"_Toc213841084" </w:instrText>
      </w:r>
      <w:r>
        <w:fldChar w:fldCharType="separate"/>
      </w:r>
      <w:r>
        <w:rPr>
          <w:rFonts w:hint="eastAsia" w:ascii="Times New Roman" w:hAnsi="Times New Roman" w:cs="Times New Roman"/>
          <w:kern w:val="44"/>
          <w:sz w:val="24"/>
          <w:szCs w:val="24"/>
        </w:rPr>
        <w:t>Appendix Figure 2 Disease Progression: Natunl History</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_Toc213841084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13</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53C6CA3D">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"_Toc213841085" </w:instrText>
      </w:r>
      <w:r>
        <w:fldChar w:fldCharType="separate"/>
      </w:r>
      <w:r>
        <w:rPr>
          <w:rFonts w:hint="eastAsia" w:ascii="Times New Roman" w:hAnsi="Times New Roman" w:cs="Times New Roman"/>
          <w:kern w:val="44"/>
          <w:sz w:val="24"/>
          <w:szCs w:val="24"/>
        </w:rPr>
        <w:t>Appendix Figure 3 Markov Model</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_Toc213841085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14</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0C495E1F">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"_Toc213841086" </w:instrText>
      </w:r>
      <w:r>
        <w:fldChar w:fldCharType="separate"/>
      </w:r>
      <w:r>
        <w:rPr>
          <w:rFonts w:hint="eastAsia" w:ascii="Times New Roman" w:hAnsi="Times New Roman" w:cs="Times New Roman"/>
          <w:kern w:val="44"/>
          <w:sz w:val="24"/>
          <w:szCs w:val="24"/>
        </w:rPr>
        <w:t>Appendix Figure 4 Decision Tree Model</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_Toc213841086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15</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75AC78E4">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"_Toc213841087" </w:instrText>
      </w:r>
      <w:r>
        <w:fldChar w:fldCharType="separate"/>
      </w:r>
      <w:r>
        <w:rPr>
          <w:rFonts w:hint="eastAsia" w:ascii="Times New Roman" w:hAnsi="Times New Roman" w:cs="Times New Roman"/>
          <w:kern w:val="44"/>
          <w:sz w:val="24"/>
          <w:szCs w:val="24"/>
        </w:rPr>
        <w:t>Appendix Figure 5 Infectious Disease Dynamics Model</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_Toc213841087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17</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74A6B46B">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"_Toc213841088" </w:instrText>
      </w:r>
      <w:r>
        <w:fldChar w:fldCharType="separate"/>
      </w:r>
      <w:r>
        <w:rPr>
          <w:rFonts w:hint="eastAsia" w:ascii="Times New Roman" w:hAnsi="Times New Roman" w:cs="Times New Roman"/>
          <w:kern w:val="44"/>
          <w:sz w:val="24"/>
          <w:szCs w:val="24"/>
        </w:rPr>
        <w:t>Appendix Figure 6 Sensitivity Analysis Outcomes: BIC Group vs. EFV Group (Markov Model, ITT Dataset)</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_Toc213841088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58</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3A6454CC">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"_Toc213841089" </w:instrText>
      </w:r>
      <w:r>
        <w:fldChar w:fldCharType="separate"/>
      </w:r>
      <w:r>
        <w:rPr>
          <w:rFonts w:hint="eastAsia" w:ascii="Times New Roman" w:hAnsi="Times New Roman" w:cs="Times New Roman"/>
          <w:kern w:val="44"/>
          <w:sz w:val="24"/>
          <w:szCs w:val="24"/>
        </w:rPr>
        <w:t>Appendix Figure 7 Sensitivity Analysis Outcomes: BIC Group vs. EFV Group (Infectious Disease Dynamic Model, ITT Dataset)</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_Toc213841089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58</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3615ED8D">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"_Toc213841090" </w:instrText>
      </w:r>
      <w:r>
        <w:fldChar w:fldCharType="separate"/>
      </w:r>
      <w:r>
        <w:rPr>
          <w:rFonts w:hint="eastAsia" w:ascii="Times New Roman" w:hAnsi="Times New Roman" w:cs="Times New Roman"/>
          <w:kern w:val="44"/>
          <w:sz w:val="24"/>
          <w:szCs w:val="24"/>
        </w:rPr>
        <w:t>Appendix Figure 8 Sensitivity Analysis Outcomes: BIC Group vs. EFV Group (Markov Model, PP Dataset)</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_Toc213841090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59</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02471317">
      <w:pPr>
        <w:pStyle w:val="8"/>
        <w:tabs>
          <w:tab w:val="right" w:leader="dot" w:pos="8306"/>
        </w:tabs>
        <w:spacing w:line="480" w:lineRule="auto"/>
        <w:rPr>
          <w:rFonts w:ascii="Times New Roman" w:hAnsi="Times New Roman" w:cs="Times New Roman"/>
          <w:kern w:val="44"/>
          <w:sz w:val="24"/>
          <w:szCs w:val="24"/>
        </w:rPr>
      </w:pPr>
      <w:r>
        <w:fldChar w:fldCharType="begin"/>
      </w:r>
      <w:r>
        <w:instrText xml:space="preserve"> HYPERLINK \l "_Toc213841091" </w:instrText>
      </w:r>
      <w:r>
        <w:fldChar w:fldCharType="separate"/>
      </w:r>
      <w:r>
        <w:rPr>
          <w:rFonts w:hint="eastAsia" w:ascii="Times New Roman" w:hAnsi="Times New Roman" w:cs="Times New Roman"/>
          <w:kern w:val="44"/>
          <w:sz w:val="24"/>
          <w:szCs w:val="24"/>
        </w:rPr>
        <w:t>Appendix Figure 9 Sensitivity Analysis Outcomes: BIC Group vs. EFV Group (Infectious Disease Dynamic Model, PP Dataset)</w:t>
      </w:r>
      <w:r>
        <w:rPr>
          <w:rFonts w:hint="eastAsia" w:ascii="Times New Roman" w:hAnsi="Times New Roman" w:cs="Times New Roman"/>
          <w:kern w:val="44"/>
          <w:sz w:val="24"/>
          <w:szCs w:val="24"/>
        </w:rPr>
        <w:tab/>
      </w:r>
      <w:r>
        <w:rPr>
          <w:rFonts w:hint="eastAsia" w:ascii="Times New Roman" w:hAnsi="Times New Roman" w:cs="Times New Roman"/>
          <w:kern w:val="44"/>
          <w:sz w:val="24"/>
          <w:szCs w:val="24"/>
        </w:rPr>
        <w:fldChar w:fldCharType="begin"/>
      </w:r>
      <w:r>
        <w:rPr>
          <w:rFonts w:hint="eastAsia" w:ascii="Times New Roman" w:hAnsi="Times New Roman" w:cs="Times New Roman"/>
          <w:kern w:val="44"/>
          <w:sz w:val="24"/>
          <w:szCs w:val="24"/>
        </w:rPr>
        <w:instrText xml:space="preserve"> </w:instrText>
      </w:r>
      <w:r>
        <w:rPr>
          <w:rFonts w:ascii="Times New Roman" w:hAnsi="Times New Roman" w:cs="Times New Roman"/>
          <w:kern w:val="44"/>
          <w:sz w:val="24"/>
          <w:szCs w:val="24"/>
        </w:rPr>
        <w:instrText xml:space="preserve">PAGEREF _Toc213841091 \h</w:instrText>
      </w:r>
      <w:r>
        <w:rPr>
          <w:rFonts w:hint="eastAsia" w:ascii="Times New Roman" w:hAnsi="Times New Roman" w:cs="Times New Roman"/>
          <w:kern w:val="44"/>
          <w:sz w:val="24"/>
          <w:szCs w:val="24"/>
        </w:rPr>
        <w:instrText xml:space="preserve"> </w:instrText>
      </w:r>
      <w:r>
        <w:rPr>
          <w:rFonts w:hint="eastAsia" w:ascii="Times New Roman" w:hAnsi="Times New Roman" w:cs="Times New Roman"/>
          <w:kern w:val="44"/>
          <w:sz w:val="24"/>
          <w:szCs w:val="24"/>
        </w:rPr>
        <w:fldChar w:fldCharType="separate"/>
      </w:r>
      <w:r>
        <w:rPr>
          <w:rFonts w:ascii="Times New Roman" w:hAnsi="Times New Roman" w:cs="Times New Roman"/>
          <w:kern w:val="44"/>
          <w:sz w:val="24"/>
          <w:szCs w:val="24"/>
        </w:rPr>
        <w:t>60</w:t>
      </w:r>
      <w:r>
        <w:rPr>
          <w:rFonts w:hint="eastAsia" w:ascii="Times New Roman" w:hAnsi="Times New Roman" w:cs="Times New Roman"/>
          <w:kern w:val="44"/>
          <w:sz w:val="24"/>
          <w:szCs w:val="24"/>
        </w:rPr>
        <w:fldChar w:fldCharType="end"/>
      </w:r>
      <w:r>
        <w:rPr>
          <w:rFonts w:hint="eastAsia" w:ascii="Times New Roman" w:hAnsi="Times New Roman" w:cs="Times New Roman"/>
          <w:kern w:val="44"/>
          <w:sz w:val="24"/>
          <w:szCs w:val="24"/>
        </w:rPr>
        <w:fldChar w:fldCharType="end"/>
      </w:r>
    </w:p>
    <w:p w14:paraId="7BB41D2A">
      <w:pPr>
        <w:pStyle w:val="8"/>
        <w:tabs>
          <w:tab w:val="right" w:leader="dot" w:pos="8306"/>
        </w:tabs>
        <w:spacing w:line="480" w:lineRule="auto"/>
        <w:rPr>
          <w:rFonts w:ascii="Times New Roman" w:hAnsi="Times New Roman" w:eastAsia="宋体" w:cs="Times New Roman"/>
          <w:kern w:val="0"/>
          <w:sz w:val="24"/>
          <w:szCs w:val="24"/>
        </w:rPr>
      </w:pPr>
      <w:r>
        <w:rPr>
          <w:rFonts w:ascii="Times New Roman" w:hAnsi="Times New Roman" w:cs="Times New Roman"/>
          <w:kern w:val="44"/>
          <w:sz w:val="24"/>
          <w:szCs w:val="24"/>
        </w:rPr>
        <w:fldChar w:fldCharType="end"/>
      </w:r>
      <w:r>
        <w:rPr>
          <w:rFonts w:ascii="Times New Roman" w:hAnsi="Times New Roman" w:eastAsia="宋体" w:cs="Times New Roman"/>
          <w:kern w:val="0"/>
          <w:sz w:val="24"/>
          <w:szCs w:val="24"/>
        </w:rPr>
        <w:br w:type="page"/>
      </w:r>
    </w:p>
    <w:p w14:paraId="47CFBCDC">
      <w:pPr>
        <w:pStyle w:val="2"/>
        <w:rPr>
          <w:rFonts w:ascii="Times New Roman" w:hAnsi="Times New Roman" w:cs="Times New Roman"/>
        </w:rPr>
      </w:pPr>
      <w:bookmarkStart w:id="3" w:name="_Toc216103810"/>
      <w:bookmarkStart w:id="4" w:name="_Toc182242742"/>
      <w:r>
        <w:rPr>
          <w:rFonts w:ascii="Times New Roman" w:hAnsi="Times New Roman" w:cs="Times New Roman"/>
        </w:rPr>
        <w:t>Detailed Study Flow</w:t>
      </w:r>
      <w:bookmarkEnd w:id="3"/>
    </w:p>
    <w:p w14:paraId="078D245C">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This investigation was executed through a meticulously designed, multi-stage process that integrated real-world clinical data analysis with advanced health economic modeling. The sequential workflow encompassed four principal phases: (1) Data Sourcing, Cohort Curation, and Baseline Characterization; (2) Causal Inference Analysis for Comparative Clinical Effectiveness; (3) Health Economic Modeling for Cost-Effectiveness Evaluation; (4) Validation, </w:t>
      </w:r>
      <w:r>
        <w:rPr>
          <w:rFonts w:hint="eastAsia" w:ascii="Times New Roman" w:hAnsi="Times New Roman" w:cs="Times New Roman"/>
          <w:sz w:val="24"/>
          <w:szCs w:val="24"/>
        </w:rPr>
        <w:t xml:space="preserve">Sensitivity </w:t>
      </w:r>
      <w:r>
        <w:rPr>
          <w:rFonts w:ascii="Times New Roman" w:hAnsi="Times New Roman" w:cs="Times New Roman"/>
          <w:sz w:val="24"/>
          <w:szCs w:val="24"/>
        </w:rPr>
        <w:t>and Scenario Analysis. The exhaustive methodology is delineated as follows.</w:t>
      </w:r>
    </w:p>
    <w:p w14:paraId="4CB88821">
      <w:pPr>
        <w:pStyle w:val="3"/>
        <w:rPr>
          <w:rFonts w:ascii="Times New Roman" w:hAnsi="Times New Roman" w:cs="Times New Roman"/>
        </w:rPr>
      </w:pPr>
      <w:r>
        <w:rPr>
          <w:rFonts w:ascii="Times New Roman" w:hAnsi="Times New Roman" w:cs="Times New Roman"/>
        </w:rPr>
        <w:t>Data Sourcing, Processing, and Cohort Establishment</w:t>
      </w:r>
    </w:p>
    <w:p w14:paraId="5E4B485B">
      <w:pPr>
        <w:pStyle w:val="4"/>
        <w:spacing w:before="0" w:after="0"/>
        <w:rPr>
          <w:rFonts w:ascii="Times New Roman" w:hAnsi="Times New Roman" w:cs="Times New Roman"/>
          <w:sz w:val="24"/>
          <w:szCs w:val="24"/>
        </w:rPr>
      </w:pPr>
      <w:r>
        <w:rPr>
          <w:rFonts w:ascii="Times New Roman" w:hAnsi="Times New Roman" w:cs="Times New Roman"/>
          <w:sz w:val="24"/>
          <w:szCs w:val="24"/>
        </w:rPr>
        <w:t>Data Source and Participant Identification</w:t>
      </w:r>
    </w:p>
    <w:p w14:paraId="0923BA41">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study leveraged a longitudinal, registry-based cohort derived from a maintained clinical database at Beijing Youan Hospital. We retrospectively screened adult, ART-naïve men who have sex with men (MSM) diagnosed with HIV-1 between March 2021 and March 2023. The inclusion criteria were: (1) initiation of first-line ART with either a BIC-based (BIC/FTC/TAF) or an EFV-based (EFV+3TC+TDF) regimen; (2) availability of complete baseline demographic information and clinical laboratory data; and (3) availability of at least one post-baseline follow-up data point at either week 48 or week 96. Exclusion criteria included co-existing severe immunodeficiency diseases, or significant missing baseline data. From an initial pool of 340 eligible patients, a final study population of N=301 individuals was established after applying the exclusion criteria, with patient flow detailed in Figure 2 of the main text.</w:t>
      </w:r>
    </w:p>
    <w:p w14:paraId="3AAD185F">
      <w:pPr>
        <w:pStyle w:val="4"/>
        <w:spacing w:before="0" w:after="0"/>
        <w:rPr>
          <w:rFonts w:ascii="Times New Roman" w:hAnsi="Times New Roman" w:cs="Times New Roman"/>
          <w:sz w:val="24"/>
          <w:szCs w:val="24"/>
        </w:rPr>
      </w:pPr>
      <w:r>
        <w:rPr>
          <w:rFonts w:ascii="Times New Roman" w:hAnsi="Times New Roman" w:cs="Times New Roman"/>
          <w:sz w:val="24"/>
          <w:szCs w:val="24"/>
        </w:rPr>
        <w:t>Intervention Group Stratification and Baseline Characterization</w:t>
      </w:r>
    </w:p>
    <w:p w14:paraId="1D8CB64D">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Eligible participants were categorised into four mutually exclusive intervention groups based on two key factors: the timing of ART initiation (Rapid: ≤14 days from diagnosis; Non-Rapid: &gt;14 days) and the initial treatment regimen.</w:t>
      </w:r>
      <w:r>
        <w:rPr>
          <w:rFonts w:hint="eastAsia" w:ascii="Times New Roman" w:hAnsi="Times New Roman" w:cs="Times New Roman"/>
          <w:sz w:val="24"/>
          <w:szCs w:val="24"/>
        </w:rPr>
        <w:t xml:space="preserve"> (1) </w:t>
      </w:r>
      <w:r>
        <w:rPr>
          <w:rFonts w:ascii="Times New Roman" w:hAnsi="Times New Roman" w:cs="Times New Roman"/>
          <w:sz w:val="24"/>
          <w:szCs w:val="24"/>
        </w:rPr>
        <w:t>G1: Rapid Initiation with BIC/FTC/TAF (n=74)</w:t>
      </w:r>
      <w:r>
        <w:rPr>
          <w:rFonts w:hint="eastAsia" w:ascii="Times New Roman" w:hAnsi="Times New Roman" w:cs="Times New Roman"/>
          <w:sz w:val="24"/>
          <w:szCs w:val="24"/>
        </w:rPr>
        <w:t xml:space="preserve">; (2) </w:t>
      </w:r>
      <w:r>
        <w:rPr>
          <w:rFonts w:ascii="Times New Roman" w:hAnsi="Times New Roman" w:cs="Times New Roman"/>
          <w:sz w:val="24"/>
          <w:szCs w:val="24"/>
        </w:rPr>
        <w:t>G2: Rapid Initiation with EFV+3TC+TDF (n=77)</w:t>
      </w:r>
      <w:r>
        <w:rPr>
          <w:rFonts w:hint="eastAsia" w:ascii="Times New Roman" w:hAnsi="Times New Roman" w:cs="Times New Roman"/>
          <w:sz w:val="24"/>
          <w:szCs w:val="24"/>
        </w:rPr>
        <w:t xml:space="preserve">; (3) </w:t>
      </w:r>
      <w:r>
        <w:rPr>
          <w:rFonts w:ascii="Times New Roman" w:hAnsi="Times New Roman" w:cs="Times New Roman"/>
          <w:sz w:val="24"/>
          <w:szCs w:val="24"/>
        </w:rPr>
        <w:t>G3: Non-Rapid Initiation with BIC/FTC/TAF (n=84)</w:t>
      </w:r>
      <w:r>
        <w:rPr>
          <w:rFonts w:hint="eastAsia" w:ascii="Times New Roman" w:hAnsi="Times New Roman" w:cs="Times New Roman"/>
          <w:sz w:val="24"/>
          <w:szCs w:val="24"/>
        </w:rPr>
        <w:t xml:space="preserve">; (4) </w:t>
      </w:r>
      <w:r>
        <w:rPr>
          <w:rFonts w:ascii="Times New Roman" w:hAnsi="Times New Roman" w:cs="Times New Roman"/>
          <w:sz w:val="24"/>
          <w:szCs w:val="24"/>
        </w:rPr>
        <w:t>G4: Non-Rapid Initiation with EFV+3TC+TDF (n=66).</w:t>
      </w:r>
    </w:p>
    <w:p w14:paraId="3A3A6DE2">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A comprehensive set of baseline variables was systematically extracted. This included:</w:t>
      </w:r>
      <w:r>
        <w:rPr>
          <w:rFonts w:hint="eastAsia" w:ascii="Times New Roman" w:hAnsi="Times New Roman" w:cs="Times New Roman"/>
          <w:sz w:val="24"/>
          <w:szCs w:val="24"/>
        </w:rPr>
        <w:t xml:space="preserve"> (1) </w:t>
      </w:r>
      <w:r>
        <w:rPr>
          <w:rFonts w:ascii="Times New Roman" w:hAnsi="Times New Roman" w:cs="Times New Roman"/>
          <w:sz w:val="24"/>
          <w:szCs w:val="24"/>
        </w:rPr>
        <w:t>Demographics: Age</w:t>
      </w:r>
      <w:r>
        <w:rPr>
          <w:rFonts w:hint="eastAsia" w:ascii="Times New Roman" w:hAnsi="Times New Roman" w:cs="Times New Roman"/>
          <w:sz w:val="24"/>
          <w:szCs w:val="24"/>
        </w:rPr>
        <w:t xml:space="preserve">; (2) </w:t>
      </w:r>
      <w:r>
        <w:rPr>
          <w:rFonts w:ascii="Times New Roman" w:hAnsi="Times New Roman" w:cs="Times New Roman"/>
          <w:sz w:val="24"/>
          <w:szCs w:val="24"/>
        </w:rPr>
        <w:t>Biochemical Profiles: AST, ALT, Total Cholesterol, HDL-C, LDL-C, Triglycerides, Fasting Blood Glucose, and Creatinine (with eGFR calculation)</w:t>
      </w:r>
      <w:r>
        <w:rPr>
          <w:rFonts w:hint="eastAsia" w:ascii="Times New Roman" w:hAnsi="Times New Roman" w:cs="Times New Roman"/>
          <w:sz w:val="24"/>
          <w:szCs w:val="24"/>
        </w:rPr>
        <w:t xml:space="preserve">; (3) </w:t>
      </w:r>
      <w:r>
        <w:rPr>
          <w:rFonts w:ascii="Times New Roman" w:hAnsi="Times New Roman" w:cs="Times New Roman"/>
          <w:sz w:val="24"/>
          <w:szCs w:val="24"/>
        </w:rPr>
        <w:t>HIV-Specific Disease Indicators: CD4+ T-cell count, CD8+ T-cell count, CD4/CD8 ratio, and plasma HIV-1 RNA viral load.</w:t>
      </w:r>
    </w:p>
    <w:p w14:paraId="6E963CA2">
      <w:pPr>
        <w:pStyle w:val="4"/>
        <w:spacing w:before="0" w:after="0"/>
        <w:rPr>
          <w:rFonts w:ascii="Times New Roman" w:hAnsi="Times New Roman" w:cs="Times New Roman"/>
          <w:sz w:val="24"/>
          <w:szCs w:val="24"/>
        </w:rPr>
      </w:pPr>
      <w:r>
        <w:rPr>
          <w:rFonts w:ascii="Times New Roman" w:hAnsi="Times New Roman" w:cs="Times New Roman"/>
          <w:sz w:val="24"/>
          <w:szCs w:val="24"/>
        </w:rPr>
        <w:t>Data Preprocessing and Quality Control</w:t>
      </w:r>
    </w:p>
    <w:p w14:paraId="14A1024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raw clinical data underwent rigorous preprocessing. This involved addressing missing values, identifying and reconciling outliers, and ensuring internal consistency across records. Incomplete or erroneous records were either corrected through cross-referencing with clinical notes or excluded to uphold data integrity. This process ensured a high-quality, analyzable dataset for subsequent statistical and economic modeling.</w:t>
      </w:r>
    </w:p>
    <w:p w14:paraId="7FE0EECC">
      <w:pPr>
        <w:pStyle w:val="3"/>
        <w:rPr>
          <w:rFonts w:ascii="Times New Roman" w:hAnsi="Times New Roman" w:cs="Times New Roman"/>
        </w:rPr>
      </w:pPr>
      <w:r>
        <w:rPr>
          <w:rFonts w:ascii="Times New Roman" w:hAnsi="Times New Roman" w:cs="Times New Roman"/>
        </w:rPr>
        <w:t>Causal Inference Framework and Clinical Endpoint Analysis</w:t>
      </w:r>
    </w:p>
    <w:p w14:paraId="7336113A">
      <w:pPr>
        <w:pStyle w:val="4"/>
        <w:spacing w:before="0" w:after="0"/>
        <w:rPr>
          <w:rFonts w:ascii="Times New Roman" w:hAnsi="Times New Roman" w:cs="Times New Roman"/>
          <w:sz w:val="24"/>
          <w:szCs w:val="24"/>
        </w:rPr>
      </w:pPr>
      <w:r>
        <w:rPr>
          <w:rFonts w:ascii="Times New Roman" w:hAnsi="Times New Roman" w:cs="Times New Roman"/>
          <w:sz w:val="24"/>
          <w:szCs w:val="24"/>
        </w:rPr>
        <w:t>Emulation of a Target Trial using Cloning, Censoring, and Weighting (CCW)</w:t>
      </w:r>
    </w:p>
    <w:p w14:paraId="7C3FC77E">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To mitigate selection bias and time-varying confounding inherent in observational studies, we employed the cloning, censoring, and weighting (CCW) approach to emulate a hypothetical target randomized trial.</w:t>
      </w:r>
      <w:r>
        <w:rPr>
          <w:rFonts w:hint="eastAsia" w:ascii="Times New Roman" w:hAnsi="Times New Roman" w:cs="Times New Roman"/>
          <w:sz w:val="24"/>
          <w:szCs w:val="24"/>
        </w:rPr>
        <w:t xml:space="preserve"> (1) </w:t>
      </w:r>
      <w:r>
        <w:rPr>
          <w:rFonts w:ascii="Times New Roman" w:hAnsi="Times New Roman" w:cs="Times New Roman"/>
          <w:sz w:val="24"/>
          <w:szCs w:val="24"/>
        </w:rPr>
        <w:t>Cloning: At baseline (time zero), each of the 301 patients was artificially replicated into four identical copies, resulting in 1,204 clone-instances. Each copy was deterministically assigned to one of the four treatment strategies (G1-G4).</w:t>
      </w:r>
      <w:r>
        <w:rPr>
          <w:rFonts w:hint="eastAsia" w:ascii="Times New Roman" w:hAnsi="Times New Roman" w:cs="Times New Roman"/>
          <w:sz w:val="24"/>
          <w:szCs w:val="24"/>
        </w:rPr>
        <w:t xml:space="preserve"> (2) </w:t>
      </w:r>
      <w:r>
        <w:rPr>
          <w:rFonts w:ascii="Times New Roman" w:hAnsi="Times New Roman" w:cs="Times New Roman"/>
          <w:sz w:val="24"/>
          <w:szCs w:val="24"/>
        </w:rPr>
        <w:t>Censoring: Follow-up for each clone was dynamically censored at the precise time point its actual treatment trajectory deviated from its assigned strategy. Deviations included regimen switches, discontinuation, or initiation timing that contravened the assigned strategy.</w:t>
      </w:r>
      <w:r>
        <w:rPr>
          <w:rFonts w:hint="eastAsia" w:ascii="Times New Roman" w:hAnsi="Times New Roman" w:cs="Times New Roman"/>
          <w:sz w:val="24"/>
          <w:szCs w:val="24"/>
        </w:rPr>
        <w:t xml:space="preserve"> (3) </w:t>
      </w:r>
      <w:r>
        <w:rPr>
          <w:rFonts w:ascii="Times New Roman" w:hAnsi="Times New Roman" w:cs="Times New Roman"/>
          <w:sz w:val="24"/>
          <w:szCs w:val="24"/>
        </w:rPr>
        <w:t>Weighting (IPCW): To adjust for the selection bias introduced by this non-random censoring, we computed time-varying Inverse Probability of Censoring Weights (IPCW). Stabilized weights were calculated based on baseline covariates to create a re-weighted pseudopopulation in which the assignment to a treatment strategy was independent of measured confounders, thus approximating the conditional exchangeability of a randomized experiment.</w:t>
      </w:r>
    </w:p>
    <w:p w14:paraId="35D51C7E">
      <w:pPr>
        <w:pStyle w:val="4"/>
        <w:spacing w:before="0" w:after="0"/>
        <w:rPr>
          <w:rFonts w:ascii="Times New Roman" w:hAnsi="Times New Roman" w:cs="Times New Roman"/>
          <w:sz w:val="24"/>
          <w:szCs w:val="24"/>
        </w:rPr>
      </w:pPr>
      <w:r>
        <w:rPr>
          <w:rFonts w:ascii="Times New Roman" w:hAnsi="Times New Roman" w:cs="Times New Roman"/>
          <w:sz w:val="24"/>
          <w:szCs w:val="24"/>
        </w:rPr>
        <w:t>Analysis Dataset Definition</w:t>
      </w:r>
    </w:p>
    <w:p w14:paraId="4BB2E105">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Two distinct analysis datasets were constructed from the CCW-prepared data</w:t>
      </w:r>
      <w:r>
        <w:rPr>
          <w:rFonts w:hint="eastAsia" w:ascii="Times New Roman" w:hAnsi="Times New Roman" w:cs="Times New Roman"/>
          <w:sz w:val="24"/>
          <w:szCs w:val="24"/>
        </w:rPr>
        <w:t xml:space="preserve">. (1) </w:t>
      </w:r>
      <w:r>
        <w:rPr>
          <w:rFonts w:ascii="Times New Roman" w:hAnsi="Times New Roman" w:cs="Times New Roman"/>
          <w:sz w:val="24"/>
          <w:szCs w:val="24"/>
        </w:rPr>
        <w:t>Intention-to-Treat (ITT) Dataset: Included all cloned participants, analyzed according to their initially assigned strategy, irrespective of subsequent deviations. This provides an unbiased estimate of the effectiveness of assigning a strategy in a real-world context.</w:t>
      </w:r>
      <w:r>
        <w:rPr>
          <w:rFonts w:hint="eastAsia" w:ascii="Times New Roman" w:hAnsi="Times New Roman" w:cs="Times New Roman"/>
          <w:sz w:val="24"/>
          <w:szCs w:val="24"/>
        </w:rPr>
        <w:t xml:space="preserve"> (2) </w:t>
      </w:r>
      <w:r>
        <w:rPr>
          <w:rFonts w:ascii="Times New Roman" w:hAnsi="Times New Roman" w:cs="Times New Roman"/>
          <w:sz w:val="24"/>
          <w:szCs w:val="24"/>
        </w:rPr>
        <w:t>Per-Protocol (PP) Dataset: A restricted dataset comprising only the clones who adhered to their assigned treatment strategy throughout the entire follow-up period. This estimates the efficacy of the strategy under ideal conditions and was used for scenario analysis to test the robustness of the primary findings.</w:t>
      </w:r>
    </w:p>
    <w:p w14:paraId="286F4F17">
      <w:pPr>
        <w:pStyle w:val="4"/>
        <w:spacing w:before="0" w:after="0"/>
        <w:rPr>
          <w:rFonts w:ascii="Times New Roman" w:hAnsi="Times New Roman" w:cs="Times New Roman"/>
          <w:sz w:val="24"/>
          <w:szCs w:val="24"/>
        </w:rPr>
      </w:pPr>
      <w:r>
        <w:rPr>
          <w:rFonts w:ascii="Times New Roman" w:hAnsi="Times New Roman" w:cs="Times New Roman"/>
          <w:sz w:val="24"/>
          <w:szCs w:val="24"/>
        </w:rPr>
        <w:t>Clinical Endpoint Assessment</w:t>
      </w:r>
    </w:p>
    <w:p w14:paraId="5139E9C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following endpoints were assessed at weeks 48 and 96 within both the ITT and PP datasets:</w:t>
      </w:r>
      <w:r>
        <w:rPr>
          <w:rFonts w:hint="eastAsia" w:ascii="Times New Roman" w:hAnsi="Times New Roman" w:cs="Times New Roman"/>
          <w:sz w:val="24"/>
          <w:szCs w:val="24"/>
        </w:rPr>
        <w:t xml:space="preserve"> (1) </w:t>
      </w:r>
      <w:r>
        <w:rPr>
          <w:rFonts w:ascii="Times New Roman" w:hAnsi="Times New Roman" w:cs="Times New Roman"/>
          <w:sz w:val="24"/>
          <w:szCs w:val="24"/>
        </w:rPr>
        <w:t>Primary Endpoint: Immunological recovery, operationalized as the absolute and relative change in CD4+ cell count (cells/μL) from baseline.</w:t>
      </w:r>
      <w:r>
        <w:rPr>
          <w:rFonts w:hint="eastAsia" w:ascii="Times New Roman" w:hAnsi="Times New Roman" w:cs="Times New Roman"/>
          <w:sz w:val="24"/>
          <w:szCs w:val="24"/>
        </w:rPr>
        <w:t xml:space="preserve">(2) </w:t>
      </w:r>
      <w:r>
        <w:rPr>
          <w:rFonts w:ascii="Times New Roman" w:hAnsi="Times New Roman" w:cs="Times New Roman"/>
          <w:sz w:val="24"/>
          <w:szCs w:val="24"/>
        </w:rPr>
        <w:t>Secondary Endpoints:</w:t>
      </w:r>
      <w:r>
        <w:rPr>
          <w:rFonts w:hint="eastAsia" w:ascii="Times New Roman" w:hAnsi="Times New Roman" w:cs="Times New Roman"/>
          <w:sz w:val="24"/>
          <w:szCs w:val="24"/>
        </w:rPr>
        <w:t xml:space="preserve"> </w:t>
      </w:r>
      <w:r>
        <w:rPr>
          <w:rFonts w:ascii="Times New Roman" w:hAnsi="Times New Roman" w:cs="Times New Roman"/>
          <w:sz w:val="24"/>
          <w:szCs w:val="24"/>
        </w:rPr>
        <w:t>Virological suppression rate (proportion with plasma HIV-1 RNA &lt;50 copies/mL).</w:t>
      </w:r>
      <w:r>
        <w:rPr>
          <w:rFonts w:hint="eastAsia" w:ascii="Times New Roman" w:hAnsi="Times New Roman" w:cs="Times New Roman"/>
          <w:sz w:val="24"/>
          <w:szCs w:val="24"/>
        </w:rPr>
        <w:t xml:space="preserve"> (3) </w:t>
      </w:r>
      <w:r>
        <w:rPr>
          <w:rFonts w:ascii="Times New Roman" w:hAnsi="Times New Roman" w:cs="Times New Roman"/>
          <w:sz w:val="24"/>
          <w:szCs w:val="24"/>
        </w:rPr>
        <w:t>Treatment persistence and patterns of discontinuation (categorised as reactive [e.g., toxicity, resistance] or proactive [e.g., patient preference]).</w:t>
      </w:r>
      <w:r>
        <w:rPr>
          <w:rFonts w:hint="eastAsia" w:ascii="Times New Roman" w:hAnsi="Times New Roman" w:cs="Times New Roman"/>
          <w:sz w:val="24"/>
          <w:szCs w:val="24"/>
        </w:rPr>
        <w:t xml:space="preserve"> (4) </w:t>
      </w:r>
      <w:r>
        <w:rPr>
          <w:rFonts w:ascii="Times New Roman" w:hAnsi="Times New Roman" w:cs="Times New Roman"/>
          <w:sz w:val="24"/>
          <w:szCs w:val="24"/>
        </w:rPr>
        <w:t>Incidence of adverse events (AEs), with a focus on regimen-specific profiles.</w:t>
      </w:r>
    </w:p>
    <w:p w14:paraId="35C9D7D3">
      <w:pPr>
        <w:pStyle w:val="4"/>
        <w:spacing w:before="0" w:after="0"/>
        <w:rPr>
          <w:rFonts w:ascii="Times New Roman" w:hAnsi="Times New Roman" w:cs="Times New Roman"/>
          <w:sz w:val="24"/>
          <w:szCs w:val="24"/>
        </w:rPr>
      </w:pPr>
      <w:r>
        <w:rPr>
          <w:rFonts w:ascii="Times New Roman" w:hAnsi="Times New Roman" w:cs="Times New Roman"/>
          <w:sz w:val="24"/>
          <w:szCs w:val="24"/>
        </w:rPr>
        <w:t>Statistical Analysis</w:t>
      </w:r>
    </w:p>
    <w:p w14:paraId="1B698868">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Descriptive statistics summarized baseline characteristics. Continuous variables were reported as median and interquartile range (IQR) and compared using the Mann-Whitney U test or Kruskal-Wallis test, as appropriate. Categorical variables were presented as frequencies (percentages) and compared using the Chi-square test or Fisher's exact test. The change in CD4+ count and the difference in suppression rates between groups were reported with 95% confidence intervals (CIs). A two-sided p-value &lt; 0.05 was deemed statistically significant. All statistical computations were performed using R software (version 4.3.3; The R Foundation for Statistical Computing).</w:t>
      </w:r>
    </w:p>
    <w:p w14:paraId="3AA2AD96">
      <w:pPr>
        <w:pStyle w:val="3"/>
        <w:rPr>
          <w:rFonts w:ascii="Times New Roman" w:hAnsi="Times New Roman" w:cs="Times New Roman"/>
        </w:rPr>
      </w:pPr>
      <w:r>
        <w:rPr>
          <w:rFonts w:ascii="Times New Roman" w:hAnsi="Times New Roman" w:cs="Times New Roman"/>
        </w:rPr>
        <w:t>Health Economic Evaluation</w:t>
      </w:r>
    </w:p>
    <w:p w14:paraId="0DEA28FD">
      <w:pPr>
        <w:pStyle w:val="4"/>
        <w:spacing w:before="0" w:after="0"/>
        <w:rPr>
          <w:rFonts w:ascii="Times New Roman" w:hAnsi="Times New Roman" w:cs="Times New Roman"/>
          <w:sz w:val="24"/>
          <w:szCs w:val="24"/>
        </w:rPr>
      </w:pPr>
      <w:r>
        <w:rPr>
          <w:rFonts w:ascii="Times New Roman" w:hAnsi="Times New Roman" w:cs="Times New Roman"/>
          <w:sz w:val="24"/>
          <w:szCs w:val="24"/>
        </w:rPr>
        <w:t>Model Framework Construction</w:t>
      </w:r>
    </w:p>
    <w:p w14:paraId="6B332F0D">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A comprehensive economic evaluation was conducted from a healthcare system perspective, employing a hybrid model structure to capture both individual patient-level outcomes and population-level transmission dynamics.</w:t>
      </w:r>
    </w:p>
    <w:p w14:paraId="25A0E7F5">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Decision Tree</w:t>
      </w:r>
      <w:r>
        <w:rPr>
          <w:rFonts w:hint="eastAsia" w:ascii="Times New Roman" w:hAnsi="Times New Roman" w:cs="Times New Roman"/>
          <w:sz w:val="24"/>
          <w:szCs w:val="24"/>
        </w:rPr>
        <w:t>-</w:t>
      </w:r>
      <w:r>
        <w:rPr>
          <w:rFonts w:ascii="Times New Roman" w:hAnsi="Times New Roman" w:cs="Times New Roman"/>
          <w:sz w:val="24"/>
          <w:szCs w:val="24"/>
        </w:rPr>
        <w:t>Markov Model: A short-term decision tree was used to stratify the simulated cohort into the four initial strategies. Individuals then entered a lifetime horizon, state-transition Markov model with monthly cycles. Health states were multidimensionally defined by:</w:t>
      </w:r>
      <w:r>
        <w:rPr>
          <w:rFonts w:hint="eastAsia" w:ascii="Times New Roman" w:hAnsi="Times New Roman" w:cs="Times New Roman"/>
          <w:sz w:val="24"/>
          <w:szCs w:val="24"/>
        </w:rPr>
        <w:t xml:space="preserve"> (1) </w:t>
      </w:r>
      <w:r>
        <w:rPr>
          <w:rFonts w:ascii="Times New Roman" w:hAnsi="Times New Roman" w:cs="Times New Roman"/>
          <w:sz w:val="24"/>
          <w:szCs w:val="24"/>
        </w:rPr>
        <w:t>Treatment Line: First-line regimen, Second-line regimen.</w:t>
      </w:r>
      <w:r>
        <w:rPr>
          <w:rFonts w:hint="eastAsia" w:ascii="Times New Roman" w:hAnsi="Times New Roman" w:cs="Times New Roman"/>
          <w:sz w:val="24"/>
          <w:szCs w:val="24"/>
        </w:rPr>
        <w:t xml:space="preserve"> (2) </w:t>
      </w:r>
      <w:r>
        <w:rPr>
          <w:rFonts w:ascii="Times New Roman" w:hAnsi="Times New Roman" w:cs="Times New Roman"/>
          <w:sz w:val="24"/>
          <w:szCs w:val="24"/>
        </w:rPr>
        <w:t>Virological Status: Suppressed (HIV-1 RNA &lt;50 copies/mL), Non-suppressed.</w:t>
      </w:r>
      <w:r>
        <w:rPr>
          <w:rFonts w:hint="eastAsia" w:ascii="Times New Roman" w:hAnsi="Times New Roman" w:cs="Times New Roman"/>
          <w:sz w:val="24"/>
          <w:szCs w:val="24"/>
        </w:rPr>
        <w:t xml:space="preserve"> (3) </w:t>
      </w:r>
      <w:r>
        <w:rPr>
          <w:rFonts w:ascii="Times New Roman" w:hAnsi="Times New Roman" w:cs="Times New Roman"/>
          <w:sz w:val="24"/>
          <w:szCs w:val="24"/>
        </w:rPr>
        <w:t xml:space="preserve">Immunological Stage: Based on WHO CD4 count strata: </w:t>
      </w:r>
      <w:r>
        <w:rPr>
          <w:rFonts w:hint="eastAsia" w:ascii="Times New Roman" w:hAnsi="Times New Roman" w:cs="Times New Roman"/>
          <w:sz w:val="24"/>
          <w:szCs w:val="24"/>
        </w:rPr>
        <w:t>stage 5</w:t>
      </w:r>
      <w:r>
        <w:rPr>
          <w:rFonts w:ascii="Times New Roman" w:hAnsi="Times New Roman" w:cs="Times New Roman"/>
          <w:sz w:val="24"/>
          <w:szCs w:val="24"/>
        </w:rPr>
        <w:t xml:space="preserve"> (&gt;500 cells/μL), </w:t>
      </w:r>
      <w:r>
        <w:rPr>
          <w:rFonts w:hint="eastAsia" w:ascii="Times New Roman" w:hAnsi="Times New Roman" w:cs="Times New Roman"/>
          <w:sz w:val="24"/>
          <w:szCs w:val="24"/>
        </w:rPr>
        <w:t>stage 4</w:t>
      </w:r>
      <w:r>
        <w:rPr>
          <w:rFonts w:ascii="Times New Roman" w:hAnsi="Times New Roman" w:cs="Times New Roman"/>
          <w:sz w:val="24"/>
          <w:szCs w:val="24"/>
        </w:rPr>
        <w:t xml:space="preserve"> (350–500), </w:t>
      </w:r>
      <w:r>
        <w:rPr>
          <w:rFonts w:hint="eastAsia" w:ascii="Times New Roman" w:hAnsi="Times New Roman" w:cs="Times New Roman"/>
          <w:sz w:val="24"/>
          <w:szCs w:val="24"/>
        </w:rPr>
        <w:t>s</w:t>
      </w:r>
      <w:r>
        <w:rPr>
          <w:rFonts w:ascii="Times New Roman" w:hAnsi="Times New Roman" w:cs="Times New Roman"/>
          <w:sz w:val="24"/>
          <w:szCs w:val="24"/>
        </w:rPr>
        <w:t xml:space="preserve">tage 3 (200–350), </w:t>
      </w:r>
      <w:r>
        <w:rPr>
          <w:rFonts w:hint="eastAsia" w:ascii="Times New Roman" w:hAnsi="Times New Roman" w:cs="Times New Roman"/>
          <w:sz w:val="24"/>
          <w:szCs w:val="24"/>
        </w:rPr>
        <w:t>stage 2</w:t>
      </w:r>
      <w:r>
        <w:rPr>
          <w:rFonts w:ascii="Times New Roman" w:hAnsi="Times New Roman" w:cs="Times New Roman"/>
          <w:sz w:val="24"/>
          <w:szCs w:val="24"/>
        </w:rPr>
        <w:t xml:space="preserve"> (100–200), </w:t>
      </w:r>
      <w:r>
        <w:rPr>
          <w:rFonts w:hint="eastAsia" w:ascii="Times New Roman" w:hAnsi="Times New Roman" w:cs="Times New Roman"/>
          <w:sz w:val="24"/>
          <w:szCs w:val="24"/>
        </w:rPr>
        <w:t>s</w:t>
      </w:r>
      <w:r>
        <w:rPr>
          <w:rFonts w:ascii="Times New Roman" w:hAnsi="Times New Roman" w:cs="Times New Roman"/>
          <w:sz w:val="24"/>
          <w:szCs w:val="24"/>
        </w:rPr>
        <w:t xml:space="preserve">tage </w:t>
      </w:r>
      <w:r>
        <w:rPr>
          <w:rFonts w:hint="eastAsia" w:ascii="Times New Roman" w:hAnsi="Times New Roman" w:cs="Times New Roman"/>
          <w:sz w:val="24"/>
          <w:szCs w:val="24"/>
        </w:rPr>
        <w:t>1</w:t>
      </w:r>
      <w:r>
        <w:rPr>
          <w:rFonts w:ascii="Times New Roman" w:hAnsi="Times New Roman" w:cs="Times New Roman"/>
          <w:sz w:val="24"/>
          <w:szCs w:val="24"/>
        </w:rPr>
        <w:t xml:space="preserve"> (≤100 cells/μL).</w:t>
      </w:r>
      <w:r>
        <w:rPr>
          <w:rFonts w:hint="eastAsia" w:ascii="Times New Roman" w:hAnsi="Times New Roman" w:cs="Times New Roman"/>
          <w:sz w:val="24"/>
          <w:szCs w:val="24"/>
        </w:rPr>
        <w:t xml:space="preserve"> </w:t>
      </w:r>
      <w:r>
        <w:rPr>
          <w:rFonts w:ascii="Times New Roman" w:hAnsi="Times New Roman" w:cs="Times New Roman"/>
          <w:sz w:val="24"/>
          <w:szCs w:val="24"/>
        </w:rPr>
        <w:t>Transition probabilities governed movements between health states (e.g., CD4 cell count decline, virological failure, treatment switching, mortality).</w:t>
      </w:r>
    </w:p>
    <w:p w14:paraId="28EF5A9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Infectious Disease Dynamic Model: To account for the secondary transmission benefits of viral suppression, a compartmental dynamic transmission model was developed. This model projected the HIV epidemic among Chinese MSM over a 30-year time horizon using annual cycles. It incorporated parameters for population dynamics, disease progression, diagnosis rates, ART initiation (rapid vs. non-rapid), regimen-specific viral suppression, treatment discontinuation, and HIV transmission risk.</w:t>
      </w:r>
    </w:p>
    <w:p w14:paraId="01729891">
      <w:pPr>
        <w:pStyle w:val="4"/>
        <w:spacing w:before="0" w:after="0"/>
        <w:rPr>
          <w:rFonts w:ascii="Times New Roman" w:hAnsi="Times New Roman" w:cs="Times New Roman"/>
          <w:sz w:val="24"/>
          <w:szCs w:val="24"/>
        </w:rPr>
      </w:pPr>
      <w:r>
        <w:rPr>
          <w:rFonts w:ascii="Times New Roman" w:hAnsi="Times New Roman" w:cs="Times New Roman"/>
          <w:sz w:val="24"/>
          <w:szCs w:val="24"/>
        </w:rPr>
        <w:t>Model Parameterization</w:t>
      </w:r>
    </w:p>
    <w:p w14:paraId="24539A0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Input parameters were sourced from the most reliable available data</w:t>
      </w:r>
      <w:r>
        <w:rPr>
          <w:rFonts w:hint="eastAsia" w:ascii="Times New Roman" w:hAnsi="Times New Roman" w:cs="Times New Roman"/>
          <w:sz w:val="24"/>
          <w:szCs w:val="24"/>
        </w:rPr>
        <w:t>.</w:t>
      </w:r>
    </w:p>
    <w:p w14:paraId="36484CCB">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Clinical and Epidemiological Parameters: Transition probabilities, discontinuation rates (stratified by reason), viral suppression rates</w:t>
      </w:r>
      <w:r>
        <w:rPr>
          <w:rFonts w:hint="eastAsia" w:ascii="Times New Roman" w:hAnsi="Times New Roman" w:cs="Times New Roman"/>
          <w:sz w:val="24"/>
          <w:szCs w:val="24"/>
        </w:rPr>
        <w:t xml:space="preserve"> </w:t>
      </w:r>
      <w:r>
        <w:rPr>
          <w:rFonts w:ascii="Times New Roman" w:hAnsi="Times New Roman" w:cs="Times New Roman"/>
          <w:sz w:val="24"/>
          <w:szCs w:val="24"/>
        </w:rPr>
        <w:t>and AE incidence</w:t>
      </w:r>
      <w:r>
        <w:rPr>
          <w:rFonts w:hint="eastAsia" w:ascii="Times New Roman" w:hAnsi="Times New Roman" w:cs="Times New Roman"/>
          <w:sz w:val="24"/>
          <w:szCs w:val="24"/>
        </w:rPr>
        <w:t xml:space="preserve"> </w:t>
      </w:r>
      <w:r>
        <w:rPr>
          <w:rFonts w:ascii="Times New Roman" w:hAnsi="Times New Roman" w:cs="Times New Roman"/>
          <w:sz w:val="24"/>
          <w:szCs w:val="24"/>
        </w:rPr>
        <w:t>were primarily derived from the 96-week clinical outcomes of the analyzed cohort, supplemented by published long-term studies where necessary.</w:t>
      </w:r>
    </w:p>
    <w:p w14:paraId="0EB6D5B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Cost Parameters (2023 CNY): All costs were adjusted to a common year. Direct medical costs included:</w:t>
      </w:r>
      <w:r>
        <w:rPr>
          <w:rFonts w:hint="eastAsia" w:ascii="Times New Roman" w:hAnsi="Times New Roman" w:cs="Times New Roman"/>
          <w:sz w:val="24"/>
          <w:szCs w:val="24"/>
        </w:rPr>
        <w:t xml:space="preserve"> (1) </w:t>
      </w:r>
      <w:r>
        <w:rPr>
          <w:rFonts w:ascii="Times New Roman" w:hAnsi="Times New Roman" w:cs="Times New Roman"/>
          <w:sz w:val="24"/>
          <w:szCs w:val="24"/>
        </w:rPr>
        <w:t>Drug Acquisition: BIC/FTC/TAF, EFV+3TC+TDF, and common second-line regimens.</w:t>
      </w:r>
      <w:r>
        <w:rPr>
          <w:rFonts w:hint="eastAsia" w:ascii="Times New Roman" w:hAnsi="Times New Roman" w:cs="Times New Roman"/>
          <w:sz w:val="24"/>
          <w:szCs w:val="24"/>
        </w:rPr>
        <w:t xml:space="preserve"> (2) </w:t>
      </w:r>
      <w:r>
        <w:rPr>
          <w:rFonts w:ascii="Times New Roman" w:hAnsi="Times New Roman" w:cs="Times New Roman"/>
          <w:sz w:val="24"/>
          <w:szCs w:val="24"/>
        </w:rPr>
        <w:t>Monitoring: Routine laboratory tests (CD4 count, viral load, biochemistry) as per Chinese guidelines.</w:t>
      </w:r>
      <w:r>
        <w:rPr>
          <w:rFonts w:hint="eastAsia" w:ascii="Times New Roman" w:hAnsi="Times New Roman" w:cs="Times New Roman"/>
          <w:sz w:val="24"/>
          <w:szCs w:val="24"/>
        </w:rPr>
        <w:t xml:space="preserve"> (3) </w:t>
      </w:r>
      <w:r>
        <w:rPr>
          <w:rFonts w:ascii="Times New Roman" w:hAnsi="Times New Roman" w:cs="Times New Roman"/>
          <w:sz w:val="24"/>
          <w:szCs w:val="24"/>
        </w:rPr>
        <w:t>Event Management: Costs associated with managing AEs and AIDS-Defining Events (ADEs). Data were sourced from local hospital billing databases and national drug price lists.</w:t>
      </w:r>
    </w:p>
    <w:p w14:paraId="17316DB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Health State Utility Weights: Quality-of-life weights (utilities) for each CD4 health state and treatment line were assigned based on values published in the peer-reviewed literature, enabling the calculation of Quality-Adjusted Life-Years (QALYs).</w:t>
      </w:r>
    </w:p>
    <w:p w14:paraId="5E4A49E9">
      <w:pPr>
        <w:pStyle w:val="4"/>
        <w:spacing w:before="0" w:after="0" w:line="480" w:lineRule="auto"/>
        <w:rPr>
          <w:rFonts w:ascii="Times New Roman" w:hAnsi="Times New Roman" w:cs="Times New Roman"/>
          <w:sz w:val="24"/>
          <w:szCs w:val="24"/>
        </w:rPr>
      </w:pPr>
      <w:r>
        <w:rPr>
          <w:rFonts w:ascii="Times New Roman" w:hAnsi="Times New Roman" w:cs="Times New Roman"/>
          <w:sz w:val="24"/>
          <w:szCs w:val="24"/>
        </w:rPr>
        <w:t>Cost-Effectiveness Analysis</w:t>
      </w:r>
    </w:p>
    <w:p w14:paraId="6302605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primary economic outcome was the Incremental Cost-Effectiveness Ratio (ICER), calculated as the difference in total costs between strategies divided by the difference in total QALYs. Strategies were compared pairwise:</w:t>
      </w:r>
      <w:r>
        <w:rPr>
          <w:rFonts w:hint="eastAsia" w:ascii="Times New Roman" w:hAnsi="Times New Roman" w:cs="Times New Roman"/>
          <w:sz w:val="24"/>
          <w:szCs w:val="24"/>
        </w:rPr>
        <w:t xml:space="preserve"> </w:t>
      </w:r>
      <w:r>
        <w:rPr>
          <w:rFonts w:ascii="Times New Roman" w:hAnsi="Times New Roman" w:cs="Times New Roman"/>
          <w:sz w:val="24"/>
          <w:szCs w:val="24"/>
        </w:rPr>
        <w:t>Comparison A: BIC/FTC/TAF vs. EFV+3TC+TDF, separately for rapid and non-rapid initiation</w:t>
      </w:r>
      <w:r>
        <w:rPr>
          <w:rFonts w:hint="eastAsia" w:ascii="Times New Roman" w:hAnsi="Times New Roman" w:cs="Times New Roman"/>
          <w:sz w:val="24"/>
          <w:szCs w:val="24"/>
        </w:rPr>
        <w:t xml:space="preserve">; </w:t>
      </w:r>
      <w:r>
        <w:rPr>
          <w:rFonts w:ascii="Times New Roman" w:hAnsi="Times New Roman" w:cs="Times New Roman"/>
          <w:sz w:val="24"/>
          <w:szCs w:val="24"/>
        </w:rPr>
        <w:t>Comparison B: Rapid vs. Non-Rapid initiation, separately for the BIC and EFV regimens.</w:t>
      </w:r>
    </w:p>
    <w:p w14:paraId="6D36A44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Cost-effectiveness was assessed against a willingness-to-pay (WTP) threshold defined as one to three times China's 2023 per-capita GDP.</w:t>
      </w:r>
    </w:p>
    <w:p w14:paraId="6448F3E2">
      <w:pPr>
        <w:pStyle w:val="4"/>
        <w:spacing w:before="0" w:after="0" w:line="480" w:lineRule="auto"/>
        <w:rPr>
          <w:rFonts w:ascii="Times New Roman" w:hAnsi="Times New Roman" w:cs="Times New Roman"/>
          <w:sz w:val="24"/>
          <w:szCs w:val="24"/>
        </w:rPr>
      </w:pPr>
      <w:r>
        <w:rPr>
          <w:rFonts w:ascii="Times New Roman" w:hAnsi="Times New Roman" w:cs="Times New Roman"/>
          <w:sz w:val="24"/>
          <w:szCs w:val="24"/>
        </w:rPr>
        <w:t>Uncertainty and Scenario Analysis:</w:t>
      </w:r>
    </w:p>
    <w:p w14:paraId="5DC1190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robustness of the base-case results was rigorously tested.</w:t>
      </w:r>
      <w:r>
        <w:rPr>
          <w:rFonts w:hint="eastAsia" w:ascii="Times New Roman" w:hAnsi="Times New Roman" w:cs="Times New Roman"/>
          <w:sz w:val="24"/>
          <w:szCs w:val="24"/>
        </w:rPr>
        <w:t xml:space="preserve"> </w:t>
      </w:r>
      <w:r>
        <w:rPr>
          <w:rFonts w:ascii="Times New Roman" w:hAnsi="Times New Roman" w:cs="Times New Roman"/>
          <w:sz w:val="24"/>
          <w:szCs w:val="24"/>
        </w:rPr>
        <w:t>One-Way Sensitivity Analysis (OWSA): Key model parameters (e.g., drug costs, utility values, key transition probabilities) were varied over their plausible ranges (±20% for costs/utilities, 95% CIs for clinical parameters). Results were presented as Tornado diagrams to identify the most influential drivers of uncertainty.</w:t>
      </w:r>
    </w:p>
    <w:p w14:paraId="53E98837">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Probabilistic Sensitivity Analysis (PSA): To capture joint parameter uncertainty, a PSA was performed using 10,000 Monte Carlo simulations. Parameters were assigned appropriate probability distributions (e.g., Gamma for costs, Beta for probabilities and utilities). Results were used to generate Cost-Effectiveness Acceptability Curves (CEACs), illustrating the probability of each strategy being cost-effective across a spectrum of WTP thresholds.</w:t>
      </w:r>
    </w:p>
    <w:p w14:paraId="411B970C">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Scenario Analyses: Multiple scenario analyses were conducted, including comparing results from the ITT vs. PP datasets, varying model time horizons, and contrasting outcomes from the Markov model versus the infectious disease dynamic model.</w:t>
      </w:r>
    </w:p>
    <w:p w14:paraId="5A7E84DE">
      <w:pPr>
        <w:pStyle w:val="3"/>
        <w:rPr>
          <w:rFonts w:ascii="Times New Roman" w:hAnsi="Times New Roman" w:cs="Times New Roman"/>
        </w:rPr>
      </w:pPr>
      <w:r>
        <w:rPr>
          <w:rFonts w:ascii="Times New Roman" w:hAnsi="Times New Roman" w:cs="Times New Roman"/>
        </w:rPr>
        <w:t>Outcome Synthesis, Model Validation, and Interpretation</w:t>
      </w:r>
    </w:p>
    <w:p w14:paraId="42BC2CDD">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results from the clinical effectiveness analysis and the economic evaluation were synthesised to form a coherent and comprehensive evidence base. The extensive sensitivity and scenario analyses confirmed the robustness of the conclusions across a wide range of assumptions. This multi-faceted and methodologically rigorous approach ensured that the comparative clinical and economic outcomes of rapid versus non-rapid ART initiation with contemporary regimens were thoroughly and reliably evaluated. The findings provide robust, evidence-based guidance for clinical decision-making and health policy formulation regarding HIV care optimization in China</w:t>
      </w:r>
      <w:r>
        <w:rPr>
          <w:rFonts w:hint="eastAsia" w:ascii="Times New Roman" w:hAnsi="Times New Roman" w:cs="Times New Roman"/>
          <w:sz w:val="24"/>
          <w:szCs w:val="24"/>
        </w:rPr>
        <w:t xml:space="preserve">. The overall study flow was summarized in </w:t>
      </w:r>
      <w:r>
        <w:rPr>
          <w:rFonts w:hint="eastAsia" w:ascii="Times New Roman" w:hAnsi="Times New Roman" w:cs="Times New Roman"/>
          <w:b/>
          <w:bCs/>
          <w:sz w:val="24"/>
          <w:szCs w:val="24"/>
        </w:rPr>
        <w:t>Appendix Figure 1</w:t>
      </w:r>
      <w:r>
        <w:rPr>
          <w:rFonts w:hint="eastAsia" w:ascii="Times New Roman" w:hAnsi="Times New Roman" w:cs="Times New Roman"/>
          <w:sz w:val="24"/>
          <w:szCs w:val="24"/>
        </w:rPr>
        <w:t>.</w:t>
      </w:r>
    </w:p>
    <w:p w14:paraId="4811E98F">
      <w:pPr>
        <w:spacing w:line="48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rPr>
        <w:drawing>
          <wp:inline distT="0" distB="0" distL="114300" distR="114300">
            <wp:extent cx="5270500" cy="6443980"/>
            <wp:effectExtent l="0" t="0" r="6350" b="13970"/>
            <wp:docPr id="1" name="图片 1" descr="研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研究流程图"/>
                    <pic:cNvPicPr>
                      <a:picLocks noChangeAspect="1"/>
                    </pic:cNvPicPr>
                  </pic:nvPicPr>
                  <pic:blipFill>
                    <a:blip r:embed="rId4"/>
                    <a:stretch>
                      <a:fillRect/>
                    </a:stretch>
                  </pic:blipFill>
                  <pic:spPr>
                    <a:xfrm>
                      <a:off x="0" y="0"/>
                      <a:ext cx="5270500" cy="6443980"/>
                    </a:xfrm>
                    <a:prstGeom prst="rect">
                      <a:avLst/>
                    </a:prstGeom>
                  </pic:spPr>
                </pic:pic>
              </a:graphicData>
            </a:graphic>
          </wp:inline>
        </w:drawing>
      </w:r>
    </w:p>
    <w:p w14:paraId="7239F387">
      <w:pPr>
        <w:pStyle w:val="7"/>
        <w:spacing w:line="480" w:lineRule="auto"/>
        <w:jc w:val="center"/>
        <w:rPr>
          <w:rFonts w:ascii="Times New Roman" w:hAnsi="Times New Roman" w:cs="Times New Roman"/>
        </w:rPr>
      </w:pPr>
      <w:bookmarkStart w:id="5" w:name="_Toc213841083"/>
      <w:r>
        <w:rPr>
          <w:rFonts w:hint="eastAsia" w:ascii="Times New Roman" w:hAnsi="Times New Roman" w:cs="Times New Roman" w:eastAsiaTheme="minorEastAsia"/>
          <w:b/>
          <w:bCs/>
          <w:color w:val="000000"/>
          <w:kern w:val="0"/>
          <w:sz w:val="24"/>
          <w:szCs w:val="24"/>
          <w:lang w:bidi="ar"/>
        </w:rPr>
        <w:t xml:space="preserve">Appendix Figure </w:t>
      </w:r>
      <w:r>
        <w:rPr>
          <w:rFonts w:hint="eastAsia" w:ascii="Times New Roman" w:hAnsi="Times New Roman" w:cs="Times New Roman" w:eastAsiaTheme="minorEastAsia"/>
          <w:b/>
          <w:bCs/>
          <w:color w:val="000000"/>
          <w:kern w:val="0"/>
          <w:sz w:val="24"/>
          <w:szCs w:val="24"/>
          <w:lang w:bidi="ar"/>
        </w:rPr>
        <w:fldChar w:fldCharType="begin"/>
      </w:r>
      <w:r>
        <w:rPr>
          <w:rFonts w:hint="eastAsia" w:ascii="Times New Roman" w:hAnsi="Times New Roman" w:cs="Times New Roman" w:eastAsiaTheme="minorEastAsia"/>
          <w:b/>
          <w:bCs/>
          <w:color w:val="000000"/>
          <w:kern w:val="0"/>
          <w:sz w:val="24"/>
          <w:szCs w:val="24"/>
          <w:lang w:bidi="ar"/>
        </w:rPr>
        <w:instrText xml:space="preserve"> SEQ Appendix_Figure \* ARABIC </w:instrText>
      </w:r>
      <w:r>
        <w:rPr>
          <w:rFonts w:hint="eastAsia" w:ascii="Times New Roman" w:hAnsi="Times New Roman" w:cs="Times New Roman" w:eastAsiaTheme="minorEastAsia"/>
          <w:b/>
          <w:bCs/>
          <w:color w:val="000000"/>
          <w:kern w:val="0"/>
          <w:sz w:val="24"/>
          <w:szCs w:val="24"/>
          <w:lang w:bidi="ar"/>
        </w:rPr>
        <w:fldChar w:fldCharType="separate"/>
      </w:r>
      <w:r>
        <w:rPr>
          <w:rFonts w:hint="eastAsia" w:ascii="Times New Roman" w:hAnsi="Times New Roman" w:cs="Times New Roman" w:eastAsiaTheme="minorEastAsia"/>
          <w:b/>
          <w:bCs/>
          <w:color w:val="000000"/>
          <w:kern w:val="0"/>
          <w:sz w:val="24"/>
          <w:szCs w:val="24"/>
          <w:lang w:bidi="ar"/>
        </w:rPr>
        <w:t>1</w:t>
      </w:r>
      <w:r>
        <w:rPr>
          <w:rFonts w:hint="eastAsia" w:ascii="Times New Roman" w:hAnsi="Times New Roman" w:cs="Times New Roman" w:eastAsiaTheme="minorEastAsia"/>
          <w:b/>
          <w:bCs/>
          <w:color w:val="000000"/>
          <w:kern w:val="0"/>
          <w:sz w:val="24"/>
          <w:szCs w:val="24"/>
          <w:lang w:bidi="ar"/>
        </w:rPr>
        <w:fldChar w:fldCharType="end"/>
      </w:r>
      <w:r>
        <w:rPr>
          <w:rFonts w:hint="eastAsia" w:ascii="Times New Roman" w:hAnsi="Times New Roman" w:cs="Times New Roman" w:eastAsiaTheme="minorEastAsia"/>
          <w:b/>
          <w:bCs/>
          <w:color w:val="000000"/>
          <w:kern w:val="0"/>
          <w:sz w:val="24"/>
          <w:szCs w:val="24"/>
          <w:lang w:bidi="ar"/>
        </w:rPr>
        <w:t xml:space="preserve"> Study Flowchart</w:t>
      </w:r>
      <w:bookmarkEnd w:id="5"/>
      <w:r>
        <w:rPr>
          <w:rFonts w:ascii="Times New Roman" w:hAnsi="Times New Roman" w:cs="Times New Roman"/>
        </w:rPr>
        <w:br w:type="page"/>
      </w:r>
    </w:p>
    <w:p w14:paraId="3440876B">
      <w:pPr>
        <w:pStyle w:val="2"/>
        <w:rPr>
          <w:rFonts w:ascii="Times New Roman" w:hAnsi="Times New Roman" w:cs="Times New Roman"/>
        </w:rPr>
      </w:pPr>
      <w:bookmarkStart w:id="6" w:name="_Toc216103811"/>
      <w:r>
        <w:rPr>
          <w:rFonts w:ascii="Times New Roman" w:hAnsi="Times New Roman" w:cs="Times New Roman"/>
        </w:rPr>
        <w:t>Derivation of Model Structure</w:t>
      </w:r>
      <w:bookmarkEnd w:id="6"/>
    </w:p>
    <w:p w14:paraId="2A97D3A3">
      <w:pPr>
        <w:pStyle w:val="3"/>
        <w:rPr>
          <w:rFonts w:ascii="Times New Roman" w:hAnsi="Times New Roman" w:cs="Times New Roman"/>
          <w:szCs w:val="24"/>
        </w:rPr>
      </w:pPr>
      <w:r>
        <w:rPr>
          <w:rFonts w:ascii="Times New Roman" w:hAnsi="Times New Roman" w:cs="Times New Roman"/>
        </w:rPr>
        <w:t>Model Structure</w:t>
      </w:r>
    </w:p>
    <w:p w14:paraId="1D9EDDCC">
      <w:pPr>
        <w:pStyle w:val="4"/>
        <w:spacing w:before="0" w:after="0" w:line="480" w:lineRule="auto"/>
        <w:rPr>
          <w:rFonts w:ascii="Times New Roman" w:hAnsi="Times New Roman" w:cs="Times New Roman"/>
          <w:sz w:val="24"/>
          <w:szCs w:val="24"/>
        </w:rPr>
      </w:pPr>
      <w:r>
        <w:rPr>
          <w:rFonts w:ascii="Times New Roman" w:hAnsi="Times New Roman" w:cs="Times New Roman"/>
          <w:sz w:val="24"/>
          <w:szCs w:val="24"/>
        </w:rPr>
        <w:t>Decision Tree - Markov Model</w:t>
      </w:r>
    </w:p>
    <w:p w14:paraId="72AF9CD2">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A Decision Tree–Markov model was employed in this study. Given that China's average life expectancy reached 77.93 years by the end of 2022, the model simulates outcomes from the starting point up to 80 years of age to fully capture lifetime health outcomes for patients.</w:t>
      </w:r>
    </w:p>
    <w:p w14:paraId="56200997">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natural history of HIV infection was structured according to the WHO immunological classification system. HIV-infected individuals progress sequentially through five health states based on CD4 cell counts: State 1 (&gt;500 cells/μL), State 2 (350–500 cells/μL), State 3 (200–350 cells/μL), State 4 (100–200 cells/μL), and State 5 (&lt;100 cells/μL). Death was modeled as an absorbing state. Each health state is associated with distinct rates of AIDS-defining events (ADEs) and mortality. ADEs refer to specific cancers and opportunistic infections occurring in people living with HIV, which influence both cost and utility outcomes. A schematic of the HIV natural history is provided in the figure.</w:t>
      </w:r>
    </w:p>
    <w:p w14:paraId="261CD5E0">
      <w:pPr>
        <w:spacing w:line="48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080385" cy="4286885"/>
            <wp:effectExtent l="0" t="0" r="5715" b="18415"/>
            <wp:docPr id="11" name="图片 11" descr="自然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自然史"/>
                    <pic:cNvPicPr>
                      <a:picLocks noChangeAspect="1"/>
                    </pic:cNvPicPr>
                  </pic:nvPicPr>
                  <pic:blipFill>
                    <a:blip r:embed="rId5"/>
                    <a:stretch>
                      <a:fillRect/>
                    </a:stretch>
                  </pic:blipFill>
                  <pic:spPr>
                    <a:xfrm>
                      <a:off x="0" y="0"/>
                      <a:ext cx="3080385" cy="4286885"/>
                    </a:xfrm>
                    <a:prstGeom prst="rect">
                      <a:avLst/>
                    </a:prstGeom>
                  </pic:spPr>
                </pic:pic>
              </a:graphicData>
            </a:graphic>
          </wp:inline>
        </w:drawing>
      </w:r>
    </w:p>
    <w:p w14:paraId="3B45BB0E">
      <w:pPr>
        <w:pStyle w:val="7"/>
        <w:spacing w:line="480" w:lineRule="auto"/>
        <w:jc w:val="center"/>
        <w:rPr>
          <w:rFonts w:ascii="Times New Roman" w:hAnsi="Times New Roman" w:cs="Times New Roman" w:eastAsiaTheme="minorEastAsia"/>
          <w:b/>
          <w:bCs/>
          <w:color w:val="000000"/>
          <w:kern w:val="0"/>
          <w:sz w:val="24"/>
          <w:szCs w:val="24"/>
          <w:lang w:bidi="ar"/>
        </w:rPr>
      </w:pPr>
      <w:bookmarkStart w:id="7" w:name="_Toc213841084"/>
      <w:r>
        <w:rPr>
          <w:rFonts w:hint="eastAsia" w:ascii="Times New Roman" w:hAnsi="Times New Roman" w:cs="Times New Roman" w:eastAsiaTheme="minorEastAsia"/>
          <w:b/>
          <w:bCs/>
          <w:color w:val="000000"/>
          <w:kern w:val="0"/>
          <w:sz w:val="24"/>
          <w:szCs w:val="24"/>
          <w:lang w:bidi="ar"/>
        </w:rPr>
        <w:t xml:space="preserve">Appendix Figure </w:t>
      </w:r>
      <w:r>
        <w:rPr>
          <w:rFonts w:hint="eastAsia" w:ascii="Times New Roman" w:hAnsi="Times New Roman" w:cs="Times New Roman" w:eastAsiaTheme="minorEastAsia"/>
          <w:b/>
          <w:bCs/>
          <w:color w:val="000000"/>
          <w:kern w:val="0"/>
          <w:sz w:val="24"/>
          <w:szCs w:val="24"/>
          <w:lang w:bidi="ar"/>
        </w:rPr>
        <w:fldChar w:fldCharType="begin"/>
      </w:r>
      <w:r>
        <w:rPr>
          <w:rFonts w:hint="eastAsia" w:ascii="Times New Roman" w:hAnsi="Times New Roman" w:cs="Times New Roman" w:eastAsiaTheme="minorEastAsia"/>
          <w:b/>
          <w:bCs/>
          <w:color w:val="000000"/>
          <w:kern w:val="0"/>
          <w:sz w:val="24"/>
          <w:szCs w:val="24"/>
          <w:lang w:bidi="ar"/>
        </w:rPr>
        <w:instrText xml:space="preserve"> SEQ Appendix_Figure \* ARABIC </w:instrText>
      </w:r>
      <w:r>
        <w:rPr>
          <w:rFonts w:hint="eastAsia" w:ascii="Times New Roman" w:hAnsi="Times New Roman" w:cs="Times New Roman" w:eastAsiaTheme="minorEastAsia"/>
          <w:b/>
          <w:bCs/>
          <w:color w:val="000000"/>
          <w:kern w:val="0"/>
          <w:sz w:val="24"/>
          <w:szCs w:val="24"/>
          <w:lang w:bidi="ar"/>
        </w:rPr>
        <w:fldChar w:fldCharType="separate"/>
      </w:r>
      <w:r>
        <w:rPr>
          <w:rFonts w:hint="eastAsia" w:ascii="Times New Roman" w:hAnsi="Times New Roman" w:cs="Times New Roman" w:eastAsiaTheme="minorEastAsia"/>
          <w:b/>
          <w:bCs/>
          <w:color w:val="000000"/>
          <w:kern w:val="0"/>
          <w:sz w:val="24"/>
          <w:szCs w:val="24"/>
          <w:lang w:bidi="ar"/>
        </w:rPr>
        <w:t>2</w:t>
      </w:r>
      <w:r>
        <w:rPr>
          <w:rFonts w:hint="eastAsia" w:ascii="Times New Roman" w:hAnsi="Times New Roman" w:cs="Times New Roman" w:eastAsiaTheme="minorEastAsia"/>
          <w:b/>
          <w:bCs/>
          <w:color w:val="000000"/>
          <w:kern w:val="0"/>
          <w:sz w:val="24"/>
          <w:szCs w:val="24"/>
          <w:lang w:bidi="ar"/>
        </w:rPr>
        <w:fldChar w:fldCharType="end"/>
      </w:r>
      <w:r>
        <w:rPr>
          <w:rFonts w:hint="eastAsia" w:ascii="Times New Roman" w:hAnsi="Times New Roman" w:cs="Times New Roman" w:eastAsiaTheme="minorEastAsia"/>
          <w:b/>
          <w:bCs/>
          <w:color w:val="000000"/>
          <w:kern w:val="0"/>
          <w:sz w:val="24"/>
          <w:szCs w:val="24"/>
          <w:lang w:bidi="ar"/>
        </w:rPr>
        <w:t xml:space="preserve"> Disease Progression: Natunl History</w:t>
      </w:r>
      <w:bookmarkEnd w:id="7"/>
    </w:p>
    <w:p w14:paraId="7D25E94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Under ART intervention, transitions between HIV health states are illustrated in the left panel of the figure. Patients receiving ART may experience viral suppression (HIV RNA &lt;50 copies/mL), leading to CD4 cell count recovery and transition to a better health state. Conversely, treatment discontinuation due to drug resistance or adverse events results in virologic failure (HIV RNA &gt;50 copies/mL), CD4 cell count decline, and progression to a worse health state. Transitions between states depend on treatment response (on-treatment vs. off-treatment) and changes in CD4 cell counts: improvement occurs when a patient responds to treatment in a given state, while deterioration occurs upon treatment discontinuation. For instance, if a patient gains “n” CD4 cells per cycle, the probability of transitioning to a better state is calculated as “n” divided by the CD4 count difference between the two adjacent states.</w:t>
      </w:r>
    </w:p>
    <w:p w14:paraId="3272C619">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Transitions within each HIV health state are shown in the right panel of the figure. Each health state includes the following substates: first-line treatment, first-line treatment</w:t>
      </w:r>
      <w:r>
        <w:rPr>
          <w:rFonts w:hint="eastAsia" w:ascii="Times New Roman" w:hAnsi="Times New Roman" w:cs="Times New Roman"/>
          <w:sz w:val="24"/>
          <w:szCs w:val="24"/>
        </w:rPr>
        <w:t xml:space="preserve"> discontinuation</w:t>
      </w:r>
      <w:r>
        <w:rPr>
          <w:rFonts w:ascii="Times New Roman" w:hAnsi="Times New Roman" w:cs="Times New Roman"/>
          <w:sz w:val="24"/>
          <w:szCs w:val="24"/>
        </w:rPr>
        <w:t>, second-line treatment</w:t>
      </w:r>
      <w:r>
        <w:rPr>
          <w:rFonts w:hint="eastAsia" w:ascii="Times New Roman" w:hAnsi="Times New Roman" w:cs="Times New Roman"/>
          <w:sz w:val="24"/>
          <w:szCs w:val="24"/>
        </w:rPr>
        <w:t xml:space="preserve"> (LPV/r+3TC+TDF)</w:t>
      </w:r>
      <w:r>
        <w:rPr>
          <w:rFonts w:ascii="Times New Roman" w:hAnsi="Times New Roman" w:cs="Times New Roman"/>
          <w:sz w:val="24"/>
          <w:szCs w:val="24"/>
        </w:rPr>
        <w:t>, second-line treatment</w:t>
      </w:r>
      <w:r>
        <w:rPr>
          <w:rFonts w:hint="eastAsia" w:ascii="Times New Roman" w:hAnsi="Times New Roman" w:cs="Times New Roman"/>
          <w:sz w:val="24"/>
          <w:szCs w:val="24"/>
        </w:rPr>
        <w:t xml:space="preserve"> discontinuation</w:t>
      </w:r>
      <w:r>
        <w:rPr>
          <w:rFonts w:ascii="Times New Roman" w:hAnsi="Times New Roman" w:cs="Times New Roman"/>
          <w:sz w:val="24"/>
          <w:szCs w:val="24"/>
        </w:rPr>
        <w:t>, and treatment failure. All patients discontinuing first-line treatment transition to second-line treatment. Discontinuation is attributed to virologic failure leading to drug resistance (rate: First/Second-line_vd) or adverse events (rate: First/Second-line_nd). Each ART regimen is associated with a probability of adverse events (AE rate: ae_i), which affects both cost and utility.</w:t>
      </w:r>
    </w:p>
    <w:p w14:paraId="7826723D">
      <w:pPr>
        <w:spacing w:line="48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262880" cy="3242945"/>
            <wp:effectExtent l="0" t="0" r="13970" b="14605"/>
            <wp:docPr id="12" name="图片 12" descr="mar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arkov"/>
                    <pic:cNvPicPr>
                      <a:picLocks noChangeAspect="1"/>
                    </pic:cNvPicPr>
                  </pic:nvPicPr>
                  <pic:blipFill>
                    <a:blip r:embed="rId6"/>
                    <a:stretch>
                      <a:fillRect/>
                    </a:stretch>
                  </pic:blipFill>
                  <pic:spPr>
                    <a:xfrm>
                      <a:off x="0" y="0"/>
                      <a:ext cx="5262880" cy="3242945"/>
                    </a:xfrm>
                    <a:prstGeom prst="rect">
                      <a:avLst/>
                    </a:prstGeom>
                  </pic:spPr>
                </pic:pic>
              </a:graphicData>
            </a:graphic>
          </wp:inline>
        </w:drawing>
      </w:r>
    </w:p>
    <w:p w14:paraId="75F98119">
      <w:pPr>
        <w:pStyle w:val="7"/>
        <w:spacing w:line="480" w:lineRule="auto"/>
        <w:jc w:val="center"/>
        <w:rPr>
          <w:rFonts w:ascii="Times New Roman" w:hAnsi="Times New Roman" w:cs="Times New Roman" w:eastAsiaTheme="minorEastAsia"/>
          <w:b/>
          <w:bCs/>
          <w:color w:val="000000"/>
          <w:kern w:val="0"/>
          <w:sz w:val="24"/>
          <w:szCs w:val="24"/>
          <w:lang w:bidi="ar"/>
        </w:rPr>
      </w:pPr>
      <w:bookmarkStart w:id="8" w:name="_Toc213841085"/>
      <w:r>
        <w:rPr>
          <w:rFonts w:hint="eastAsia" w:ascii="Times New Roman" w:hAnsi="Times New Roman" w:cs="Times New Roman" w:eastAsiaTheme="minorEastAsia"/>
          <w:b/>
          <w:bCs/>
          <w:color w:val="000000"/>
          <w:kern w:val="0"/>
          <w:sz w:val="24"/>
          <w:szCs w:val="24"/>
          <w:lang w:bidi="ar"/>
        </w:rPr>
        <w:t xml:space="preserve">Appendix Figure </w:t>
      </w:r>
      <w:r>
        <w:rPr>
          <w:rFonts w:hint="eastAsia" w:ascii="Times New Roman" w:hAnsi="Times New Roman" w:cs="Times New Roman" w:eastAsiaTheme="minorEastAsia"/>
          <w:b/>
          <w:bCs/>
          <w:color w:val="000000"/>
          <w:kern w:val="0"/>
          <w:sz w:val="24"/>
          <w:szCs w:val="24"/>
          <w:lang w:bidi="ar"/>
        </w:rPr>
        <w:fldChar w:fldCharType="begin"/>
      </w:r>
      <w:r>
        <w:rPr>
          <w:rFonts w:hint="eastAsia" w:ascii="Times New Roman" w:hAnsi="Times New Roman" w:cs="Times New Roman" w:eastAsiaTheme="minorEastAsia"/>
          <w:b/>
          <w:bCs/>
          <w:color w:val="000000"/>
          <w:kern w:val="0"/>
          <w:sz w:val="24"/>
          <w:szCs w:val="24"/>
          <w:lang w:bidi="ar"/>
        </w:rPr>
        <w:instrText xml:space="preserve"> SEQ Appendix_Figure \* ARABIC </w:instrText>
      </w:r>
      <w:r>
        <w:rPr>
          <w:rFonts w:hint="eastAsia" w:ascii="Times New Roman" w:hAnsi="Times New Roman" w:cs="Times New Roman" w:eastAsiaTheme="minorEastAsia"/>
          <w:b/>
          <w:bCs/>
          <w:color w:val="000000"/>
          <w:kern w:val="0"/>
          <w:sz w:val="24"/>
          <w:szCs w:val="24"/>
          <w:lang w:bidi="ar"/>
        </w:rPr>
        <w:fldChar w:fldCharType="separate"/>
      </w:r>
      <w:r>
        <w:rPr>
          <w:rFonts w:hint="eastAsia" w:ascii="Times New Roman" w:hAnsi="Times New Roman" w:cs="Times New Roman" w:eastAsiaTheme="minorEastAsia"/>
          <w:b/>
          <w:bCs/>
          <w:color w:val="000000"/>
          <w:kern w:val="0"/>
          <w:sz w:val="24"/>
          <w:szCs w:val="24"/>
          <w:lang w:bidi="ar"/>
        </w:rPr>
        <w:t>3</w:t>
      </w:r>
      <w:r>
        <w:rPr>
          <w:rFonts w:hint="eastAsia" w:ascii="Times New Roman" w:hAnsi="Times New Roman" w:cs="Times New Roman" w:eastAsiaTheme="minorEastAsia"/>
          <w:b/>
          <w:bCs/>
          <w:color w:val="000000"/>
          <w:kern w:val="0"/>
          <w:sz w:val="24"/>
          <w:szCs w:val="24"/>
          <w:lang w:bidi="ar"/>
        </w:rPr>
        <w:fldChar w:fldCharType="end"/>
      </w:r>
      <w:r>
        <w:rPr>
          <w:rFonts w:hint="eastAsia" w:ascii="Times New Roman" w:hAnsi="Times New Roman" w:cs="Times New Roman" w:eastAsiaTheme="minorEastAsia"/>
          <w:b/>
          <w:bCs/>
          <w:color w:val="000000"/>
          <w:kern w:val="0"/>
          <w:sz w:val="24"/>
          <w:szCs w:val="24"/>
          <w:lang w:bidi="ar"/>
        </w:rPr>
        <w:t xml:space="preserve"> Markov Model</w:t>
      </w:r>
      <w:bookmarkEnd w:id="8"/>
    </w:p>
    <w:p w14:paraId="7FDA8E7E">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decision process and algorithmic details are depicted in the accompanying diagram. At the initiation of first-line treatment, patients in the intervention group who achieve virologic suppression (with probability P, representing the response rate) continue the intervention regimen. Those who do not respond (1 – P) switch to the alternative treatment from the control group. Similarly, patients in the control group who respond to control treatment continue that regimen, while non-responders switch to the intervention regimen.</w:t>
      </w:r>
    </w:p>
    <w:p w14:paraId="7E99860F">
      <w:pPr>
        <w:spacing w:line="48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273675" cy="2701290"/>
            <wp:effectExtent l="0" t="0" r="3175" b="3810"/>
            <wp:docPr id="7" name="图片 7" descr="决策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决策树"/>
                    <pic:cNvPicPr>
                      <a:picLocks noChangeAspect="1"/>
                    </pic:cNvPicPr>
                  </pic:nvPicPr>
                  <pic:blipFill>
                    <a:blip r:embed="rId7"/>
                    <a:stretch>
                      <a:fillRect/>
                    </a:stretch>
                  </pic:blipFill>
                  <pic:spPr>
                    <a:xfrm>
                      <a:off x="0" y="0"/>
                      <a:ext cx="5273675" cy="2701290"/>
                    </a:xfrm>
                    <a:prstGeom prst="rect">
                      <a:avLst/>
                    </a:prstGeom>
                  </pic:spPr>
                </pic:pic>
              </a:graphicData>
            </a:graphic>
          </wp:inline>
        </w:drawing>
      </w:r>
    </w:p>
    <w:p w14:paraId="62B8EB41">
      <w:pPr>
        <w:pStyle w:val="7"/>
        <w:spacing w:line="480" w:lineRule="auto"/>
        <w:jc w:val="center"/>
        <w:rPr>
          <w:rFonts w:ascii="Times New Roman" w:hAnsi="Times New Roman" w:cs="Times New Roman" w:eastAsiaTheme="minorEastAsia"/>
          <w:b/>
          <w:bCs/>
          <w:color w:val="000000"/>
          <w:kern w:val="0"/>
          <w:sz w:val="24"/>
          <w:szCs w:val="24"/>
          <w:lang w:bidi="ar"/>
        </w:rPr>
      </w:pPr>
      <w:bookmarkStart w:id="9" w:name="_Toc213841086"/>
      <w:r>
        <w:rPr>
          <w:rFonts w:hint="eastAsia" w:ascii="Times New Roman" w:hAnsi="Times New Roman" w:cs="Times New Roman" w:eastAsiaTheme="minorEastAsia"/>
          <w:b/>
          <w:bCs/>
          <w:color w:val="000000"/>
          <w:kern w:val="0"/>
          <w:sz w:val="24"/>
          <w:szCs w:val="24"/>
          <w:lang w:bidi="ar"/>
        </w:rPr>
        <w:t xml:space="preserve">Appendix Figure </w:t>
      </w:r>
      <w:r>
        <w:rPr>
          <w:rFonts w:hint="eastAsia" w:ascii="Times New Roman" w:hAnsi="Times New Roman" w:cs="Times New Roman" w:eastAsiaTheme="minorEastAsia"/>
          <w:b/>
          <w:bCs/>
          <w:color w:val="000000"/>
          <w:kern w:val="0"/>
          <w:sz w:val="24"/>
          <w:szCs w:val="24"/>
          <w:lang w:bidi="ar"/>
        </w:rPr>
        <w:fldChar w:fldCharType="begin"/>
      </w:r>
      <w:r>
        <w:rPr>
          <w:rFonts w:hint="eastAsia" w:ascii="Times New Roman" w:hAnsi="Times New Roman" w:cs="Times New Roman" w:eastAsiaTheme="minorEastAsia"/>
          <w:b/>
          <w:bCs/>
          <w:color w:val="000000"/>
          <w:kern w:val="0"/>
          <w:sz w:val="24"/>
          <w:szCs w:val="24"/>
          <w:lang w:bidi="ar"/>
        </w:rPr>
        <w:instrText xml:space="preserve"> SEQ Appendix_Figure \* ARABIC </w:instrText>
      </w:r>
      <w:r>
        <w:rPr>
          <w:rFonts w:hint="eastAsia" w:ascii="Times New Roman" w:hAnsi="Times New Roman" w:cs="Times New Roman" w:eastAsiaTheme="minorEastAsia"/>
          <w:b/>
          <w:bCs/>
          <w:color w:val="000000"/>
          <w:kern w:val="0"/>
          <w:sz w:val="24"/>
          <w:szCs w:val="24"/>
          <w:lang w:bidi="ar"/>
        </w:rPr>
        <w:fldChar w:fldCharType="separate"/>
      </w:r>
      <w:r>
        <w:rPr>
          <w:rFonts w:hint="eastAsia" w:ascii="Times New Roman" w:hAnsi="Times New Roman" w:cs="Times New Roman" w:eastAsiaTheme="minorEastAsia"/>
          <w:b/>
          <w:bCs/>
          <w:color w:val="000000"/>
          <w:kern w:val="0"/>
          <w:sz w:val="24"/>
          <w:szCs w:val="24"/>
          <w:lang w:bidi="ar"/>
        </w:rPr>
        <w:t>4</w:t>
      </w:r>
      <w:r>
        <w:rPr>
          <w:rFonts w:hint="eastAsia" w:ascii="Times New Roman" w:hAnsi="Times New Roman" w:cs="Times New Roman" w:eastAsiaTheme="minorEastAsia"/>
          <w:b/>
          <w:bCs/>
          <w:color w:val="000000"/>
          <w:kern w:val="0"/>
          <w:sz w:val="24"/>
          <w:szCs w:val="24"/>
          <w:lang w:bidi="ar"/>
        </w:rPr>
        <w:fldChar w:fldCharType="end"/>
      </w:r>
      <w:r>
        <w:rPr>
          <w:rFonts w:hint="eastAsia" w:ascii="Times New Roman" w:hAnsi="Times New Roman" w:cs="Times New Roman" w:eastAsiaTheme="minorEastAsia"/>
          <w:b/>
          <w:bCs/>
          <w:color w:val="000000"/>
          <w:kern w:val="0"/>
          <w:sz w:val="24"/>
          <w:szCs w:val="24"/>
          <w:lang w:bidi="ar"/>
        </w:rPr>
        <w:t xml:space="preserve"> Decision Tree Model</w:t>
      </w:r>
      <w:bookmarkEnd w:id="9"/>
    </w:p>
    <w:p w14:paraId="6B25F58D">
      <w:pPr>
        <w:pStyle w:val="4"/>
        <w:spacing w:before="0" w:after="0" w:line="480" w:lineRule="auto"/>
        <w:rPr>
          <w:rFonts w:ascii="Times New Roman" w:hAnsi="Times New Roman" w:cs="Times New Roman"/>
          <w:sz w:val="24"/>
          <w:szCs w:val="24"/>
        </w:rPr>
      </w:pPr>
      <w:r>
        <w:rPr>
          <w:rFonts w:hint="eastAsia" w:ascii="Times New Roman" w:hAnsi="Times New Roman" w:cs="Times New Roman"/>
          <w:sz w:val="24"/>
          <w:szCs w:val="24"/>
        </w:rPr>
        <w:t>Infectious Disease Dynamics Model</w:t>
      </w:r>
    </w:p>
    <w:p w14:paraId="2A4A135E">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The dynamic model was constructed based on the classical Susceptible–Infectious–Removed (SIR) framework, commonly employed in infectious disease modeling and previously established in published literature</w:t>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ADDIN NE.Ref.{99D8ED70-2209-442B-9055-691B82E4A04A}</w:instrText>
      </w:r>
      <w:r>
        <w:rPr>
          <w:rFonts w:ascii="Times New Roman" w:hAnsi="Times New Roman" w:cs="Times New Roman" w:eastAsiaTheme="minorEastAsia"/>
          <w:sz w:val="24"/>
          <w:szCs w:val="24"/>
        </w:rPr>
        <w:fldChar w:fldCharType="separate"/>
      </w:r>
      <w:r>
        <w:rPr>
          <w:rFonts w:ascii="Times New Roman" w:hAnsi="Times New Roman" w:cs="Times New Roman"/>
          <w:color w:val="080000"/>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The model assumed that susceptible individuals could acquire HIV infection through contact with infected individuals. Given that the average sexually active period in the Chinese population is approximately 30 years</w:t>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ADDIN NE.Ref.{5058D24F-0CF3-4486-BE4C-B7816D8BE66B}</w:instrText>
      </w:r>
      <w:r>
        <w:rPr>
          <w:rFonts w:ascii="Times New Roman" w:hAnsi="Times New Roman" w:cs="Times New Roman" w:eastAsiaTheme="minorEastAsia"/>
          <w:sz w:val="24"/>
          <w:szCs w:val="24"/>
        </w:rPr>
        <w:fldChar w:fldCharType="separate"/>
      </w:r>
      <w:r>
        <w:rPr>
          <w:rFonts w:ascii="Times New Roman" w:hAnsi="Times New Roman" w:cs="Times New Roman"/>
          <w:color w:val="080000"/>
          <w:sz w:val="24"/>
          <w:szCs w:val="24"/>
        </w:rPr>
        <w:t>[2]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and that sexual contact represents the primary transmission route for HIV, a 30-year time horizon was adopted, with annual cycles. While the model did not incorporate a detailed age structure, temporal changes in population distribution, or influx of new susceptible individuals.</w:t>
      </w:r>
    </w:p>
    <w:p w14:paraId="76D5BB69">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Health states were categorized into 22 distinct compartments based on factors such as switching line, treatment discontinuation, CD4 count, and viral suppression status. These included five CD4 count stages (CD4&gt;500, 350&lt;CD4</w:t>
      </w:r>
      <w:r>
        <w:rPr>
          <w:rFonts w:ascii="Times New Roman" w:hAnsi="Times New Roman" w:cs="Times New Roman"/>
          <w:sz w:val="24"/>
          <w:szCs w:val="24"/>
        </w:rPr>
        <w:t>≤</w:t>
      </w:r>
      <w:r>
        <w:rPr>
          <w:rFonts w:ascii="Times New Roman" w:hAnsi="Times New Roman" w:cs="Times New Roman" w:eastAsiaTheme="minorEastAsia"/>
          <w:sz w:val="24"/>
          <w:szCs w:val="24"/>
        </w:rPr>
        <w:t>500, 200&lt;CD4</w:t>
      </w:r>
      <w:r>
        <w:rPr>
          <w:rFonts w:ascii="Times New Roman" w:hAnsi="Times New Roman" w:cs="Times New Roman"/>
          <w:sz w:val="24"/>
          <w:szCs w:val="24"/>
        </w:rPr>
        <w:t>≤</w:t>
      </w:r>
      <w:r>
        <w:rPr>
          <w:rFonts w:ascii="Times New Roman" w:hAnsi="Times New Roman" w:cs="Times New Roman" w:eastAsiaTheme="minorEastAsia"/>
          <w:sz w:val="24"/>
          <w:szCs w:val="24"/>
        </w:rPr>
        <w:t>350, 100&lt;CD4</w:t>
      </w:r>
      <w:r>
        <w:rPr>
          <w:rFonts w:ascii="Times New Roman" w:hAnsi="Times New Roman" w:cs="Times New Roman"/>
          <w:sz w:val="24"/>
          <w:szCs w:val="24"/>
        </w:rPr>
        <w:t>≤</w:t>
      </w:r>
      <w:r>
        <w:rPr>
          <w:rFonts w:ascii="Times New Roman" w:hAnsi="Times New Roman" w:cs="Times New Roman" w:eastAsiaTheme="minorEastAsia"/>
          <w:sz w:val="24"/>
          <w:szCs w:val="24"/>
        </w:rPr>
        <w:t>200, CD4</w:t>
      </w:r>
      <w:r>
        <w:rPr>
          <w:rFonts w:ascii="Times New Roman" w:hAnsi="Times New Roman" w:cs="Times New Roman"/>
          <w:sz w:val="24"/>
          <w:szCs w:val="24"/>
        </w:rPr>
        <w:t>≤</w:t>
      </w:r>
      <w:r>
        <w:rPr>
          <w:rFonts w:ascii="Times New Roman" w:hAnsi="Times New Roman" w:cs="Times New Roman" w:eastAsiaTheme="minorEastAsia"/>
          <w:sz w:val="24"/>
          <w:szCs w:val="24"/>
        </w:rPr>
        <w:t>100), as well as states for unsuppressed and suppressed viral load under first-line treatment (FU and FS, respectively), unsuppressed and suppressed viral load under switched regimen (SU and SS), susceptible (S), and deceased (R).</w:t>
      </w:r>
      <w:r>
        <w:rPr>
          <w:rFonts w:hint="eastAsia" w:ascii="Times New Roman" w:hAnsi="Times New Roman" w:cs="Times New Roman" w:eastAsiaTheme="minorEastAsia"/>
          <w:sz w:val="24"/>
          <w:szCs w:val="24"/>
        </w:rPr>
        <w:t xml:space="preserve"> The alternative treatment for the control group served as second-line treatment; for instance, if the intervention group received BIC group, the second-line treatment following first-line treatment discontinuation corresponded to the control EFV group.</w:t>
      </w:r>
    </w:p>
    <w:p w14:paraId="0083A92E">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In cases where treatment was ineffective (i.e., viral load unsuppressed), natural disease progression was modeled, with individuals transitioning from higher to lower CD4 count states. Upon diagnosis and initiation of effective treatment, some individuals achieved viral suppression (e.g., transition from FU to FS or SU to SS). Successful treatment also allowed for immune recovery, enabling transitions from lower to higher CD4 count states. However, treatment could be disrupted due to factors such as drug resistance, resulting in relapse from a suppressed to an unsuppressed state (e.g., transition from FS to SU).</w:t>
      </w:r>
    </w:p>
    <w:p w14:paraId="55FDEAE7">
      <w:pPr>
        <w:spacing w:line="480" w:lineRule="auto"/>
        <w:jc w:val="center"/>
      </w:pPr>
      <w:r>
        <w:drawing>
          <wp:inline distT="0" distB="0" distL="114300" distR="114300">
            <wp:extent cx="5271770" cy="2346325"/>
            <wp:effectExtent l="0" t="0" r="5080" b="15875"/>
            <wp:docPr id="13" name="图片 13" descr="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传播"/>
                    <pic:cNvPicPr>
                      <a:picLocks noChangeAspect="1"/>
                    </pic:cNvPicPr>
                  </pic:nvPicPr>
                  <pic:blipFill>
                    <a:blip r:embed="rId8"/>
                    <a:stretch>
                      <a:fillRect/>
                    </a:stretch>
                  </pic:blipFill>
                  <pic:spPr>
                    <a:xfrm>
                      <a:off x="0" y="0"/>
                      <a:ext cx="5271770" cy="2346325"/>
                    </a:xfrm>
                    <a:prstGeom prst="rect">
                      <a:avLst/>
                    </a:prstGeom>
                  </pic:spPr>
                </pic:pic>
              </a:graphicData>
            </a:graphic>
          </wp:inline>
        </w:drawing>
      </w:r>
    </w:p>
    <w:p w14:paraId="09298BAB">
      <w:pPr>
        <w:pStyle w:val="7"/>
        <w:spacing w:line="480" w:lineRule="auto"/>
        <w:jc w:val="center"/>
        <w:rPr>
          <w:rFonts w:ascii="Times New Roman" w:hAnsi="Times New Roman" w:cs="Times New Roman" w:eastAsiaTheme="minorEastAsia"/>
          <w:b/>
          <w:bCs/>
          <w:color w:val="000000"/>
          <w:kern w:val="0"/>
          <w:sz w:val="24"/>
          <w:szCs w:val="24"/>
          <w:lang w:bidi="ar"/>
        </w:rPr>
      </w:pPr>
      <w:bookmarkStart w:id="10" w:name="_Toc213841087"/>
      <w:r>
        <w:rPr>
          <w:rFonts w:hint="eastAsia" w:ascii="Times New Roman" w:hAnsi="Times New Roman" w:cs="Times New Roman" w:eastAsiaTheme="minorEastAsia"/>
          <w:b/>
          <w:bCs/>
          <w:color w:val="000000"/>
          <w:kern w:val="0"/>
          <w:sz w:val="24"/>
          <w:szCs w:val="24"/>
          <w:lang w:bidi="ar"/>
        </w:rPr>
        <w:t xml:space="preserve">Appendix Figure </w:t>
      </w:r>
      <w:r>
        <w:rPr>
          <w:rFonts w:hint="eastAsia" w:ascii="Times New Roman" w:hAnsi="Times New Roman" w:cs="Times New Roman" w:eastAsiaTheme="minorEastAsia"/>
          <w:b/>
          <w:bCs/>
          <w:color w:val="000000"/>
          <w:kern w:val="0"/>
          <w:sz w:val="24"/>
          <w:szCs w:val="24"/>
          <w:lang w:bidi="ar"/>
        </w:rPr>
        <w:fldChar w:fldCharType="begin"/>
      </w:r>
      <w:r>
        <w:rPr>
          <w:rFonts w:hint="eastAsia" w:ascii="Times New Roman" w:hAnsi="Times New Roman" w:cs="Times New Roman" w:eastAsiaTheme="minorEastAsia"/>
          <w:b/>
          <w:bCs/>
          <w:color w:val="000000"/>
          <w:kern w:val="0"/>
          <w:sz w:val="24"/>
          <w:szCs w:val="24"/>
          <w:lang w:bidi="ar"/>
        </w:rPr>
        <w:instrText xml:space="preserve"> SEQ Appendix_Figure \* ARABIC </w:instrText>
      </w:r>
      <w:r>
        <w:rPr>
          <w:rFonts w:hint="eastAsia" w:ascii="Times New Roman" w:hAnsi="Times New Roman" w:cs="Times New Roman" w:eastAsiaTheme="minorEastAsia"/>
          <w:b/>
          <w:bCs/>
          <w:color w:val="000000"/>
          <w:kern w:val="0"/>
          <w:sz w:val="24"/>
          <w:szCs w:val="24"/>
          <w:lang w:bidi="ar"/>
        </w:rPr>
        <w:fldChar w:fldCharType="separate"/>
      </w:r>
      <w:r>
        <w:rPr>
          <w:rFonts w:hint="eastAsia" w:ascii="Times New Roman" w:hAnsi="Times New Roman" w:cs="Times New Roman" w:eastAsiaTheme="minorEastAsia"/>
          <w:b/>
          <w:bCs/>
          <w:color w:val="000000"/>
          <w:kern w:val="0"/>
          <w:sz w:val="24"/>
          <w:szCs w:val="24"/>
          <w:lang w:bidi="ar"/>
        </w:rPr>
        <w:t>5</w:t>
      </w:r>
      <w:r>
        <w:rPr>
          <w:rFonts w:hint="eastAsia" w:ascii="Times New Roman" w:hAnsi="Times New Roman" w:cs="Times New Roman" w:eastAsiaTheme="minorEastAsia"/>
          <w:b/>
          <w:bCs/>
          <w:color w:val="000000"/>
          <w:kern w:val="0"/>
          <w:sz w:val="24"/>
          <w:szCs w:val="24"/>
          <w:lang w:bidi="ar"/>
        </w:rPr>
        <w:fldChar w:fldCharType="end"/>
      </w:r>
      <w:r>
        <w:rPr>
          <w:rFonts w:hint="eastAsia" w:ascii="Times New Roman" w:hAnsi="Times New Roman" w:cs="Times New Roman" w:eastAsiaTheme="minorEastAsia"/>
          <w:b/>
          <w:bCs/>
          <w:color w:val="000000"/>
          <w:kern w:val="0"/>
          <w:sz w:val="24"/>
          <w:szCs w:val="24"/>
          <w:lang w:bidi="ar"/>
        </w:rPr>
        <w:t xml:space="preserve"> Infectious Disease Dynamics Model</w:t>
      </w:r>
      <w:bookmarkEnd w:id="10"/>
    </w:p>
    <w:p w14:paraId="19DFE5B5">
      <w:pPr>
        <w:pStyle w:val="3"/>
        <w:rPr>
          <w:rFonts w:ascii="Times New Roman" w:hAnsi="Times New Roman" w:cs="Times New Roman"/>
        </w:rPr>
      </w:pPr>
      <w:r>
        <w:rPr>
          <w:rFonts w:ascii="Times New Roman" w:hAnsi="Times New Roman" w:cs="Times New Roman"/>
        </w:rPr>
        <w:t>Model Parameters</w:t>
      </w:r>
      <w:bookmarkEnd w:id="4"/>
    </w:p>
    <w:p w14:paraId="3D7C0847">
      <w:pPr>
        <w:pStyle w:val="4"/>
        <w:spacing w:before="0" w:after="0" w:line="480" w:lineRule="auto"/>
        <w:rPr>
          <w:rFonts w:ascii="Times New Roman" w:hAnsi="Times New Roman" w:cs="Times New Roman"/>
          <w:sz w:val="24"/>
          <w:szCs w:val="24"/>
        </w:rPr>
      </w:pPr>
      <w:bookmarkStart w:id="11" w:name="_Toc182242749"/>
      <w:r>
        <w:rPr>
          <w:rFonts w:ascii="Times New Roman" w:hAnsi="Times New Roman" w:cs="Times New Roman"/>
          <w:sz w:val="24"/>
          <w:szCs w:val="24"/>
        </w:rPr>
        <w:t>Demographic parameters</w:t>
      </w:r>
      <w:bookmarkEnd w:id="11"/>
    </w:p>
    <w:p w14:paraId="5A56561F">
      <w:pPr>
        <w:pStyle w:val="7"/>
        <w:spacing w:line="480" w:lineRule="auto"/>
        <w:ind w:firstLine="480"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The Markov model cohort simulated a total of 100,000 individuals and t</w:t>
      </w:r>
      <w:r>
        <w:rPr>
          <w:rFonts w:ascii="Times New Roman" w:hAnsi="Times New Roman" w:cs="Times New Roman" w:eastAsiaTheme="minorEastAsia"/>
          <w:sz w:val="24"/>
          <w:szCs w:val="24"/>
        </w:rPr>
        <w:t xml:space="preserve">he </w:t>
      </w:r>
      <w:r>
        <w:rPr>
          <w:rFonts w:hint="eastAsia" w:ascii="Times New Roman" w:hAnsi="Times New Roman" w:cs="Times New Roman" w:eastAsiaTheme="minorEastAsia"/>
          <w:sz w:val="24"/>
          <w:szCs w:val="24"/>
        </w:rPr>
        <w:t>i</w:t>
      </w:r>
      <w:r>
        <w:rPr>
          <w:rFonts w:ascii="Times New Roman" w:hAnsi="Times New Roman" w:cs="Times New Roman" w:eastAsiaTheme="minorEastAsia"/>
          <w:sz w:val="24"/>
          <w:szCs w:val="24"/>
        </w:rPr>
        <w:t xml:space="preserve">nfectious </w:t>
      </w:r>
      <w:r>
        <w:rPr>
          <w:rFonts w:hint="eastAsia" w:ascii="Times New Roman" w:hAnsi="Times New Roman" w:cs="Times New Roman" w:eastAsiaTheme="minorEastAsia"/>
          <w:sz w:val="24"/>
          <w:szCs w:val="24"/>
        </w:rPr>
        <w:t>d</w:t>
      </w:r>
      <w:r>
        <w:rPr>
          <w:rFonts w:ascii="Times New Roman" w:hAnsi="Times New Roman" w:cs="Times New Roman" w:eastAsiaTheme="minorEastAsia"/>
          <w:sz w:val="24"/>
          <w:szCs w:val="24"/>
        </w:rPr>
        <w:t xml:space="preserve">isease </w:t>
      </w:r>
      <w:r>
        <w:rPr>
          <w:rFonts w:hint="eastAsia" w:ascii="Times New Roman" w:hAnsi="Times New Roman" w:cs="Times New Roman" w:eastAsiaTheme="minorEastAsia"/>
          <w:sz w:val="24"/>
          <w:szCs w:val="24"/>
        </w:rPr>
        <w:t>d</w:t>
      </w:r>
      <w:r>
        <w:rPr>
          <w:rFonts w:ascii="Times New Roman" w:hAnsi="Times New Roman" w:cs="Times New Roman" w:eastAsiaTheme="minorEastAsia"/>
          <w:sz w:val="24"/>
          <w:szCs w:val="24"/>
        </w:rPr>
        <w:t>ynamics</w:t>
      </w:r>
      <w:r>
        <w:rPr>
          <w:rFonts w:hint="eastAsia" w:ascii="Times New Roman" w:hAnsi="Times New Roman" w:cs="Times New Roman" w:eastAsiaTheme="minorEastAsia"/>
          <w:sz w:val="24"/>
          <w:szCs w:val="24"/>
        </w:rPr>
        <w:t xml:space="preserve"> </w:t>
      </w:r>
      <w:r>
        <w:rPr>
          <w:rFonts w:ascii="Times New Roman" w:hAnsi="Times New Roman" w:cs="Times New Roman" w:eastAsiaTheme="minorEastAsia"/>
          <w:sz w:val="24"/>
          <w:szCs w:val="24"/>
        </w:rPr>
        <w:t>model cohort comprised a total of 30,325,000 individuals, including of 3 million susceptible individuals MSM and 325,000 MSM living with HIV</w:t>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ADDIN NE.Ref.{E2B2B6CF-C822-4B3C-ADE4-29C81092A3E4}</w:instrText>
      </w:r>
      <w:r>
        <w:rPr>
          <w:rFonts w:ascii="Times New Roman" w:hAnsi="Times New Roman" w:cs="Times New Roman" w:eastAsiaTheme="minorEastAsia"/>
          <w:sz w:val="24"/>
          <w:szCs w:val="24"/>
        </w:rPr>
        <w:fldChar w:fldCharType="separate"/>
      </w:r>
      <w:r>
        <w:rPr>
          <w:rFonts w:ascii="Times New Roman" w:hAnsi="Times New Roman" w:cs="Times New Roman"/>
          <w:color w:val="080000"/>
          <w:sz w:val="24"/>
          <w:szCs w:val="24"/>
        </w:rPr>
        <w:t>[3]</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Based on published data, there were approximately 1.3 million HIV patients in China, with MSM accounting for about 25% of this population</w:t>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ADDIN NE.Ref.{713C635D-BFAD-4CA6-9C8C-05830DC87196}</w:instrText>
      </w:r>
      <w:r>
        <w:rPr>
          <w:rFonts w:ascii="Times New Roman" w:hAnsi="Times New Roman" w:cs="Times New Roman" w:eastAsiaTheme="minorEastAsia"/>
          <w:sz w:val="24"/>
          <w:szCs w:val="24"/>
        </w:rPr>
        <w:fldChar w:fldCharType="separate"/>
      </w:r>
      <w:r>
        <w:rPr>
          <w:rFonts w:ascii="Times New Roman" w:hAnsi="Times New Roman" w:cs="Times New Roman"/>
          <w:color w:val="080000"/>
          <w:sz w:val="24"/>
          <w:szCs w:val="24"/>
        </w:rPr>
        <w:t>[4]</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The initial health state distribution, defined by CD4 count strata, was derived from clinical data analysis (</w:t>
      </w:r>
      <w:r>
        <w:rPr>
          <w:rFonts w:ascii="Times New Roman" w:hAnsi="Times New Roman" w:cs="Times New Roman" w:eastAsiaTheme="minorEastAsia"/>
          <w:b/>
          <w:bCs/>
          <w:sz w:val="24"/>
          <w:szCs w:val="24"/>
        </w:rPr>
        <w:t>Appendix Table 1</w:t>
      </w:r>
      <w:r>
        <w:rPr>
          <w:rFonts w:ascii="Times New Roman" w:hAnsi="Times New Roman" w:cs="Times New Roman" w:eastAsiaTheme="minorEastAsia"/>
          <w:sz w:val="24"/>
          <w:szCs w:val="24"/>
        </w:rPr>
        <w:t>).</w:t>
      </w:r>
    </w:p>
    <w:p w14:paraId="3D32C44B">
      <w:pPr>
        <w:pStyle w:val="7"/>
        <w:spacing w:line="480" w:lineRule="auto"/>
        <w:jc w:val="center"/>
        <w:rPr>
          <w:rFonts w:ascii="Times New Roman" w:hAnsi="Times New Roman" w:cs="Times New Roman"/>
          <w:b/>
          <w:bCs/>
          <w:sz w:val="24"/>
          <w:szCs w:val="24"/>
        </w:rPr>
      </w:pPr>
      <w:bookmarkStart w:id="12" w:name="_Toc183682225"/>
      <w:bookmarkStart w:id="13" w:name="_Toc216103911"/>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Cohort Population Characteristics—Baseline </w:t>
      </w:r>
      <w:r>
        <w:rPr>
          <w:rFonts w:hint="eastAsia" w:ascii="Times New Roman" w:hAnsi="Times New Roman" w:cs="Times New Roman"/>
          <w:b/>
          <w:bCs/>
          <w:sz w:val="24"/>
          <w:szCs w:val="24"/>
        </w:rPr>
        <w:t>CD4+ T-cell Count</w:t>
      </w:r>
      <w:r>
        <w:rPr>
          <w:rFonts w:ascii="Times New Roman" w:hAnsi="Times New Roman" w:cs="Times New Roman"/>
          <w:b/>
          <w:bCs/>
          <w:sz w:val="24"/>
          <w:szCs w:val="24"/>
        </w:rPr>
        <w:t xml:space="preserve"> Distribution</w:t>
      </w:r>
      <w:bookmarkEnd w:id="12"/>
      <w:bookmarkEnd w:id="13"/>
    </w:p>
    <w:tbl>
      <w:tblPr>
        <w:tblStyle w:val="11"/>
        <w:tblW w:w="4998" w:type="pct"/>
        <w:tblInd w:w="0" w:type="dxa"/>
        <w:tblLayout w:type="autofit"/>
        <w:tblCellMar>
          <w:top w:w="0" w:type="dxa"/>
          <w:left w:w="108" w:type="dxa"/>
          <w:bottom w:w="0" w:type="dxa"/>
          <w:right w:w="108" w:type="dxa"/>
        </w:tblCellMar>
      </w:tblPr>
      <w:tblGrid>
        <w:gridCol w:w="822"/>
        <w:gridCol w:w="1819"/>
        <w:gridCol w:w="1877"/>
        <w:gridCol w:w="1973"/>
        <w:gridCol w:w="2031"/>
      </w:tblGrid>
      <w:tr w14:paraId="1D66EA5A">
        <w:tblPrEx>
          <w:tblCellMar>
            <w:top w:w="0" w:type="dxa"/>
            <w:left w:w="108" w:type="dxa"/>
            <w:bottom w:w="0" w:type="dxa"/>
            <w:right w:w="108" w:type="dxa"/>
          </w:tblCellMar>
        </w:tblPrEx>
        <w:trPr>
          <w:trHeight w:val="300" w:hRule="atLeast"/>
        </w:trPr>
        <w:tc>
          <w:tcPr>
            <w:tcW w:w="2626" w:type="pct"/>
            <w:gridSpan w:val="3"/>
            <w:tcBorders>
              <w:top w:val="nil"/>
              <w:left w:val="nil"/>
              <w:bottom w:val="nil"/>
              <w:right w:val="nil"/>
            </w:tcBorders>
            <w:noWrap/>
            <w:vAlign w:val="center"/>
          </w:tcPr>
          <w:p w14:paraId="5FA153B3">
            <w:pPr>
              <w:widowControl/>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(A) ITT</w:t>
            </w:r>
          </w:p>
        </w:tc>
        <w:tc>
          <w:tcPr>
            <w:tcW w:w="1168" w:type="pct"/>
            <w:tcBorders>
              <w:top w:val="nil"/>
              <w:left w:val="nil"/>
              <w:bottom w:val="nil"/>
              <w:right w:val="nil"/>
            </w:tcBorders>
            <w:noWrap/>
            <w:vAlign w:val="center"/>
          </w:tcPr>
          <w:p w14:paraId="4B14EDCB">
            <w:pPr>
              <w:rPr>
                <w:rFonts w:hint="eastAsia" w:ascii="宋体" w:hAnsi="宋体" w:eastAsia="宋体" w:cs="宋体"/>
                <w:color w:val="000000"/>
                <w:sz w:val="22"/>
              </w:rPr>
            </w:pPr>
          </w:p>
        </w:tc>
        <w:tc>
          <w:tcPr>
            <w:tcW w:w="1205" w:type="pct"/>
            <w:tcBorders>
              <w:top w:val="nil"/>
              <w:left w:val="nil"/>
              <w:bottom w:val="nil"/>
              <w:right w:val="nil"/>
            </w:tcBorders>
            <w:noWrap/>
            <w:vAlign w:val="center"/>
          </w:tcPr>
          <w:p w14:paraId="7CF35092">
            <w:pPr>
              <w:rPr>
                <w:rFonts w:hint="eastAsia" w:ascii="宋体" w:hAnsi="宋体" w:eastAsia="宋体" w:cs="宋体"/>
                <w:color w:val="000000"/>
                <w:sz w:val="22"/>
              </w:rPr>
            </w:pPr>
          </w:p>
        </w:tc>
      </w:tr>
      <w:tr w14:paraId="675095E3">
        <w:tblPrEx>
          <w:tblCellMar>
            <w:top w:w="0" w:type="dxa"/>
            <w:left w:w="108" w:type="dxa"/>
            <w:bottom w:w="0" w:type="dxa"/>
            <w:right w:w="108" w:type="dxa"/>
          </w:tblCellMar>
        </w:tblPrEx>
        <w:trPr>
          <w:trHeight w:val="312" w:hRule="atLeast"/>
        </w:trPr>
        <w:tc>
          <w:tcPr>
            <w:tcW w:w="444" w:type="pct"/>
            <w:vMerge w:val="restart"/>
            <w:tcBorders>
              <w:top w:val="single" w:color="000000" w:sz="12" w:space="0"/>
              <w:left w:val="nil"/>
              <w:bottom w:val="single" w:color="000000" w:sz="8" w:space="0"/>
              <w:right w:val="nil"/>
            </w:tcBorders>
            <w:noWrap/>
            <w:vAlign w:val="center"/>
          </w:tcPr>
          <w:p w14:paraId="1039352C">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CD4+ cell counts</w:t>
            </w:r>
          </w:p>
        </w:tc>
        <w:tc>
          <w:tcPr>
            <w:tcW w:w="1072" w:type="pct"/>
            <w:vMerge w:val="restart"/>
            <w:tcBorders>
              <w:top w:val="single" w:color="000000" w:sz="12" w:space="0"/>
              <w:left w:val="nil"/>
              <w:bottom w:val="single" w:color="000000" w:sz="8" w:space="0"/>
              <w:right w:val="nil"/>
            </w:tcBorders>
            <w:noWrap/>
            <w:vAlign w:val="center"/>
          </w:tcPr>
          <w:p w14:paraId="7DB98E7B">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Rapid initiation BIC/FTC/TAF group Ratios</w:t>
            </w:r>
          </w:p>
        </w:tc>
        <w:tc>
          <w:tcPr>
            <w:tcW w:w="1109" w:type="pct"/>
            <w:vMerge w:val="restart"/>
            <w:tcBorders>
              <w:top w:val="single" w:color="000000" w:sz="12" w:space="0"/>
              <w:left w:val="nil"/>
              <w:bottom w:val="single" w:color="000000" w:sz="8" w:space="0"/>
              <w:right w:val="nil"/>
            </w:tcBorders>
            <w:noWrap/>
            <w:vAlign w:val="center"/>
          </w:tcPr>
          <w:p w14:paraId="529BF90C">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Rapid initiation EFV+TDF+3TC group Ratios</w:t>
            </w:r>
          </w:p>
        </w:tc>
        <w:tc>
          <w:tcPr>
            <w:tcW w:w="1168" w:type="pct"/>
            <w:vMerge w:val="restart"/>
            <w:tcBorders>
              <w:top w:val="single" w:color="000000" w:sz="12" w:space="0"/>
              <w:left w:val="nil"/>
              <w:bottom w:val="single" w:color="000000" w:sz="8" w:space="0"/>
              <w:right w:val="nil"/>
            </w:tcBorders>
            <w:noWrap/>
            <w:vAlign w:val="center"/>
          </w:tcPr>
          <w:p w14:paraId="44AE1EA5">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Non-rapid initiation BIC/FTC/TAF group Ratios</w:t>
            </w:r>
          </w:p>
        </w:tc>
        <w:tc>
          <w:tcPr>
            <w:tcW w:w="1205" w:type="pct"/>
            <w:vMerge w:val="restart"/>
            <w:tcBorders>
              <w:top w:val="single" w:color="000000" w:sz="12" w:space="0"/>
              <w:left w:val="nil"/>
              <w:bottom w:val="single" w:color="000000" w:sz="8" w:space="0"/>
              <w:right w:val="nil"/>
            </w:tcBorders>
            <w:noWrap/>
            <w:vAlign w:val="center"/>
          </w:tcPr>
          <w:p w14:paraId="66DA7F40">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Non-rapid initiation EFV+TDF+3TC group Ratios</w:t>
            </w:r>
          </w:p>
        </w:tc>
      </w:tr>
      <w:tr w14:paraId="08E93234">
        <w:tblPrEx>
          <w:tblCellMar>
            <w:top w:w="0" w:type="dxa"/>
            <w:left w:w="108" w:type="dxa"/>
            <w:bottom w:w="0" w:type="dxa"/>
            <w:right w:w="108" w:type="dxa"/>
          </w:tblCellMar>
        </w:tblPrEx>
        <w:trPr>
          <w:trHeight w:val="312" w:hRule="atLeast"/>
        </w:trPr>
        <w:tc>
          <w:tcPr>
            <w:tcW w:w="444" w:type="pct"/>
            <w:vMerge w:val="continue"/>
            <w:tcBorders>
              <w:top w:val="single" w:color="000000" w:sz="12" w:space="0"/>
              <w:left w:val="nil"/>
              <w:bottom w:val="single" w:color="000000" w:sz="8" w:space="0"/>
              <w:right w:val="nil"/>
            </w:tcBorders>
            <w:noWrap/>
            <w:vAlign w:val="center"/>
          </w:tcPr>
          <w:p w14:paraId="199304ED">
            <w:pPr>
              <w:jc w:val="center"/>
              <w:rPr>
                <w:rFonts w:ascii="Times New Roman" w:hAnsi="Times New Roman" w:eastAsia="宋体" w:cs="Times New Roman"/>
                <w:b/>
                <w:bCs/>
                <w:color w:val="000000"/>
                <w:sz w:val="18"/>
                <w:szCs w:val="18"/>
              </w:rPr>
            </w:pPr>
          </w:p>
        </w:tc>
        <w:tc>
          <w:tcPr>
            <w:tcW w:w="1072" w:type="pct"/>
            <w:vMerge w:val="continue"/>
            <w:tcBorders>
              <w:top w:val="single" w:color="000000" w:sz="12" w:space="0"/>
              <w:left w:val="nil"/>
              <w:bottom w:val="single" w:color="000000" w:sz="8" w:space="0"/>
              <w:right w:val="nil"/>
            </w:tcBorders>
            <w:noWrap/>
            <w:vAlign w:val="center"/>
          </w:tcPr>
          <w:p w14:paraId="3830BB4F">
            <w:pPr>
              <w:jc w:val="center"/>
              <w:rPr>
                <w:rFonts w:ascii="Times New Roman" w:hAnsi="Times New Roman" w:eastAsia="宋体" w:cs="Times New Roman"/>
                <w:b/>
                <w:bCs/>
                <w:color w:val="000000"/>
                <w:sz w:val="18"/>
                <w:szCs w:val="18"/>
              </w:rPr>
            </w:pPr>
          </w:p>
        </w:tc>
        <w:tc>
          <w:tcPr>
            <w:tcW w:w="1109" w:type="pct"/>
            <w:vMerge w:val="continue"/>
            <w:tcBorders>
              <w:top w:val="single" w:color="000000" w:sz="12" w:space="0"/>
              <w:left w:val="nil"/>
              <w:bottom w:val="single" w:color="000000" w:sz="8" w:space="0"/>
              <w:right w:val="nil"/>
            </w:tcBorders>
            <w:noWrap/>
            <w:vAlign w:val="center"/>
          </w:tcPr>
          <w:p w14:paraId="408E9CEB">
            <w:pPr>
              <w:jc w:val="center"/>
              <w:rPr>
                <w:rFonts w:ascii="Times New Roman" w:hAnsi="Times New Roman" w:eastAsia="宋体" w:cs="Times New Roman"/>
                <w:b/>
                <w:bCs/>
                <w:color w:val="000000"/>
                <w:sz w:val="18"/>
                <w:szCs w:val="18"/>
              </w:rPr>
            </w:pPr>
          </w:p>
        </w:tc>
        <w:tc>
          <w:tcPr>
            <w:tcW w:w="1168" w:type="pct"/>
            <w:vMerge w:val="continue"/>
            <w:tcBorders>
              <w:top w:val="single" w:color="000000" w:sz="12" w:space="0"/>
              <w:left w:val="nil"/>
              <w:bottom w:val="single" w:color="000000" w:sz="8" w:space="0"/>
              <w:right w:val="nil"/>
            </w:tcBorders>
            <w:noWrap/>
            <w:vAlign w:val="center"/>
          </w:tcPr>
          <w:p w14:paraId="3A26A755">
            <w:pPr>
              <w:jc w:val="center"/>
              <w:rPr>
                <w:rFonts w:ascii="Times New Roman" w:hAnsi="Times New Roman" w:eastAsia="宋体" w:cs="Times New Roman"/>
                <w:b/>
                <w:bCs/>
                <w:color w:val="000000"/>
                <w:sz w:val="18"/>
                <w:szCs w:val="18"/>
              </w:rPr>
            </w:pPr>
          </w:p>
        </w:tc>
        <w:tc>
          <w:tcPr>
            <w:tcW w:w="1205" w:type="pct"/>
            <w:vMerge w:val="continue"/>
            <w:tcBorders>
              <w:top w:val="single" w:color="000000" w:sz="12" w:space="0"/>
              <w:left w:val="nil"/>
              <w:bottom w:val="single" w:color="000000" w:sz="8" w:space="0"/>
              <w:right w:val="nil"/>
            </w:tcBorders>
            <w:noWrap/>
            <w:vAlign w:val="center"/>
          </w:tcPr>
          <w:p w14:paraId="77EE380D">
            <w:pPr>
              <w:jc w:val="center"/>
              <w:rPr>
                <w:rFonts w:ascii="Times New Roman" w:hAnsi="Times New Roman" w:eastAsia="宋体" w:cs="Times New Roman"/>
                <w:b/>
                <w:bCs/>
                <w:color w:val="000000"/>
                <w:sz w:val="18"/>
                <w:szCs w:val="18"/>
              </w:rPr>
            </w:pPr>
          </w:p>
        </w:tc>
      </w:tr>
      <w:tr w14:paraId="6E89E337">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7537A28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CD4&gt;500</w:t>
            </w:r>
          </w:p>
        </w:tc>
        <w:tc>
          <w:tcPr>
            <w:tcW w:w="1072" w:type="pct"/>
            <w:tcBorders>
              <w:top w:val="nil"/>
              <w:left w:val="nil"/>
              <w:bottom w:val="nil"/>
              <w:right w:val="nil"/>
            </w:tcBorders>
            <w:noWrap/>
            <w:vAlign w:val="center"/>
          </w:tcPr>
          <w:p w14:paraId="7262B9E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75.43%</w:t>
            </w:r>
          </w:p>
        </w:tc>
        <w:tc>
          <w:tcPr>
            <w:tcW w:w="1109" w:type="pct"/>
            <w:tcBorders>
              <w:top w:val="nil"/>
              <w:left w:val="nil"/>
              <w:bottom w:val="nil"/>
              <w:right w:val="nil"/>
            </w:tcBorders>
            <w:noWrap/>
            <w:vAlign w:val="center"/>
          </w:tcPr>
          <w:p w14:paraId="5082E13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71.85%</w:t>
            </w:r>
          </w:p>
        </w:tc>
        <w:tc>
          <w:tcPr>
            <w:tcW w:w="1168" w:type="pct"/>
            <w:tcBorders>
              <w:top w:val="nil"/>
              <w:left w:val="nil"/>
              <w:bottom w:val="nil"/>
              <w:right w:val="nil"/>
            </w:tcBorders>
            <w:noWrap/>
            <w:vAlign w:val="center"/>
          </w:tcPr>
          <w:p w14:paraId="480685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76.72%</w:t>
            </w:r>
          </w:p>
        </w:tc>
        <w:tc>
          <w:tcPr>
            <w:tcW w:w="1205" w:type="pct"/>
            <w:tcBorders>
              <w:top w:val="nil"/>
              <w:left w:val="nil"/>
              <w:bottom w:val="nil"/>
              <w:right w:val="nil"/>
            </w:tcBorders>
            <w:noWrap/>
            <w:vAlign w:val="center"/>
          </w:tcPr>
          <w:p w14:paraId="3D43D6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29.53%</w:t>
            </w:r>
          </w:p>
        </w:tc>
      </w:tr>
      <w:tr w14:paraId="69B5E1FC">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3ADE9D9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CD4&gt;350</w:t>
            </w:r>
          </w:p>
        </w:tc>
        <w:tc>
          <w:tcPr>
            <w:tcW w:w="1072" w:type="pct"/>
            <w:tcBorders>
              <w:top w:val="nil"/>
              <w:left w:val="nil"/>
              <w:bottom w:val="nil"/>
              <w:right w:val="nil"/>
            </w:tcBorders>
            <w:noWrap/>
            <w:vAlign w:val="center"/>
          </w:tcPr>
          <w:p w14:paraId="095026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14.26%</w:t>
            </w:r>
          </w:p>
        </w:tc>
        <w:tc>
          <w:tcPr>
            <w:tcW w:w="1109" w:type="pct"/>
            <w:tcBorders>
              <w:top w:val="nil"/>
              <w:left w:val="nil"/>
              <w:bottom w:val="nil"/>
              <w:right w:val="nil"/>
            </w:tcBorders>
            <w:noWrap/>
            <w:vAlign w:val="center"/>
          </w:tcPr>
          <w:p w14:paraId="62E1363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21.98%</w:t>
            </w:r>
          </w:p>
        </w:tc>
        <w:tc>
          <w:tcPr>
            <w:tcW w:w="1168" w:type="pct"/>
            <w:tcBorders>
              <w:top w:val="nil"/>
              <w:left w:val="nil"/>
              <w:bottom w:val="nil"/>
              <w:right w:val="nil"/>
            </w:tcBorders>
            <w:noWrap/>
            <w:vAlign w:val="center"/>
          </w:tcPr>
          <w:p w14:paraId="74E9CDA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12.36%</w:t>
            </w:r>
          </w:p>
        </w:tc>
        <w:tc>
          <w:tcPr>
            <w:tcW w:w="1205" w:type="pct"/>
            <w:tcBorders>
              <w:top w:val="nil"/>
              <w:left w:val="nil"/>
              <w:bottom w:val="nil"/>
              <w:right w:val="nil"/>
            </w:tcBorders>
            <w:noWrap/>
            <w:vAlign w:val="center"/>
          </w:tcPr>
          <w:p w14:paraId="488321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56.71%</w:t>
            </w:r>
          </w:p>
        </w:tc>
      </w:tr>
      <w:tr w14:paraId="4C47BDA3">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01AB793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CD4&gt;200</w:t>
            </w:r>
          </w:p>
        </w:tc>
        <w:tc>
          <w:tcPr>
            <w:tcW w:w="1072" w:type="pct"/>
            <w:tcBorders>
              <w:top w:val="nil"/>
              <w:left w:val="nil"/>
              <w:bottom w:val="nil"/>
              <w:right w:val="nil"/>
            </w:tcBorders>
            <w:noWrap/>
            <w:vAlign w:val="center"/>
          </w:tcPr>
          <w:p w14:paraId="2A54C4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8.98%</w:t>
            </w:r>
          </w:p>
        </w:tc>
        <w:tc>
          <w:tcPr>
            <w:tcW w:w="1109" w:type="pct"/>
            <w:tcBorders>
              <w:top w:val="nil"/>
              <w:left w:val="nil"/>
              <w:bottom w:val="nil"/>
              <w:right w:val="nil"/>
            </w:tcBorders>
            <w:noWrap/>
            <w:vAlign w:val="center"/>
          </w:tcPr>
          <w:p w14:paraId="11029CA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3.83%</w:t>
            </w:r>
          </w:p>
        </w:tc>
        <w:tc>
          <w:tcPr>
            <w:tcW w:w="1168" w:type="pct"/>
            <w:tcBorders>
              <w:top w:val="nil"/>
              <w:left w:val="nil"/>
              <w:bottom w:val="nil"/>
              <w:right w:val="nil"/>
            </w:tcBorders>
            <w:noWrap/>
            <w:vAlign w:val="center"/>
          </w:tcPr>
          <w:p w14:paraId="2C4131E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7.61%</w:t>
            </w:r>
          </w:p>
        </w:tc>
        <w:tc>
          <w:tcPr>
            <w:tcW w:w="1205" w:type="pct"/>
            <w:tcBorders>
              <w:top w:val="nil"/>
              <w:left w:val="nil"/>
              <w:bottom w:val="nil"/>
              <w:right w:val="nil"/>
            </w:tcBorders>
            <w:noWrap/>
            <w:vAlign w:val="center"/>
          </w:tcPr>
          <w:p w14:paraId="5C232B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10.74%</w:t>
            </w:r>
          </w:p>
        </w:tc>
      </w:tr>
      <w:tr w14:paraId="5FDC8E65">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7742F9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CD4&gt;100</w:t>
            </w:r>
          </w:p>
        </w:tc>
        <w:tc>
          <w:tcPr>
            <w:tcW w:w="1072" w:type="pct"/>
            <w:tcBorders>
              <w:top w:val="nil"/>
              <w:left w:val="nil"/>
              <w:bottom w:val="nil"/>
              <w:right w:val="nil"/>
            </w:tcBorders>
            <w:noWrap/>
            <w:vAlign w:val="center"/>
          </w:tcPr>
          <w:p w14:paraId="5F700A3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1.33%</w:t>
            </w:r>
          </w:p>
        </w:tc>
        <w:tc>
          <w:tcPr>
            <w:tcW w:w="1109" w:type="pct"/>
            <w:tcBorders>
              <w:top w:val="nil"/>
              <w:left w:val="nil"/>
              <w:bottom w:val="nil"/>
              <w:right w:val="nil"/>
            </w:tcBorders>
            <w:noWrap/>
            <w:vAlign w:val="center"/>
          </w:tcPr>
          <w:p w14:paraId="6844500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2.34%</w:t>
            </w:r>
          </w:p>
        </w:tc>
        <w:tc>
          <w:tcPr>
            <w:tcW w:w="1168" w:type="pct"/>
            <w:tcBorders>
              <w:top w:val="nil"/>
              <w:left w:val="nil"/>
              <w:bottom w:val="nil"/>
              <w:right w:val="nil"/>
            </w:tcBorders>
            <w:noWrap/>
            <w:vAlign w:val="center"/>
          </w:tcPr>
          <w:p w14:paraId="1FBEB59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3.31%</w:t>
            </w:r>
          </w:p>
        </w:tc>
        <w:tc>
          <w:tcPr>
            <w:tcW w:w="1205" w:type="pct"/>
            <w:tcBorders>
              <w:top w:val="nil"/>
              <w:left w:val="nil"/>
              <w:bottom w:val="nil"/>
              <w:right w:val="nil"/>
            </w:tcBorders>
            <w:noWrap/>
            <w:vAlign w:val="center"/>
          </w:tcPr>
          <w:p w14:paraId="72486F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3.02%</w:t>
            </w:r>
          </w:p>
        </w:tc>
      </w:tr>
      <w:tr w14:paraId="3933F0F0">
        <w:tblPrEx>
          <w:tblCellMar>
            <w:top w:w="0" w:type="dxa"/>
            <w:left w:w="108" w:type="dxa"/>
            <w:bottom w:w="0" w:type="dxa"/>
            <w:right w:w="108" w:type="dxa"/>
          </w:tblCellMar>
        </w:tblPrEx>
        <w:trPr>
          <w:trHeight w:val="270" w:hRule="atLeast"/>
        </w:trPr>
        <w:tc>
          <w:tcPr>
            <w:tcW w:w="444" w:type="pct"/>
            <w:tcBorders>
              <w:top w:val="nil"/>
              <w:left w:val="nil"/>
              <w:bottom w:val="single" w:color="000000" w:sz="12" w:space="0"/>
              <w:right w:val="nil"/>
            </w:tcBorders>
            <w:noWrap/>
            <w:vAlign w:val="center"/>
          </w:tcPr>
          <w:p w14:paraId="2B4F9C1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CD4&lt;100</w:t>
            </w:r>
          </w:p>
        </w:tc>
        <w:tc>
          <w:tcPr>
            <w:tcW w:w="1072" w:type="pct"/>
            <w:tcBorders>
              <w:top w:val="nil"/>
              <w:left w:val="nil"/>
              <w:bottom w:val="single" w:color="000000" w:sz="12" w:space="0"/>
              <w:right w:val="nil"/>
            </w:tcBorders>
            <w:noWrap/>
            <w:vAlign w:val="center"/>
          </w:tcPr>
          <w:p w14:paraId="28252C8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09" w:type="pct"/>
            <w:tcBorders>
              <w:top w:val="nil"/>
              <w:left w:val="nil"/>
              <w:bottom w:val="single" w:color="000000" w:sz="12" w:space="0"/>
              <w:right w:val="nil"/>
            </w:tcBorders>
            <w:noWrap/>
            <w:vAlign w:val="center"/>
          </w:tcPr>
          <w:p w14:paraId="3529F3A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68" w:type="pct"/>
            <w:tcBorders>
              <w:top w:val="nil"/>
              <w:left w:val="nil"/>
              <w:bottom w:val="single" w:color="000000" w:sz="12" w:space="0"/>
              <w:right w:val="nil"/>
            </w:tcBorders>
            <w:noWrap/>
            <w:vAlign w:val="center"/>
          </w:tcPr>
          <w:p w14:paraId="257572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205" w:type="pct"/>
            <w:tcBorders>
              <w:top w:val="nil"/>
              <w:left w:val="nil"/>
              <w:bottom w:val="single" w:color="000000" w:sz="12" w:space="0"/>
              <w:right w:val="nil"/>
            </w:tcBorders>
            <w:noWrap/>
            <w:vAlign w:val="center"/>
          </w:tcPr>
          <w:p w14:paraId="25AB56F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r>
      <w:tr w14:paraId="7AB7DDEE">
        <w:tblPrEx>
          <w:tblCellMar>
            <w:top w:w="0" w:type="dxa"/>
            <w:left w:w="108" w:type="dxa"/>
            <w:bottom w:w="0" w:type="dxa"/>
            <w:right w:w="108" w:type="dxa"/>
          </w:tblCellMar>
        </w:tblPrEx>
        <w:trPr>
          <w:trHeight w:val="315" w:hRule="atLeast"/>
        </w:trPr>
        <w:tc>
          <w:tcPr>
            <w:tcW w:w="2626" w:type="pct"/>
            <w:gridSpan w:val="3"/>
            <w:tcBorders>
              <w:top w:val="nil"/>
              <w:left w:val="nil"/>
              <w:bottom w:val="nil"/>
              <w:right w:val="nil"/>
            </w:tcBorders>
            <w:noWrap/>
            <w:vAlign w:val="center"/>
          </w:tcPr>
          <w:p w14:paraId="18AEEB4D">
            <w:pPr>
              <w:widowControl/>
              <w:numPr>
                <w:ilvl w:val="0"/>
                <w:numId w:val="2"/>
              </w:numPr>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PP</w:t>
            </w:r>
          </w:p>
        </w:tc>
        <w:tc>
          <w:tcPr>
            <w:tcW w:w="1168" w:type="pct"/>
            <w:tcBorders>
              <w:top w:val="nil"/>
              <w:left w:val="nil"/>
              <w:bottom w:val="nil"/>
              <w:right w:val="nil"/>
            </w:tcBorders>
            <w:noWrap/>
            <w:vAlign w:val="center"/>
          </w:tcPr>
          <w:p w14:paraId="0985A0B9">
            <w:pPr>
              <w:rPr>
                <w:rFonts w:hint="eastAsia" w:ascii="宋体" w:hAnsi="宋体" w:eastAsia="宋体" w:cs="宋体"/>
                <w:color w:val="000000"/>
                <w:sz w:val="22"/>
              </w:rPr>
            </w:pPr>
          </w:p>
        </w:tc>
        <w:tc>
          <w:tcPr>
            <w:tcW w:w="1205" w:type="pct"/>
            <w:tcBorders>
              <w:top w:val="nil"/>
              <w:left w:val="nil"/>
              <w:bottom w:val="nil"/>
              <w:right w:val="nil"/>
            </w:tcBorders>
            <w:noWrap/>
            <w:vAlign w:val="center"/>
          </w:tcPr>
          <w:p w14:paraId="66739213">
            <w:pPr>
              <w:rPr>
                <w:rFonts w:hint="eastAsia" w:ascii="宋体" w:hAnsi="宋体" w:eastAsia="宋体" w:cs="宋体"/>
                <w:color w:val="000000"/>
                <w:sz w:val="22"/>
              </w:rPr>
            </w:pPr>
          </w:p>
        </w:tc>
      </w:tr>
      <w:tr w14:paraId="6EAA82CB">
        <w:tblPrEx>
          <w:tblCellMar>
            <w:top w:w="0" w:type="dxa"/>
            <w:left w:w="108" w:type="dxa"/>
            <w:bottom w:w="0" w:type="dxa"/>
            <w:right w:w="108" w:type="dxa"/>
          </w:tblCellMar>
        </w:tblPrEx>
        <w:trPr>
          <w:trHeight w:val="312" w:hRule="atLeast"/>
        </w:trPr>
        <w:tc>
          <w:tcPr>
            <w:tcW w:w="444" w:type="pct"/>
            <w:vMerge w:val="restart"/>
            <w:tcBorders>
              <w:top w:val="single" w:color="000000" w:sz="12" w:space="0"/>
              <w:left w:val="nil"/>
              <w:bottom w:val="single" w:color="000000" w:sz="8" w:space="0"/>
              <w:right w:val="nil"/>
            </w:tcBorders>
            <w:noWrap/>
            <w:vAlign w:val="center"/>
          </w:tcPr>
          <w:p w14:paraId="7AC9FD67">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CD4+ cell counts</w:t>
            </w:r>
          </w:p>
        </w:tc>
        <w:tc>
          <w:tcPr>
            <w:tcW w:w="1072" w:type="pct"/>
            <w:vMerge w:val="restart"/>
            <w:tcBorders>
              <w:top w:val="single" w:color="000000" w:sz="12" w:space="0"/>
              <w:left w:val="nil"/>
              <w:bottom w:val="single" w:color="000000" w:sz="8" w:space="0"/>
              <w:right w:val="nil"/>
            </w:tcBorders>
            <w:noWrap/>
            <w:vAlign w:val="center"/>
          </w:tcPr>
          <w:p w14:paraId="320B41B2">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Rapid initiation BIC/FTC/TAF group Ratios</w:t>
            </w:r>
          </w:p>
        </w:tc>
        <w:tc>
          <w:tcPr>
            <w:tcW w:w="1109" w:type="pct"/>
            <w:vMerge w:val="restart"/>
            <w:tcBorders>
              <w:top w:val="single" w:color="000000" w:sz="12" w:space="0"/>
              <w:left w:val="nil"/>
              <w:bottom w:val="single" w:color="000000" w:sz="8" w:space="0"/>
              <w:right w:val="nil"/>
            </w:tcBorders>
            <w:noWrap/>
            <w:vAlign w:val="center"/>
          </w:tcPr>
          <w:p w14:paraId="74E40514">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Rapid initiation EFV+TDF+3TC group Ratios</w:t>
            </w:r>
          </w:p>
        </w:tc>
        <w:tc>
          <w:tcPr>
            <w:tcW w:w="1168" w:type="pct"/>
            <w:vMerge w:val="restart"/>
            <w:tcBorders>
              <w:top w:val="single" w:color="000000" w:sz="12" w:space="0"/>
              <w:left w:val="nil"/>
              <w:bottom w:val="single" w:color="000000" w:sz="8" w:space="0"/>
              <w:right w:val="nil"/>
            </w:tcBorders>
            <w:noWrap/>
            <w:vAlign w:val="center"/>
          </w:tcPr>
          <w:p w14:paraId="6AA3D20A">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Non-rapid initiation BIC/FTC/TAF group Ratios</w:t>
            </w:r>
          </w:p>
        </w:tc>
        <w:tc>
          <w:tcPr>
            <w:tcW w:w="1205" w:type="pct"/>
            <w:vMerge w:val="restart"/>
            <w:tcBorders>
              <w:top w:val="single" w:color="000000" w:sz="12" w:space="0"/>
              <w:left w:val="nil"/>
              <w:bottom w:val="single" w:color="000000" w:sz="8" w:space="0"/>
              <w:right w:val="nil"/>
            </w:tcBorders>
            <w:noWrap/>
            <w:vAlign w:val="center"/>
          </w:tcPr>
          <w:p w14:paraId="29BDBA8D">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Non-rapid initiation EFV+TDF+3TC group Ratios</w:t>
            </w:r>
          </w:p>
        </w:tc>
      </w:tr>
      <w:tr w14:paraId="3EF0B0E3">
        <w:tblPrEx>
          <w:tblCellMar>
            <w:top w:w="0" w:type="dxa"/>
            <w:left w:w="108" w:type="dxa"/>
            <w:bottom w:w="0" w:type="dxa"/>
            <w:right w:w="108" w:type="dxa"/>
          </w:tblCellMar>
        </w:tblPrEx>
        <w:trPr>
          <w:trHeight w:val="312" w:hRule="atLeast"/>
        </w:trPr>
        <w:tc>
          <w:tcPr>
            <w:tcW w:w="444" w:type="pct"/>
            <w:vMerge w:val="continue"/>
            <w:tcBorders>
              <w:top w:val="single" w:color="000000" w:sz="12" w:space="0"/>
              <w:left w:val="nil"/>
              <w:bottom w:val="single" w:color="000000" w:sz="8" w:space="0"/>
              <w:right w:val="nil"/>
            </w:tcBorders>
            <w:noWrap/>
            <w:vAlign w:val="center"/>
          </w:tcPr>
          <w:p w14:paraId="1E68A234">
            <w:pPr>
              <w:jc w:val="center"/>
              <w:rPr>
                <w:rFonts w:ascii="Times New Roman" w:hAnsi="Times New Roman" w:eastAsia="宋体" w:cs="Times New Roman"/>
                <w:b/>
                <w:bCs/>
                <w:color w:val="000000"/>
                <w:sz w:val="18"/>
                <w:szCs w:val="18"/>
              </w:rPr>
            </w:pPr>
          </w:p>
        </w:tc>
        <w:tc>
          <w:tcPr>
            <w:tcW w:w="1072" w:type="pct"/>
            <w:vMerge w:val="continue"/>
            <w:tcBorders>
              <w:top w:val="single" w:color="000000" w:sz="12" w:space="0"/>
              <w:left w:val="nil"/>
              <w:bottom w:val="single" w:color="000000" w:sz="8" w:space="0"/>
              <w:right w:val="nil"/>
            </w:tcBorders>
            <w:noWrap/>
            <w:vAlign w:val="center"/>
          </w:tcPr>
          <w:p w14:paraId="2F23737E">
            <w:pPr>
              <w:jc w:val="center"/>
              <w:rPr>
                <w:rFonts w:ascii="Times New Roman" w:hAnsi="Times New Roman" w:eastAsia="宋体" w:cs="Times New Roman"/>
                <w:b/>
                <w:bCs/>
                <w:color w:val="000000"/>
                <w:sz w:val="18"/>
                <w:szCs w:val="18"/>
              </w:rPr>
            </w:pPr>
          </w:p>
        </w:tc>
        <w:tc>
          <w:tcPr>
            <w:tcW w:w="1109" w:type="pct"/>
            <w:vMerge w:val="continue"/>
            <w:tcBorders>
              <w:top w:val="single" w:color="000000" w:sz="12" w:space="0"/>
              <w:left w:val="nil"/>
              <w:bottom w:val="single" w:color="000000" w:sz="8" w:space="0"/>
              <w:right w:val="nil"/>
            </w:tcBorders>
            <w:noWrap/>
            <w:vAlign w:val="center"/>
          </w:tcPr>
          <w:p w14:paraId="7E127100">
            <w:pPr>
              <w:jc w:val="center"/>
              <w:rPr>
                <w:rFonts w:ascii="Times New Roman" w:hAnsi="Times New Roman" w:eastAsia="宋体" w:cs="Times New Roman"/>
                <w:b/>
                <w:bCs/>
                <w:color w:val="000000"/>
                <w:sz w:val="18"/>
                <w:szCs w:val="18"/>
              </w:rPr>
            </w:pPr>
          </w:p>
        </w:tc>
        <w:tc>
          <w:tcPr>
            <w:tcW w:w="1168" w:type="pct"/>
            <w:vMerge w:val="continue"/>
            <w:tcBorders>
              <w:top w:val="single" w:color="000000" w:sz="12" w:space="0"/>
              <w:left w:val="nil"/>
              <w:bottom w:val="single" w:color="000000" w:sz="8" w:space="0"/>
              <w:right w:val="nil"/>
            </w:tcBorders>
            <w:noWrap/>
            <w:vAlign w:val="center"/>
          </w:tcPr>
          <w:p w14:paraId="2486111A">
            <w:pPr>
              <w:jc w:val="center"/>
              <w:rPr>
                <w:rFonts w:ascii="Times New Roman" w:hAnsi="Times New Roman" w:eastAsia="宋体" w:cs="Times New Roman"/>
                <w:b/>
                <w:bCs/>
                <w:color w:val="000000"/>
                <w:sz w:val="18"/>
                <w:szCs w:val="18"/>
              </w:rPr>
            </w:pPr>
          </w:p>
        </w:tc>
        <w:tc>
          <w:tcPr>
            <w:tcW w:w="1205" w:type="pct"/>
            <w:vMerge w:val="continue"/>
            <w:tcBorders>
              <w:top w:val="single" w:color="000000" w:sz="12" w:space="0"/>
              <w:left w:val="nil"/>
              <w:bottom w:val="single" w:color="000000" w:sz="8" w:space="0"/>
              <w:right w:val="nil"/>
            </w:tcBorders>
            <w:noWrap/>
            <w:vAlign w:val="center"/>
          </w:tcPr>
          <w:p w14:paraId="464ACEEA">
            <w:pPr>
              <w:jc w:val="center"/>
              <w:rPr>
                <w:rFonts w:ascii="Times New Roman" w:hAnsi="Times New Roman" w:eastAsia="宋体" w:cs="Times New Roman"/>
                <w:b/>
                <w:bCs/>
                <w:color w:val="000000"/>
                <w:sz w:val="18"/>
                <w:szCs w:val="18"/>
              </w:rPr>
            </w:pPr>
          </w:p>
        </w:tc>
      </w:tr>
      <w:tr w14:paraId="227F4C8A">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32BED20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CD4&gt;500</w:t>
            </w:r>
          </w:p>
        </w:tc>
        <w:tc>
          <w:tcPr>
            <w:tcW w:w="1072" w:type="pct"/>
            <w:tcBorders>
              <w:top w:val="nil"/>
              <w:left w:val="nil"/>
              <w:bottom w:val="nil"/>
              <w:right w:val="nil"/>
            </w:tcBorders>
            <w:noWrap/>
            <w:vAlign w:val="center"/>
          </w:tcPr>
          <w:p w14:paraId="5D8D11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76.79%</w:t>
            </w:r>
          </w:p>
        </w:tc>
        <w:tc>
          <w:tcPr>
            <w:tcW w:w="1109" w:type="pct"/>
            <w:tcBorders>
              <w:top w:val="nil"/>
              <w:left w:val="nil"/>
              <w:bottom w:val="nil"/>
              <w:right w:val="nil"/>
            </w:tcBorders>
            <w:noWrap/>
            <w:vAlign w:val="center"/>
          </w:tcPr>
          <w:p w14:paraId="07E6CC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75.61%</w:t>
            </w:r>
          </w:p>
        </w:tc>
        <w:tc>
          <w:tcPr>
            <w:tcW w:w="1168" w:type="pct"/>
            <w:tcBorders>
              <w:top w:val="nil"/>
              <w:left w:val="nil"/>
              <w:bottom w:val="nil"/>
              <w:right w:val="nil"/>
            </w:tcBorders>
            <w:noWrap/>
            <w:vAlign w:val="center"/>
          </w:tcPr>
          <w:p w14:paraId="3C45DD4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74.07%</w:t>
            </w:r>
          </w:p>
        </w:tc>
        <w:tc>
          <w:tcPr>
            <w:tcW w:w="1205" w:type="pct"/>
            <w:tcBorders>
              <w:top w:val="nil"/>
              <w:left w:val="nil"/>
              <w:bottom w:val="nil"/>
              <w:right w:val="nil"/>
            </w:tcBorders>
            <w:noWrap/>
            <w:vAlign w:val="center"/>
          </w:tcPr>
          <w:p w14:paraId="5F462E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25.35%</w:t>
            </w:r>
          </w:p>
        </w:tc>
      </w:tr>
      <w:tr w14:paraId="3AFBF07D">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08A8159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CD4&gt;350</w:t>
            </w:r>
          </w:p>
        </w:tc>
        <w:tc>
          <w:tcPr>
            <w:tcW w:w="1072" w:type="pct"/>
            <w:tcBorders>
              <w:top w:val="nil"/>
              <w:left w:val="nil"/>
              <w:bottom w:val="nil"/>
              <w:right w:val="nil"/>
            </w:tcBorders>
            <w:noWrap/>
            <w:vAlign w:val="center"/>
          </w:tcPr>
          <w:p w14:paraId="3350F1F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16.07%</w:t>
            </w:r>
          </w:p>
        </w:tc>
        <w:tc>
          <w:tcPr>
            <w:tcW w:w="1109" w:type="pct"/>
            <w:tcBorders>
              <w:top w:val="nil"/>
              <w:left w:val="nil"/>
              <w:bottom w:val="nil"/>
              <w:right w:val="nil"/>
            </w:tcBorders>
            <w:noWrap/>
            <w:vAlign w:val="center"/>
          </w:tcPr>
          <w:p w14:paraId="435F355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19.51%</w:t>
            </w:r>
          </w:p>
        </w:tc>
        <w:tc>
          <w:tcPr>
            <w:tcW w:w="1168" w:type="pct"/>
            <w:tcBorders>
              <w:top w:val="nil"/>
              <w:left w:val="nil"/>
              <w:bottom w:val="nil"/>
              <w:right w:val="nil"/>
            </w:tcBorders>
            <w:noWrap/>
            <w:vAlign w:val="center"/>
          </w:tcPr>
          <w:p w14:paraId="368F50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14.81%</w:t>
            </w:r>
          </w:p>
        </w:tc>
        <w:tc>
          <w:tcPr>
            <w:tcW w:w="1205" w:type="pct"/>
            <w:tcBorders>
              <w:top w:val="nil"/>
              <w:left w:val="nil"/>
              <w:bottom w:val="nil"/>
              <w:right w:val="nil"/>
            </w:tcBorders>
            <w:noWrap/>
            <w:vAlign w:val="center"/>
          </w:tcPr>
          <w:p w14:paraId="331155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57.75%</w:t>
            </w:r>
          </w:p>
        </w:tc>
      </w:tr>
      <w:tr w14:paraId="4B28F46C">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6E45BDE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CD4&gt;200</w:t>
            </w:r>
          </w:p>
        </w:tc>
        <w:tc>
          <w:tcPr>
            <w:tcW w:w="1072" w:type="pct"/>
            <w:tcBorders>
              <w:top w:val="nil"/>
              <w:left w:val="nil"/>
              <w:bottom w:val="nil"/>
              <w:right w:val="nil"/>
            </w:tcBorders>
            <w:noWrap/>
            <w:vAlign w:val="center"/>
          </w:tcPr>
          <w:p w14:paraId="049346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7.14%</w:t>
            </w:r>
          </w:p>
        </w:tc>
        <w:tc>
          <w:tcPr>
            <w:tcW w:w="1109" w:type="pct"/>
            <w:tcBorders>
              <w:top w:val="nil"/>
              <w:left w:val="nil"/>
              <w:bottom w:val="nil"/>
              <w:right w:val="nil"/>
            </w:tcBorders>
            <w:noWrap/>
            <w:vAlign w:val="center"/>
          </w:tcPr>
          <w:p w14:paraId="210822D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4.88%</w:t>
            </w:r>
          </w:p>
        </w:tc>
        <w:tc>
          <w:tcPr>
            <w:tcW w:w="1168" w:type="pct"/>
            <w:tcBorders>
              <w:top w:val="nil"/>
              <w:left w:val="nil"/>
              <w:bottom w:val="nil"/>
              <w:right w:val="nil"/>
            </w:tcBorders>
            <w:noWrap/>
            <w:vAlign w:val="center"/>
          </w:tcPr>
          <w:p w14:paraId="502D61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7.41%</w:t>
            </w:r>
          </w:p>
        </w:tc>
        <w:tc>
          <w:tcPr>
            <w:tcW w:w="1205" w:type="pct"/>
            <w:tcBorders>
              <w:top w:val="nil"/>
              <w:left w:val="nil"/>
              <w:bottom w:val="nil"/>
              <w:right w:val="nil"/>
            </w:tcBorders>
            <w:noWrap/>
            <w:vAlign w:val="center"/>
          </w:tcPr>
          <w:p w14:paraId="7814A5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12.68%</w:t>
            </w:r>
          </w:p>
        </w:tc>
      </w:tr>
      <w:tr w14:paraId="612714EA">
        <w:tblPrEx>
          <w:tblCellMar>
            <w:top w:w="0" w:type="dxa"/>
            <w:left w:w="108" w:type="dxa"/>
            <w:bottom w:w="0" w:type="dxa"/>
            <w:right w:w="108" w:type="dxa"/>
          </w:tblCellMar>
        </w:tblPrEx>
        <w:trPr>
          <w:trHeight w:val="270" w:hRule="atLeast"/>
        </w:trPr>
        <w:tc>
          <w:tcPr>
            <w:tcW w:w="444" w:type="pct"/>
            <w:tcBorders>
              <w:top w:val="nil"/>
              <w:left w:val="nil"/>
              <w:bottom w:val="nil"/>
              <w:right w:val="nil"/>
            </w:tcBorders>
            <w:noWrap/>
            <w:vAlign w:val="center"/>
          </w:tcPr>
          <w:p w14:paraId="7D35BC5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CD4&gt;100</w:t>
            </w:r>
          </w:p>
        </w:tc>
        <w:tc>
          <w:tcPr>
            <w:tcW w:w="1072" w:type="pct"/>
            <w:tcBorders>
              <w:top w:val="nil"/>
              <w:left w:val="nil"/>
              <w:bottom w:val="nil"/>
              <w:right w:val="nil"/>
            </w:tcBorders>
            <w:noWrap/>
            <w:vAlign w:val="center"/>
          </w:tcPr>
          <w:p w14:paraId="1187E9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09" w:type="pct"/>
            <w:tcBorders>
              <w:top w:val="nil"/>
              <w:left w:val="nil"/>
              <w:bottom w:val="nil"/>
              <w:right w:val="nil"/>
            </w:tcBorders>
            <w:noWrap/>
            <w:vAlign w:val="center"/>
          </w:tcPr>
          <w:p w14:paraId="2609D9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68" w:type="pct"/>
            <w:tcBorders>
              <w:top w:val="nil"/>
              <w:left w:val="nil"/>
              <w:bottom w:val="nil"/>
              <w:right w:val="nil"/>
            </w:tcBorders>
            <w:noWrap/>
            <w:vAlign w:val="center"/>
          </w:tcPr>
          <w:p w14:paraId="62EF1E1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3.70%</w:t>
            </w:r>
          </w:p>
        </w:tc>
        <w:tc>
          <w:tcPr>
            <w:tcW w:w="1205" w:type="pct"/>
            <w:tcBorders>
              <w:top w:val="nil"/>
              <w:left w:val="nil"/>
              <w:bottom w:val="nil"/>
              <w:right w:val="nil"/>
            </w:tcBorders>
            <w:noWrap/>
            <w:vAlign w:val="center"/>
          </w:tcPr>
          <w:p w14:paraId="0A61B34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4.23%</w:t>
            </w:r>
          </w:p>
        </w:tc>
      </w:tr>
      <w:tr w14:paraId="6AC175C5">
        <w:tblPrEx>
          <w:tblCellMar>
            <w:top w:w="0" w:type="dxa"/>
            <w:left w:w="108" w:type="dxa"/>
            <w:bottom w:w="0" w:type="dxa"/>
            <w:right w:w="108" w:type="dxa"/>
          </w:tblCellMar>
        </w:tblPrEx>
        <w:trPr>
          <w:trHeight w:val="285" w:hRule="atLeast"/>
        </w:trPr>
        <w:tc>
          <w:tcPr>
            <w:tcW w:w="444" w:type="pct"/>
            <w:tcBorders>
              <w:top w:val="nil"/>
              <w:left w:val="nil"/>
              <w:bottom w:val="single" w:color="000000" w:sz="12" w:space="0"/>
              <w:right w:val="nil"/>
            </w:tcBorders>
            <w:noWrap/>
            <w:vAlign w:val="center"/>
          </w:tcPr>
          <w:p w14:paraId="335A2D5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CD4&lt;100</w:t>
            </w:r>
          </w:p>
        </w:tc>
        <w:tc>
          <w:tcPr>
            <w:tcW w:w="1072" w:type="pct"/>
            <w:tcBorders>
              <w:top w:val="nil"/>
              <w:left w:val="nil"/>
              <w:bottom w:val="single" w:color="000000" w:sz="12" w:space="0"/>
              <w:right w:val="nil"/>
            </w:tcBorders>
            <w:noWrap/>
            <w:vAlign w:val="center"/>
          </w:tcPr>
          <w:p w14:paraId="258A8F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09" w:type="pct"/>
            <w:tcBorders>
              <w:top w:val="nil"/>
              <w:left w:val="nil"/>
              <w:bottom w:val="single" w:color="000000" w:sz="12" w:space="0"/>
              <w:right w:val="nil"/>
            </w:tcBorders>
            <w:noWrap/>
            <w:vAlign w:val="center"/>
          </w:tcPr>
          <w:p w14:paraId="4FA044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168" w:type="pct"/>
            <w:tcBorders>
              <w:top w:val="nil"/>
              <w:left w:val="nil"/>
              <w:bottom w:val="single" w:color="000000" w:sz="12" w:space="0"/>
              <w:right w:val="nil"/>
            </w:tcBorders>
            <w:noWrap/>
            <w:vAlign w:val="center"/>
          </w:tcPr>
          <w:p w14:paraId="526E69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c>
          <w:tcPr>
            <w:tcW w:w="1205" w:type="pct"/>
            <w:tcBorders>
              <w:top w:val="nil"/>
              <w:left w:val="nil"/>
              <w:bottom w:val="single" w:color="000000" w:sz="12" w:space="0"/>
              <w:right w:val="nil"/>
            </w:tcBorders>
            <w:noWrap/>
            <w:vAlign w:val="center"/>
          </w:tcPr>
          <w:p w14:paraId="70DD09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w:t>
            </w:r>
          </w:p>
        </w:tc>
      </w:tr>
    </w:tbl>
    <w:p w14:paraId="1ACFE880">
      <w:pPr>
        <w:spacing w:line="480" w:lineRule="auto"/>
        <w:rPr>
          <w:rFonts w:ascii="Times New Roman" w:hAnsi="Times New Roman" w:cs="Times New Roman"/>
        </w:rPr>
      </w:pPr>
      <w:r>
        <w:rPr>
          <w:rFonts w:ascii="Times New Roman" w:hAnsi="Times New Roman" w:cs="Times New Roman"/>
        </w:rPr>
        <w:br w:type="page"/>
      </w:r>
    </w:p>
    <w:p w14:paraId="3517397D">
      <w:pPr>
        <w:pStyle w:val="4"/>
        <w:spacing w:before="0" w:after="0"/>
        <w:rPr>
          <w:rFonts w:ascii="Times New Roman" w:hAnsi="Times New Roman" w:cs="Times New Roman"/>
          <w:sz w:val="24"/>
          <w:szCs w:val="24"/>
        </w:rPr>
      </w:pPr>
      <w:bookmarkStart w:id="14" w:name="_Toc182242743"/>
      <w:r>
        <w:rPr>
          <w:rFonts w:ascii="Times New Roman" w:hAnsi="Times New Roman" w:cs="Times New Roman"/>
          <w:sz w:val="24"/>
          <w:szCs w:val="24"/>
        </w:rPr>
        <w:t>Transition Probabilities between Health Stages</w:t>
      </w:r>
      <w:bookmarkEnd w:id="14"/>
    </w:p>
    <w:p w14:paraId="570532B8">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The effectiveness of ART was assessed using two primary indicators: the viral suppression rate (proportion of patients with HIV-1 RNA&lt;50 copies/mL) and the immune response (mean increase in CD4 count). Clinical parameters were derived from clinical data analysis (</w:t>
      </w:r>
      <w:r>
        <w:rPr>
          <w:rFonts w:ascii="Times New Roman" w:hAnsi="Times New Roman" w:cs="Times New Roman" w:eastAsiaTheme="minorEastAsia"/>
          <w:b/>
          <w:bCs/>
          <w:sz w:val="24"/>
          <w:szCs w:val="24"/>
        </w:rPr>
        <w:t>Appendix Table 2 and 3</w:t>
      </w:r>
      <w:r>
        <w:rPr>
          <w:rFonts w:ascii="Times New Roman" w:hAnsi="Times New Roman" w:cs="Times New Roman" w:eastAsiaTheme="minorEastAsia"/>
          <w:sz w:val="24"/>
          <w:szCs w:val="24"/>
        </w:rPr>
        <w:t>).</w:t>
      </w:r>
    </w:p>
    <w:p w14:paraId="7D77B387">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Health states were classified into five distinct categories based on CD4 count ranges. Transition probabilities between adjacent health states were calculated as the ratio of the monthly change in CD4 count attributable to ART and the width of the CD4 count range defining the state. For instance, during weeks 48-96 of receiving BIC/FTC/TAF regimen, the mean monthly increase in CD4 count was 67 cells/μL. The probability of transitioning from the state CD4≤100 cells/μL to the state 100 &lt; CD4≤200 cells/μL was therefore calculated as 67÷100=0.67. Below are all the transition probabilities between adjacent states derived from the changes in CD4 count due to ART drug intervention</w:t>
      </w:r>
      <w:r>
        <w:rPr>
          <w:rFonts w:hint="eastAsia" w:ascii="Times New Roman" w:hAnsi="Times New Roman" w:cs="Times New Roman"/>
          <w:sz w:val="24"/>
          <w:szCs w:val="24"/>
        </w:rPr>
        <w:t>.</w:t>
      </w:r>
    </w:p>
    <w:p w14:paraId="742F3774">
      <w:pPr>
        <w:pStyle w:val="7"/>
        <w:spacing w:line="480" w:lineRule="auto"/>
        <w:jc w:val="center"/>
        <w:rPr>
          <w:rFonts w:ascii="Times New Roman" w:hAnsi="Times New Roman" w:cs="Times New Roman"/>
          <w:b/>
          <w:bCs/>
          <w:sz w:val="24"/>
          <w:szCs w:val="24"/>
        </w:rPr>
      </w:pPr>
      <w:bookmarkStart w:id="15" w:name="_Toc183682226"/>
      <w:bookmarkStart w:id="16" w:name="_Toc216103912"/>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ART Effectiveness Indicators </w:t>
      </w:r>
      <w:bookmarkEnd w:id="15"/>
      <w:r>
        <w:rPr>
          <w:rFonts w:hint="eastAsia" w:ascii="Times New Roman" w:hAnsi="Times New Roman" w:cs="Times New Roman"/>
          <w:b/>
          <w:bCs/>
          <w:sz w:val="24"/>
          <w:szCs w:val="24"/>
        </w:rPr>
        <w:t>of Viral Suppression Rate</w:t>
      </w:r>
      <w:bookmarkEnd w:id="16"/>
    </w:p>
    <w:tbl>
      <w:tblPr>
        <w:tblStyle w:val="11"/>
        <w:tblW w:w="5000" w:type="pct"/>
        <w:tblInd w:w="0" w:type="dxa"/>
        <w:tblLayout w:type="autofit"/>
        <w:tblCellMar>
          <w:top w:w="0" w:type="dxa"/>
          <w:left w:w="108" w:type="dxa"/>
          <w:bottom w:w="0" w:type="dxa"/>
          <w:right w:w="108" w:type="dxa"/>
        </w:tblCellMar>
      </w:tblPr>
      <w:tblGrid>
        <w:gridCol w:w="4564"/>
        <w:gridCol w:w="3958"/>
      </w:tblGrid>
      <w:tr w14:paraId="13406308">
        <w:trPr>
          <w:trHeight w:val="300" w:hRule="atLeast"/>
        </w:trPr>
        <w:tc>
          <w:tcPr>
            <w:tcW w:w="5000" w:type="pct"/>
            <w:gridSpan w:val="2"/>
            <w:tcBorders>
              <w:top w:val="nil"/>
              <w:left w:val="nil"/>
              <w:bottom w:val="single" w:color="000000" w:sz="12" w:space="0"/>
              <w:right w:val="nil"/>
            </w:tcBorders>
            <w:noWrap/>
            <w:vAlign w:val="center"/>
          </w:tcPr>
          <w:p w14:paraId="526F4F41">
            <w:pPr>
              <w:widowControl/>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(A) ITT</w:t>
            </w:r>
          </w:p>
        </w:tc>
      </w:tr>
      <w:tr w14:paraId="77FC125F">
        <w:tblPrEx>
          <w:tblCellMar>
            <w:top w:w="0" w:type="dxa"/>
            <w:left w:w="108" w:type="dxa"/>
            <w:bottom w:w="0" w:type="dxa"/>
            <w:right w:w="108" w:type="dxa"/>
          </w:tblCellMar>
        </w:tblPrEx>
        <w:trPr>
          <w:trHeight w:val="330" w:hRule="atLeast"/>
        </w:trPr>
        <w:tc>
          <w:tcPr>
            <w:tcW w:w="2678" w:type="pct"/>
            <w:tcBorders>
              <w:top w:val="single" w:color="000000" w:sz="12" w:space="0"/>
              <w:left w:val="nil"/>
              <w:bottom w:val="single" w:color="000000" w:sz="8" w:space="0"/>
              <w:right w:val="nil"/>
            </w:tcBorders>
            <w:noWrap/>
            <w:vAlign w:val="center"/>
          </w:tcPr>
          <w:p w14:paraId="2823EB65">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ART regimens</w:t>
            </w:r>
          </w:p>
        </w:tc>
        <w:tc>
          <w:tcPr>
            <w:tcW w:w="2321" w:type="pct"/>
            <w:tcBorders>
              <w:top w:val="single" w:color="000000" w:sz="12" w:space="0"/>
              <w:left w:val="nil"/>
              <w:bottom w:val="single" w:color="000000" w:sz="8" w:space="0"/>
              <w:right w:val="nil"/>
            </w:tcBorders>
            <w:noWrap/>
            <w:vAlign w:val="center"/>
          </w:tcPr>
          <w:p w14:paraId="050A5218">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Viral suppression rate</w:t>
            </w:r>
          </w:p>
        </w:tc>
      </w:tr>
      <w:tr w14:paraId="1A75A01C">
        <w:tblPrEx>
          <w:tblCellMar>
            <w:top w:w="0" w:type="dxa"/>
            <w:left w:w="108" w:type="dxa"/>
            <w:bottom w:w="0" w:type="dxa"/>
            <w:right w:w="108" w:type="dxa"/>
          </w:tblCellMar>
        </w:tblPrEx>
        <w:trPr>
          <w:trHeight w:val="315" w:hRule="atLeast"/>
        </w:trPr>
        <w:tc>
          <w:tcPr>
            <w:tcW w:w="2678" w:type="pct"/>
            <w:tcBorders>
              <w:top w:val="single" w:color="000000" w:sz="8" w:space="0"/>
              <w:left w:val="nil"/>
              <w:bottom w:val="nil"/>
              <w:right w:val="nil"/>
            </w:tcBorders>
            <w:noWrap/>
            <w:vAlign w:val="center"/>
          </w:tcPr>
          <w:p w14:paraId="1C59B46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2321" w:type="pct"/>
            <w:tcBorders>
              <w:top w:val="single" w:color="000000" w:sz="8" w:space="0"/>
              <w:left w:val="nil"/>
              <w:bottom w:val="nil"/>
              <w:right w:val="nil"/>
            </w:tcBorders>
            <w:vAlign w:val="center"/>
          </w:tcPr>
          <w:p w14:paraId="386BCBC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100.00%</w:t>
            </w:r>
          </w:p>
        </w:tc>
      </w:tr>
      <w:tr w14:paraId="16F2629F">
        <w:tblPrEx>
          <w:tblCellMar>
            <w:top w:w="0" w:type="dxa"/>
            <w:left w:w="108" w:type="dxa"/>
            <w:bottom w:w="0" w:type="dxa"/>
            <w:right w:w="108" w:type="dxa"/>
          </w:tblCellMar>
        </w:tblPrEx>
        <w:trPr>
          <w:trHeight w:val="300" w:hRule="atLeast"/>
        </w:trPr>
        <w:tc>
          <w:tcPr>
            <w:tcW w:w="2678" w:type="pct"/>
            <w:tcBorders>
              <w:top w:val="nil"/>
              <w:left w:val="nil"/>
              <w:bottom w:val="nil"/>
              <w:right w:val="nil"/>
            </w:tcBorders>
            <w:vAlign w:val="center"/>
          </w:tcPr>
          <w:p w14:paraId="2D8C0D9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2321" w:type="pct"/>
            <w:tcBorders>
              <w:top w:val="nil"/>
              <w:left w:val="nil"/>
              <w:bottom w:val="nil"/>
              <w:right w:val="nil"/>
            </w:tcBorders>
            <w:vAlign w:val="center"/>
          </w:tcPr>
          <w:p w14:paraId="70F2354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98.23%</w:t>
            </w:r>
          </w:p>
        </w:tc>
      </w:tr>
      <w:tr w14:paraId="419535CF">
        <w:tblPrEx>
          <w:tblCellMar>
            <w:top w:w="0" w:type="dxa"/>
            <w:left w:w="108" w:type="dxa"/>
            <w:bottom w:w="0" w:type="dxa"/>
            <w:right w:w="108" w:type="dxa"/>
          </w:tblCellMar>
        </w:tblPrEx>
        <w:trPr>
          <w:trHeight w:val="300" w:hRule="atLeast"/>
        </w:trPr>
        <w:tc>
          <w:tcPr>
            <w:tcW w:w="2678" w:type="pct"/>
            <w:tcBorders>
              <w:top w:val="nil"/>
              <w:left w:val="nil"/>
              <w:bottom w:val="nil"/>
              <w:right w:val="nil"/>
            </w:tcBorders>
            <w:noWrap/>
            <w:vAlign w:val="center"/>
          </w:tcPr>
          <w:p w14:paraId="6BBE3D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2321" w:type="pct"/>
            <w:tcBorders>
              <w:top w:val="nil"/>
              <w:left w:val="nil"/>
              <w:bottom w:val="nil"/>
              <w:right w:val="nil"/>
            </w:tcBorders>
            <w:vAlign w:val="center"/>
          </w:tcPr>
          <w:p w14:paraId="7C46C23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96.73%</w:t>
            </w:r>
          </w:p>
        </w:tc>
      </w:tr>
      <w:tr w14:paraId="1C50D599">
        <w:tblPrEx>
          <w:tblCellMar>
            <w:top w:w="0" w:type="dxa"/>
            <w:left w:w="108" w:type="dxa"/>
            <w:bottom w:w="0" w:type="dxa"/>
            <w:right w:w="108" w:type="dxa"/>
          </w:tblCellMar>
        </w:tblPrEx>
        <w:trPr>
          <w:trHeight w:val="270" w:hRule="atLeast"/>
        </w:trPr>
        <w:tc>
          <w:tcPr>
            <w:tcW w:w="2678" w:type="pct"/>
            <w:tcBorders>
              <w:top w:val="nil"/>
              <w:left w:val="nil"/>
              <w:bottom w:val="single" w:color="000000" w:sz="12" w:space="0"/>
              <w:right w:val="nil"/>
            </w:tcBorders>
            <w:vAlign w:val="center"/>
          </w:tcPr>
          <w:p w14:paraId="143E15D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2321" w:type="pct"/>
            <w:tcBorders>
              <w:top w:val="nil"/>
              <w:left w:val="nil"/>
              <w:bottom w:val="single" w:color="000000" w:sz="12" w:space="0"/>
              <w:right w:val="nil"/>
            </w:tcBorders>
            <w:vAlign w:val="center"/>
          </w:tcPr>
          <w:p w14:paraId="2CD902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97.71%</w:t>
            </w:r>
          </w:p>
        </w:tc>
      </w:tr>
      <w:tr w14:paraId="16BE12AE">
        <w:tblPrEx>
          <w:tblCellMar>
            <w:top w:w="0" w:type="dxa"/>
            <w:left w:w="108" w:type="dxa"/>
            <w:bottom w:w="0" w:type="dxa"/>
            <w:right w:w="108" w:type="dxa"/>
          </w:tblCellMar>
        </w:tblPrEx>
        <w:trPr>
          <w:trHeight w:val="315" w:hRule="atLeast"/>
        </w:trPr>
        <w:tc>
          <w:tcPr>
            <w:tcW w:w="5000" w:type="pct"/>
            <w:gridSpan w:val="2"/>
            <w:tcBorders>
              <w:top w:val="nil"/>
              <w:left w:val="nil"/>
              <w:bottom w:val="single" w:color="000000" w:sz="12" w:space="0"/>
              <w:right w:val="nil"/>
            </w:tcBorders>
            <w:noWrap/>
            <w:vAlign w:val="center"/>
          </w:tcPr>
          <w:p w14:paraId="641F1038">
            <w:pPr>
              <w:widowControl/>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 PP</w:t>
            </w:r>
          </w:p>
        </w:tc>
      </w:tr>
      <w:tr w14:paraId="6D9806AE">
        <w:tblPrEx>
          <w:tblCellMar>
            <w:top w:w="0" w:type="dxa"/>
            <w:left w:w="108" w:type="dxa"/>
            <w:bottom w:w="0" w:type="dxa"/>
            <w:right w:w="108" w:type="dxa"/>
          </w:tblCellMar>
        </w:tblPrEx>
        <w:trPr>
          <w:trHeight w:val="330" w:hRule="atLeast"/>
        </w:trPr>
        <w:tc>
          <w:tcPr>
            <w:tcW w:w="2678" w:type="pct"/>
            <w:tcBorders>
              <w:top w:val="single" w:color="000000" w:sz="12" w:space="0"/>
              <w:left w:val="nil"/>
              <w:bottom w:val="single" w:color="000000" w:sz="8" w:space="0"/>
              <w:right w:val="nil"/>
            </w:tcBorders>
            <w:noWrap/>
            <w:vAlign w:val="center"/>
          </w:tcPr>
          <w:p w14:paraId="14DF6AFD">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ART regimens</w:t>
            </w:r>
          </w:p>
        </w:tc>
        <w:tc>
          <w:tcPr>
            <w:tcW w:w="2321" w:type="pct"/>
            <w:tcBorders>
              <w:top w:val="single" w:color="000000" w:sz="12" w:space="0"/>
              <w:left w:val="nil"/>
              <w:bottom w:val="single" w:color="000000" w:sz="8" w:space="0"/>
              <w:right w:val="nil"/>
            </w:tcBorders>
            <w:noWrap/>
            <w:vAlign w:val="center"/>
          </w:tcPr>
          <w:p w14:paraId="5A183437">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Viral suppression rate</w:t>
            </w:r>
          </w:p>
        </w:tc>
      </w:tr>
      <w:tr w14:paraId="7B33840C">
        <w:tblPrEx>
          <w:tblCellMar>
            <w:top w:w="0" w:type="dxa"/>
            <w:left w:w="108" w:type="dxa"/>
            <w:bottom w:w="0" w:type="dxa"/>
            <w:right w:w="108" w:type="dxa"/>
          </w:tblCellMar>
        </w:tblPrEx>
        <w:trPr>
          <w:trHeight w:val="315" w:hRule="atLeast"/>
        </w:trPr>
        <w:tc>
          <w:tcPr>
            <w:tcW w:w="2678" w:type="pct"/>
            <w:tcBorders>
              <w:top w:val="single" w:color="000000" w:sz="8" w:space="0"/>
              <w:left w:val="nil"/>
              <w:bottom w:val="nil"/>
              <w:right w:val="nil"/>
            </w:tcBorders>
            <w:noWrap/>
            <w:vAlign w:val="center"/>
          </w:tcPr>
          <w:p w14:paraId="7C45463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2321" w:type="pct"/>
            <w:tcBorders>
              <w:top w:val="single" w:color="000000" w:sz="8" w:space="0"/>
              <w:left w:val="nil"/>
              <w:bottom w:val="nil"/>
              <w:right w:val="nil"/>
            </w:tcBorders>
            <w:vAlign w:val="center"/>
          </w:tcPr>
          <w:p w14:paraId="08A348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100.00%</w:t>
            </w:r>
          </w:p>
        </w:tc>
      </w:tr>
      <w:tr w14:paraId="4912FD77">
        <w:tblPrEx>
          <w:tblCellMar>
            <w:top w:w="0" w:type="dxa"/>
            <w:left w:w="108" w:type="dxa"/>
            <w:bottom w:w="0" w:type="dxa"/>
            <w:right w:w="108" w:type="dxa"/>
          </w:tblCellMar>
        </w:tblPrEx>
        <w:trPr>
          <w:trHeight w:val="300" w:hRule="atLeast"/>
        </w:trPr>
        <w:tc>
          <w:tcPr>
            <w:tcW w:w="2678" w:type="pct"/>
            <w:tcBorders>
              <w:top w:val="nil"/>
              <w:left w:val="nil"/>
              <w:bottom w:val="nil"/>
              <w:right w:val="nil"/>
            </w:tcBorders>
            <w:vAlign w:val="center"/>
          </w:tcPr>
          <w:p w14:paraId="025DA96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2321" w:type="pct"/>
            <w:tcBorders>
              <w:top w:val="nil"/>
              <w:left w:val="nil"/>
              <w:bottom w:val="nil"/>
              <w:right w:val="nil"/>
            </w:tcBorders>
            <w:vAlign w:val="center"/>
          </w:tcPr>
          <w:p w14:paraId="5E38EE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100.00%</w:t>
            </w:r>
          </w:p>
        </w:tc>
      </w:tr>
      <w:tr w14:paraId="41B4E379">
        <w:tblPrEx>
          <w:tblCellMar>
            <w:top w:w="0" w:type="dxa"/>
            <w:left w:w="108" w:type="dxa"/>
            <w:bottom w:w="0" w:type="dxa"/>
            <w:right w:w="108" w:type="dxa"/>
          </w:tblCellMar>
        </w:tblPrEx>
        <w:trPr>
          <w:trHeight w:val="300" w:hRule="atLeast"/>
        </w:trPr>
        <w:tc>
          <w:tcPr>
            <w:tcW w:w="2678" w:type="pct"/>
            <w:tcBorders>
              <w:top w:val="nil"/>
              <w:left w:val="nil"/>
              <w:bottom w:val="nil"/>
              <w:right w:val="nil"/>
            </w:tcBorders>
            <w:noWrap/>
            <w:vAlign w:val="center"/>
          </w:tcPr>
          <w:p w14:paraId="78929A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2321" w:type="pct"/>
            <w:tcBorders>
              <w:top w:val="nil"/>
              <w:left w:val="nil"/>
              <w:bottom w:val="nil"/>
              <w:right w:val="nil"/>
            </w:tcBorders>
            <w:vAlign w:val="center"/>
          </w:tcPr>
          <w:p w14:paraId="2B3F97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97.79%</w:t>
            </w:r>
          </w:p>
        </w:tc>
      </w:tr>
      <w:tr w14:paraId="6B76E5C8">
        <w:tblPrEx>
          <w:tblCellMar>
            <w:top w:w="0" w:type="dxa"/>
            <w:left w:w="108" w:type="dxa"/>
            <w:bottom w:w="0" w:type="dxa"/>
            <w:right w:w="108" w:type="dxa"/>
          </w:tblCellMar>
        </w:tblPrEx>
        <w:trPr>
          <w:trHeight w:val="285" w:hRule="atLeast"/>
        </w:trPr>
        <w:tc>
          <w:tcPr>
            <w:tcW w:w="2678" w:type="pct"/>
            <w:tcBorders>
              <w:top w:val="nil"/>
              <w:left w:val="nil"/>
              <w:bottom w:val="single" w:color="000000" w:sz="12" w:space="0"/>
              <w:right w:val="nil"/>
            </w:tcBorders>
            <w:vAlign w:val="center"/>
          </w:tcPr>
          <w:p w14:paraId="53877A8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2321" w:type="pct"/>
            <w:tcBorders>
              <w:top w:val="nil"/>
              <w:left w:val="nil"/>
              <w:bottom w:val="single" w:color="000000" w:sz="12" w:space="0"/>
              <w:right w:val="nil"/>
            </w:tcBorders>
            <w:vAlign w:val="center"/>
          </w:tcPr>
          <w:p w14:paraId="0F73E07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98.71%</w:t>
            </w:r>
          </w:p>
        </w:tc>
      </w:tr>
    </w:tbl>
    <w:p w14:paraId="4B5A1E78">
      <w:pPr>
        <w:spacing w:line="480" w:lineRule="auto"/>
        <w:rPr>
          <w:rFonts w:ascii="Times New Roman" w:hAnsi="Times New Roman" w:cs="Times New Roman"/>
          <w:sz w:val="24"/>
          <w:szCs w:val="24"/>
        </w:rPr>
      </w:pPr>
    </w:p>
    <w:p w14:paraId="5B4FC253">
      <w:pPr>
        <w:pStyle w:val="7"/>
        <w:spacing w:line="480" w:lineRule="auto"/>
        <w:jc w:val="center"/>
        <w:rPr>
          <w:rFonts w:ascii="Times New Roman" w:hAnsi="Times New Roman" w:cs="Times New Roman"/>
          <w:b/>
          <w:bCs/>
          <w:sz w:val="24"/>
          <w:szCs w:val="24"/>
        </w:rPr>
      </w:pPr>
      <w:bookmarkStart w:id="17" w:name="_Toc216103913"/>
      <w:bookmarkStart w:id="18" w:name="_Toc183682227"/>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ART Effectiveness Indicators of </w:t>
      </w:r>
      <w:r>
        <w:rPr>
          <w:rFonts w:hint="eastAsia" w:ascii="Times New Roman" w:hAnsi="Times New Roman" w:cs="Times New Roman"/>
          <w:b/>
          <w:bCs/>
          <w:sz w:val="24"/>
          <w:szCs w:val="24"/>
        </w:rPr>
        <w:t>CD4+ T-cell Count</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C</w:t>
      </w:r>
      <w:r>
        <w:rPr>
          <w:rFonts w:ascii="Times New Roman" w:hAnsi="Times New Roman" w:cs="Times New Roman"/>
          <w:b/>
          <w:bCs/>
          <w:sz w:val="24"/>
          <w:szCs w:val="24"/>
        </w:rPr>
        <w:t>hanges</w:t>
      </w:r>
      <w:bookmarkEnd w:id="17"/>
      <w:bookmarkEnd w:id="18"/>
    </w:p>
    <w:tbl>
      <w:tblPr>
        <w:tblStyle w:val="11"/>
        <w:tblW w:w="5000" w:type="pct"/>
        <w:tblInd w:w="0" w:type="dxa"/>
        <w:tblLayout w:type="autofit"/>
        <w:tblCellMar>
          <w:top w:w="0" w:type="dxa"/>
          <w:left w:w="108" w:type="dxa"/>
          <w:bottom w:w="0" w:type="dxa"/>
          <w:right w:w="108" w:type="dxa"/>
        </w:tblCellMar>
      </w:tblPr>
      <w:tblGrid>
        <w:gridCol w:w="2104"/>
        <w:gridCol w:w="3721"/>
        <w:gridCol w:w="1214"/>
        <w:gridCol w:w="1483"/>
      </w:tblGrid>
      <w:tr w14:paraId="08EEB7F9">
        <w:tblPrEx>
          <w:tblCellMar>
            <w:top w:w="0" w:type="dxa"/>
            <w:left w:w="108" w:type="dxa"/>
            <w:bottom w:w="0" w:type="dxa"/>
            <w:right w:w="108" w:type="dxa"/>
          </w:tblCellMar>
        </w:tblPrEx>
        <w:trPr>
          <w:trHeight w:val="300" w:hRule="atLeast"/>
        </w:trPr>
        <w:tc>
          <w:tcPr>
            <w:tcW w:w="5000" w:type="pct"/>
            <w:gridSpan w:val="4"/>
            <w:tcBorders>
              <w:top w:val="nil"/>
              <w:left w:val="nil"/>
              <w:bottom w:val="single" w:color="000000" w:sz="12" w:space="0"/>
              <w:right w:val="nil"/>
            </w:tcBorders>
            <w:noWrap/>
            <w:vAlign w:val="center"/>
          </w:tcPr>
          <w:p w14:paraId="1DDED71A">
            <w:pPr>
              <w:widowControl/>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(A) ITT</w:t>
            </w:r>
          </w:p>
        </w:tc>
      </w:tr>
      <w:tr w14:paraId="6A73F36F">
        <w:tblPrEx>
          <w:tblCellMar>
            <w:top w:w="0" w:type="dxa"/>
            <w:left w:w="108" w:type="dxa"/>
            <w:bottom w:w="0" w:type="dxa"/>
            <w:right w:w="108" w:type="dxa"/>
          </w:tblCellMar>
        </w:tblPrEx>
        <w:trPr>
          <w:trHeight w:val="510" w:hRule="atLeast"/>
        </w:trPr>
        <w:tc>
          <w:tcPr>
            <w:tcW w:w="1235" w:type="pct"/>
            <w:tcBorders>
              <w:top w:val="single" w:color="000000" w:sz="12" w:space="0"/>
              <w:left w:val="nil"/>
              <w:bottom w:val="single" w:color="000000" w:sz="8" w:space="0"/>
              <w:right w:val="nil"/>
            </w:tcBorders>
            <w:noWrap/>
            <w:vAlign w:val="center"/>
          </w:tcPr>
          <w:p w14:paraId="49146F6C">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Suppression status</w:t>
            </w:r>
          </w:p>
        </w:tc>
        <w:tc>
          <w:tcPr>
            <w:tcW w:w="2183" w:type="pct"/>
            <w:tcBorders>
              <w:top w:val="single" w:color="000000" w:sz="12" w:space="0"/>
              <w:left w:val="nil"/>
              <w:bottom w:val="single" w:color="000000" w:sz="8" w:space="0"/>
              <w:right w:val="nil"/>
            </w:tcBorders>
            <w:noWrap/>
            <w:vAlign w:val="center"/>
          </w:tcPr>
          <w:p w14:paraId="30036345">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ART regimens</w:t>
            </w:r>
          </w:p>
        </w:tc>
        <w:tc>
          <w:tcPr>
            <w:tcW w:w="712" w:type="pct"/>
            <w:tcBorders>
              <w:top w:val="single" w:color="000000" w:sz="12" w:space="0"/>
              <w:left w:val="nil"/>
              <w:bottom w:val="single" w:color="000000" w:sz="8" w:space="0"/>
              <w:right w:val="nil"/>
            </w:tcBorders>
            <w:noWrap/>
            <w:vAlign w:val="center"/>
          </w:tcPr>
          <w:p w14:paraId="0D040A2A">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Time</w:t>
            </w:r>
          </w:p>
        </w:tc>
        <w:tc>
          <w:tcPr>
            <w:tcW w:w="868" w:type="pct"/>
            <w:tcBorders>
              <w:top w:val="single" w:color="000000" w:sz="12" w:space="0"/>
              <w:left w:val="nil"/>
              <w:bottom w:val="single" w:color="000000" w:sz="8" w:space="0"/>
              <w:right w:val="nil"/>
            </w:tcBorders>
            <w:vAlign w:val="center"/>
          </w:tcPr>
          <w:p w14:paraId="6F06944B">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CD4 cell count changes, cells/μL</w:t>
            </w:r>
          </w:p>
        </w:tc>
      </w:tr>
      <w:tr w14:paraId="44D5B4BF">
        <w:tblPrEx>
          <w:tblCellMar>
            <w:top w:w="0" w:type="dxa"/>
            <w:left w:w="108" w:type="dxa"/>
            <w:bottom w:w="0" w:type="dxa"/>
            <w:right w:w="108" w:type="dxa"/>
          </w:tblCellMar>
        </w:tblPrEx>
        <w:trPr>
          <w:trHeight w:val="285" w:hRule="atLeast"/>
        </w:trPr>
        <w:tc>
          <w:tcPr>
            <w:tcW w:w="1235" w:type="pct"/>
            <w:vMerge w:val="restart"/>
            <w:tcBorders>
              <w:top w:val="single" w:color="000000" w:sz="8" w:space="0"/>
              <w:left w:val="nil"/>
              <w:bottom w:val="nil"/>
              <w:right w:val="nil"/>
            </w:tcBorders>
            <w:noWrap/>
            <w:vAlign w:val="center"/>
          </w:tcPr>
          <w:p w14:paraId="7D4EE2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Viral suppression</w:t>
            </w:r>
          </w:p>
        </w:tc>
        <w:tc>
          <w:tcPr>
            <w:tcW w:w="2183" w:type="pct"/>
            <w:vMerge w:val="restart"/>
            <w:tcBorders>
              <w:top w:val="single" w:color="000000" w:sz="8" w:space="0"/>
              <w:left w:val="nil"/>
              <w:bottom w:val="nil"/>
              <w:right w:val="nil"/>
            </w:tcBorders>
            <w:noWrap/>
            <w:vAlign w:val="center"/>
          </w:tcPr>
          <w:p w14:paraId="56593D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712" w:type="pct"/>
            <w:tcBorders>
              <w:top w:val="single" w:color="000000" w:sz="8" w:space="0"/>
              <w:left w:val="nil"/>
              <w:bottom w:val="nil"/>
              <w:right w:val="nil"/>
            </w:tcBorders>
            <w:noWrap/>
            <w:vAlign w:val="center"/>
          </w:tcPr>
          <w:p w14:paraId="389D85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single" w:color="000000" w:sz="8" w:space="0"/>
              <w:left w:val="nil"/>
              <w:bottom w:val="nil"/>
              <w:right w:val="nil"/>
            </w:tcBorders>
            <w:vAlign w:val="center"/>
          </w:tcPr>
          <w:p w14:paraId="0E0730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292.99 </w:t>
            </w:r>
          </w:p>
        </w:tc>
      </w:tr>
      <w:tr w14:paraId="287D61C7">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5583DFFF">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noWrap/>
            <w:vAlign w:val="center"/>
          </w:tcPr>
          <w:p w14:paraId="3F3526F5">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75245F5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0F6B75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281.49 </w:t>
            </w:r>
          </w:p>
        </w:tc>
      </w:tr>
      <w:tr w14:paraId="774B0461">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6D1CE71B">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vAlign w:val="center"/>
          </w:tcPr>
          <w:p w14:paraId="08DAF28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712" w:type="pct"/>
            <w:tcBorders>
              <w:top w:val="nil"/>
              <w:left w:val="nil"/>
              <w:bottom w:val="nil"/>
              <w:right w:val="nil"/>
            </w:tcBorders>
            <w:noWrap/>
            <w:vAlign w:val="center"/>
          </w:tcPr>
          <w:p w14:paraId="5296879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73DCC3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233.00 </w:t>
            </w:r>
          </w:p>
        </w:tc>
      </w:tr>
      <w:tr w14:paraId="1C6C9DF0">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13F4034A">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vAlign w:val="center"/>
          </w:tcPr>
          <w:p w14:paraId="132EDFB7">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08491AF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779B508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288.00 </w:t>
            </w:r>
          </w:p>
        </w:tc>
      </w:tr>
      <w:tr w14:paraId="7EEE0E77">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0DF3CCD8">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noWrap/>
            <w:vAlign w:val="center"/>
          </w:tcPr>
          <w:p w14:paraId="5D0626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712" w:type="pct"/>
            <w:tcBorders>
              <w:top w:val="nil"/>
              <w:left w:val="nil"/>
              <w:bottom w:val="nil"/>
              <w:right w:val="nil"/>
            </w:tcBorders>
            <w:noWrap/>
            <w:vAlign w:val="center"/>
          </w:tcPr>
          <w:p w14:paraId="50121A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6193D20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262.00 </w:t>
            </w:r>
          </w:p>
        </w:tc>
      </w:tr>
      <w:tr w14:paraId="19ACFED4">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0DADF1F4">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noWrap/>
            <w:vAlign w:val="center"/>
          </w:tcPr>
          <w:p w14:paraId="6527E7E5">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46F8164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367AA23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289.00 </w:t>
            </w:r>
          </w:p>
        </w:tc>
      </w:tr>
      <w:tr w14:paraId="68485AB3">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1CB8DA5E">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vAlign w:val="center"/>
          </w:tcPr>
          <w:p w14:paraId="7A9E095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712" w:type="pct"/>
            <w:tcBorders>
              <w:top w:val="nil"/>
              <w:left w:val="nil"/>
              <w:bottom w:val="nil"/>
              <w:right w:val="nil"/>
            </w:tcBorders>
            <w:noWrap/>
            <w:vAlign w:val="center"/>
          </w:tcPr>
          <w:p w14:paraId="1BD9032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6F59EF9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153.50 </w:t>
            </w:r>
          </w:p>
        </w:tc>
      </w:tr>
      <w:tr w14:paraId="17D20936">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3ACC7ABE">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vAlign w:val="center"/>
          </w:tcPr>
          <w:p w14:paraId="518D8C36">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3E48CE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0A2711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150.00 </w:t>
            </w:r>
          </w:p>
        </w:tc>
      </w:tr>
      <w:tr w14:paraId="6DF218D1">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6FB809B9">
            <w:pPr>
              <w:jc w:val="center"/>
              <w:rPr>
                <w:rFonts w:ascii="Times New Roman" w:hAnsi="Times New Roman" w:eastAsia="宋体" w:cs="Times New Roman"/>
                <w:color w:val="000000"/>
                <w:sz w:val="18"/>
                <w:szCs w:val="18"/>
              </w:rPr>
            </w:pPr>
          </w:p>
        </w:tc>
        <w:tc>
          <w:tcPr>
            <w:tcW w:w="2183" w:type="pct"/>
            <w:tcBorders>
              <w:top w:val="nil"/>
              <w:left w:val="nil"/>
              <w:bottom w:val="nil"/>
              <w:right w:val="nil"/>
            </w:tcBorders>
            <w:noWrap/>
            <w:vAlign w:val="center"/>
          </w:tcPr>
          <w:p w14:paraId="0259E56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w:t>
            </w:r>
          </w:p>
        </w:tc>
        <w:tc>
          <w:tcPr>
            <w:tcW w:w="712" w:type="pct"/>
            <w:tcBorders>
              <w:top w:val="nil"/>
              <w:left w:val="nil"/>
              <w:bottom w:val="nil"/>
              <w:right w:val="nil"/>
            </w:tcBorders>
            <w:noWrap/>
            <w:vAlign w:val="center"/>
          </w:tcPr>
          <w:p w14:paraId="4DC1BF1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68" w:type="pct"/>
            <w:tcBorders>
              <w:top w:val="nil"/>
              <w:left w:val="nil"/>
              <w:bottom w:val="nil"/>
              <w:right w:val="nil"/>
            </w:tcBorders>
            <w:vAlign w:val="center"/>
          </w:tcPr>
          <w:p w14:paraId="1CCC8AB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0.00 </w:t>
            </w:r>
          </w:p>
        </w:tc>
      </w:tr>
      <w:tr w14:paraId="46DE2F47">
        <w:tblPrEx>
          <w:tblCellMar>
            <w:top w:w="0" w:type="dxa"/>
            <w:left w:w="108" w:type="dxa"/>
            <w:bottom w:w="0" w:type="dxa"/>
            <w:right w:w="108" w:type="dxa"/>
          </w:tblCellMar>
        </w:tblPrEx>
        <w:trPr>
          <w:trHeight w:val="270" w:hRule="atLeast"/>
        </w:trPr>
        <w:tc>
          <w:tcPr>
            <w:tcW w:w="1235" w:type="pct"/>
            <w:tcBorders>
              <w:top w:val="nil"/>
              <w:left w:val="nil"/>
              <w:bottom w:val="single" w:color="000000" w:sz="12" w:space="0"/>
              <w:right w:val="nil"/>
            </w:tcBorders>
            <w:noWrap/>
            <w:vAlign w:val="center"/>
          </w:tcPr>
          <w:p w14:paraId="7BAF0CA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Viral no-suppression</w:t>
            </w:r>
          </w:p>
        </w:tc>
        <w:tc>
          <w:tcPr>
            <w:tcW w:w="2183" w:type="pct"/>
            <w:tcBorders>
              <w:top w:val="nil"/>
              <w:left w:val="nil"/>
              <w:bottom w:val="single" w:color="000000" w:sz="12" w:space="0"/>
              <w:right w:val="nil"/>
            </w:tcBorders>
            <w:noWrap/>
            <w:vAlign w:val="center"/>
          </w:tcPr>
          <w:p w14:paraId="0586215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w:t>
            </w:r>
            <w:r>
              <w:rPr>
                <w:rStyle w:val="20"/>
                <w:rFonts w:hint="default"/>
                <w:lang w:bidi="ar"/>
              </w:rPr>
              <w:t>（</w:t>
            </w:r>
            <w:r>
              <w:rPr>
                <w:rStyle w:val="21"/>
                <w:rFonts w:eastAsia="宋体"/>
                <w:lang w:bidi="ar"/>
              </w:rPr>
              <w:t>decline</w:t>
            </w:r>
            <w:r>
              <w:rPr>
                <w:rStyle w:val="20"/>
                <w:rFonts w:hint="default"/>
                <w:lang w:bidi="ar"/>
              </w:rPr>
              <w:t>）</w:t>
            </w:r>
          </w:p>
        </w:tc>
        <w:tc>
          <w:tcPr>
            <w:tcW w:w="712" w:type="pct"/>
            <w:tcBorders>
              <w:top w:val="nil"/>
              <w:left w:val="nil"/>
              <w:bottom w:val="single" w:color="000000" w:sz="12" w:space="0"/>
              <w:right w:val="nil"/>
            </w:tcBorders>
            <w:noWrap/>
            <w:vAlign w:val="center"/>
          </w:tcPr>
          <w:p w14:paraId="05B9CE0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 periods</w:t>
            </w:r>
          </w:p>
        </w:tc>
        <w:tc>
          <w:tcPr>
            <w:tcW w:w="868" w:type="pct"/>
            <w:tcBorders>
              <w:top w:val="nil"/>
              <w:left w:val="nil"/>
              <w:bottom w:val="single" w:color="000000" w:sz="12" w:space="0"/>
              <w:right w:val="nil"/>
            </w:tcBorders>
            <w:vAlign w:val="center"/>
          </w:tcPr>
          <w:p w14:paraId="442126E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35.00 </w:t>
            </w:r>
          </w:p>
        </w:tc>
      </w:tr>
      <w:tr w14:paraId="2F1374FF">
        <w:tblPrEx>
          <w:tblCellMar>
            <w:top w:w="0" w:type="dxa"/>
            <w:left w:w="108" w:type="dxa"/>
            <w:bottom w:w="0" w:type="dxa"/>
            <w:right w:w="108" w:type="dxa"/>
          </w:tblCellMar>
        </w:tblPrEx>
        <w:trPr>
          <w:trHeight w:val="315" w:hRule="atLeast"/>
        </w:trPr>
        <w:tc>
          <w:tcPr>
            <w:tcW w:w="5000" w:type="pct"/>
            <w:gridSpan w:val="4"/>
            <w:tcBorders>
              <w:top w:val="nil"/>
              <w:left w:val="nil"/>
              <w:bottom w:val="single" w:color="000000" w:sz="12" w:space="0"/>
              <w:right w:val="nil"/>
            </w:tcBorders>
            <w:noWrap/>
            <w:vAlign w:val="center"/>
          </w:tcPr>
          <w:p w14:paraId="54C89BF2">
            <w:pPr>
              <w:widowControl/>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 PP</w:t>
            </w:r>
          </w:p>
        </w:tc>
      </w:tr>
      <w:tr w14:paraId="3E59DF21">
        <w:tblPrEx>
          <w:tblCellMar>
            <w:top w:w="0" w:type="dxa"/>
            <w:left w:w="108" w:type="dxa"/>
            <w:bottom w:w="0" w:type="dxa"/>
            <w:right w:w="108" w:type="dxa"/>
          </w:tblCellMar>
        </w:tblPrEx>
        <w:trPr>
          <w:trHeight w:val="510" w:hRule="atLeast"/>
        </w:trPr>
        <w:tc>
          <w:tcPr>
            <w:tcW w:w="1235" w:type="pct"/>
            <w:tcBorders>
              <w:top w:val="single" w:color="000000" w:sz="12" w:space="0"/>
              <w:left w:val="nil"/>
              <w:bottom w:val="single" w:color="000000" w:sz="8" w:space="0"/>
              <w:right w:val="nil"/>
            </w:tcBorders>
            <w:noWrap/>
            <w:vAlign w:val="center"/>
          </w:tcPr>
          <w:p w14:paraId="187C2B90">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Suppression status</w:t>
            </w:r>
          </w:p>
        </w:tc>
        <w:tc>
          <w:tcPr>
            <w:tcW w:w="2183" w:type="pct"/>
            <w:tcBorders>
              <w:top w:val="single" w:color="000000" w:sz="12" w:space="0"/>
              <w:left w:val="nil"/>
              <w:bottom w:val="single" w:color="000000" w:sz="8" w:space="0"/>
              <w:right w:val="nil"/>
            </w:tcBorders>
            <w:noWrap/>
            <w:vAlign w:val="center"/>
          </w:tcPr>
          <w:p w14:paraId="6E9FED61">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ART regimens</w:t>
            </w:r>
          </w:p>
        </w:tc>
        <w:tc>
          <w:tcPr>
            <w:tcW w:w="712" w:type="pct"/>
            <w:tcBorders>
              <w:top w:val="single" w:color="000000" w:sz="12" w:space="0"/>
              <w:left w:val="nil"/>
              <w:bottom w:val="single" w:color="000000" w:sz="8" w:space="0"/>
              <w:right w:val="nil"/>
            </w:tcBorders>
            <w:noWrap/>
            <w:vAlign w:val="center"/>
          </w:tcPr>
          <w:p w14:paraId="086299AD">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Time</w:t>
            </w:r>
          </w:p>
        </w:tc>
        <w:tc>
          <w:tcPr>
            <w:tcW w:w="868" w:type="pct"/>
            <w:tcBorders>
              <w:top w:val="single" w:color="000000" w:sz="12" w:space="0"/>
              <w:left w:val="nil"/>
              <w:bottom w:val="single" w:color="000000" w:sz="8" w:space="0"/>
              <w:right w:val="nil"/>
            </w:tcBorders>
            <w:vAlign w:val="center"/>
          </w:tcPr>
          <w:p w14:paraId="49AE4A01">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CD4 cell count changes, cells/μL</w:t>
            </w:r>
          </w:p>
        </w:tc>
      </w:tr>
      <w:tr w14:paraId="73A7D7FA">
        <w:tblPrEx>
          <w:tblCellMar>
            <w:top w:w="0" w:type="dxa"/>
            <w:left w:w="108" w:type="dxa"/>
            <w:bottom w:w="0" w:type="dxa"/>
            <w:right w:w="108" w:type="dxa"/>
          </w:tblCellMar>
        </w:tblPrEx>
        <w:trPr>
          <w:trHeight w:val="285" w:hRule="atLeast"/>
        </w:trPr>
        <w:tc>
          <w:tcPr>
            <w:tcW w:w="1235" w:type="pct"/>
            <w:vMerge w:val="restart"/>
            <w:tcBorders>
              <w:top w:val="single" w:color="000000" w:sz="8" w:space="0"/>
              <w:left w:val="nil"/>
              <w:bottom w:val="nil"/>
              <w:right w:val="nil"/>
            </w:tcBorders>
            <w:noWrap/>
            <w:vAlign w:val="center"/>
          </w:tcPr>
          <w:p w14:paraId="18D1DBD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Viral suppression</w:t>
            </w:r>
          </w:p>
        </w:tc>
        <w:tc>
          <w:tcPr>
            <w:tcW w:w="2183" w:type="pct"/>
            <w:vMerge w:val="restart"/>
            <w:tcBorders>
              <w:top w:val="single" w:color="000000" w:sz="8" w:space="0"/>
              <w:left w:val="nil"/>
              <w:bottom w:val="nil"/>
              <w:right w:val="nil"/>
            </w:tcBorders>
            <w:noWrap/>
            <w:vAlign w:val="center"/>
          </w:tcPr>
          <w:p w14:paraId="45EC96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712" w:type="pct"/>
            <w:tcBorders>
              <w:top w:val="single" w:color="000000" w:sz="8" w:space="0"/>
              <w:left w:val="nil"/>
              <w:bottom w:val="nil"/>
              <w:right w:val="nil"/>
            </w:tcBorders>
            <w:noWrap/>
            <w:vAlign w:val="center"/>
          </w:tcPr>
          <w:p w14:paraId="204A6E4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single" w:color="000000" w:sz="8" w:space="0"/>
              <w:left w:val="nil"/>
              <w:bottom w:val="nil"/>
              <w:right w:val="nil"/>
            </w:tcBorders>
            <w:vAlign w:val="center"/>
          </w:tcPr>
          <w:p w14:paraId="6276690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293.50 </w:t>
            </w:r>
          </w:p>
        </w:tc>
      </w:tr>
      <w:tr w14:paraId="74DF2CE9">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091598FF">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noWrap/>
            <w:vAlign w:val="center"/>
          </w:tcPr>
          <w:p w14:paraId="1C9B15D4">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04A119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3358E89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282.00 </w:t>
            </w:r>
          </w:p>
        </w:tc>
      </w:tr>
      <w:tr w14:paraId="174789D7">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30CADADC">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vAlign w:val="center"/>
          </w:tcPr>
          <w:p w14:paraId="713AF94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712" w:type="pct"/>
            <w:tcBorders>
              <w:top w:val="nil"/>
              <w:left w:val="nil"/>
              <w:bottom w:val="nil"/>
              <w:right w:val="nil"/>
            </w:tcBorders>
            <w:noWrap/>
            <w:vAlign w:val="center"/>
          </w:tcPr>
          <w:p w14:paraId="7E79B3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1DEC8F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257.00 </w:t>
            </w:r>
          </w:p>
        </w:tc>
      </w:tr>
      <w:tr w14:paraId="46E1C195">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2E7FC1E4">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vAlign w:val="center"/>
          </w:tcPr>
          <w:p w14:paraId="763E17EC">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4728BF9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014B755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312.00 </w:t>
            </w:r>
          </w:p>
        </w:tc>
      </w:tr>
      <w:tr w14:paraId="3A687659">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5DCC3A55">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noWrap/>
            <w:vAlign w:val="center"/>
          </w:tcPr>
          <w:p w14:paraId="7EE6C5F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712" w:type="pct"/>
            <w:tcBorders>
              <w:top w:val="nil"/>
              <w:left w:val="nil"/>
              <w:bottom w:val="nil"/>
              <w:right w:val="nil"/>
            </w:tcBorders>
            <w:noWrap/>
            <w:vAlign w:val="center"/>
          </w:tcPr>
          <w:p w14:paraId="76447A1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3C0C2E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275.00 </w:t>
            </w:r>
          </w:p>
        </w:tc>
      </w:tr>
      <w:tr w14:paraId="315A7834">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54910EB2">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noWrap/>
            <w:vAlign w:val="center"/>
          </w:tcPr>
          <w:p w14:paraId="5BED9EC0">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45F00E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256F13E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302.00 </w:t>
            </w:r>
          </w:p>
        </w:tc>
      </w:tr>
      <w:tr w14:paraId="1D42F77E">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76C23815">
            <w:pPr>
              <w:jc w:val="center"/>
              <w:rPr>
                <w:rFonts w:ascii="Times New Roman" w:hAnsi="Times New Roman" w:eastAsia="宋体" w:cs="Times New Roman"/>
                <w:color w:val="000000"/>
                <w:sz w:val="18"/>
                <w:szCs w:val="18"/>
              </w:rPr>
            </w:pPr>
          </w:p>
        </w:tc>
        <w:tc>
          <w:tcPr>
            <w:tcW w:w="2183" w:type="pct"/>
            <w:vMerge w:val="restart"/>
            <w:tcBorders>
              <w:top w:val="nil"/>
              <w:left w:val="nil"/>
              <w:bottom w:val="nil"/>
              <w:right w:val="nil"/>
            </w:tcBorders>
            <w:vAlign w:val="center"/>
          </w:tcPr>
          <w:p w14:paraId="13EE6BA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712" w:type="pct"/>
            <w:tcBorders>
              <w:top w:val="nil"/>
              <w:left w:val="nil"/>
              <w:bottom w:val="nil"/>
              <w:right w:val="nil"/>
            </w:tcBorders>
            <w:noWrap/>
            <w:vAlign w:val="center"/>
          </w:tcPr>
          <w:p w14:paraId="3CA3A5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 weeks</w:t>
            </w:r>
          </w:p>
        </w:tc>
        <w:tc>
          <w:tcPr>
            <w:tcW w:w="868" w:type="pct"/>
            <w:tcBorders>
              <w:top w:val="nil"/>
              <w:left w:val="nil"/>
              <w:bottom w:val="nil"/>
              <w:right w:val="nil"/>
            </w:tcBorders>
            <w:vAlign w:val="center"/>
          </w:tcPr>
          <w:p w14:paraId="6D1016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146.50 </w:t>
            </w:r>
          </w:p>
        </w:tc>
      </w:tr>
      <w:tr w14:paraId="21B355E1">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2D1D4E01">
            <w:pPr>
              <w:jc w:val="center"/>
              <w:rPr>
                <w:rFonts w:ascii="Times New Roman" w:hAnsi="Times New Roman" w:eastAsia="宋体" w:cs="Times New Roman"/>
                <w:color w:val="000000"/>
                <w:sz w:val="18"/>
                <w:szCs w:val="18"/>
              </w:rPr>
            </w:pPr>
          </w:p>
        </w:tc>
        <w:tc>
          <w:tcPr>
            <w:tcW w:w="2183" w:type="pct"/>
            <w:vMerge w:val="continue"/>
            <w:tcBorders>
              <w:top w:val="nil"/>
              <w:left w:val="nil"/>
              <w:bottom w:val="nil"/>
              <w:right w:val="nil"/>
            </w:tcBorders>
            <w:vAlign w:val="center"/>
          </w:tcPr>
          <w:p w14:paraId="58463CCD">
            <w:pPr>
              <w:jc w:val="center"/>
              <w:rPr>
                <w:rFonts w:ascii="Times New Roman" w:hAnsi="Times New Roman" w:eastAsia="宋体" w:cs="Times New Roman"/>
                <w:color w:val="000000"/>
                <w:sz w:val="18"/>
                <w:szCs w:val="18"/>
              </w:rPr>
            </w:pPr>
          </w:p>
        </w:tc>
        <w:tc>
          <w:tcPr>
            <w:tcW w:w="712" w:type="pct"/>
            <w:tcBorders>
              <w:top w:val="nil"/>
              <w:left w:val="nil"/>
              <w:bottom w:val="nil"/>
              <w:right w:val="nil"/>
            </w:tcBorders>
            <w:noWrap/>
            <w:vAlign w:val="center"/>
          </w:tcPr>
          <w:p w14:paraId="199766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68" w:type="pct"/>
            <w:tcBorders>
              <w:top w:val="nil"/>
              <w:left w:val="nil"/>
              <w:bottom w:val="nil"/>
              <w:right w:val="nil"/>
            </w:tcBorders>
            <w:vAlign w:val="center"/>
          </w:tcPr>
          <w:p w14:paraId="604066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151.00 </w:t>
            </w:r>
          </w:p>
        </w:tc>
      </w:tr>
      <w:tr w14:paraId="3A58F78E">
        <w:tblPrEx>
          <w:tblCellMar>
            <w:top w:w="0" w:type="dxa"/>
            <w:left w:w="108" w:type="dxa"/>
            <w:bottom w:w="0" w:type="dxa"/>
            <w:right w:w="108" w:type="dxa"/>
          </w:tblCellMar>
        </w:tblPrEx>
        <w:trPr>
          <w:trHeight w:val="270" w:hRule="atLeast"/>
        </w:trPr>
        <w:tc>
          <w:tcPr>
            <w:tcW w:w="1235" w:type="pct"/>
            <w:vMerge w:val="continue"/>
            <w:tcBorders>
              <w:top w:val="nil"/>
              <w:left w:val="nil"/>
              <w:bottom w:val="nil"/>
              <w:right w:val="nil"/>
            </w:tcBorders>
            <w:noWrap/>
            <w:vAlign w:val="center"/>
          </w:tcPr>
          <w:p w14:paraId="77F2690F">
            <w:pPr>
              <w:jc w:val="center"/>
              <w:rPr>
                <w:rFonts w:ascii="Times New Roman" w:hAnsi="Times New Roman" w:eastAsia="宋体" w:cs="Times New Roman"/>
                <w:color w:val="000000"/>
                <w:sz w:val="18"/>
                <w:szCs w:val="18"/>
              </w:rPr>
            </w:pPr>
          </w:p>
        </w:tc>
        <w:tc>
          <w:tcPr>
            <w:tcW w:w="2183" w:type="pct"/>
            <w:tcBorders>
              <w:top w:val="nil"/>
              <w:left w:val="nil"/>
              <w:bottom w:val="nil"/>
              <w:right w:val="nil"/>
            </w:tcBorders>
            <w:noWrap/>
            <w:vAlign w:val="center"/>
          </w:tcPr>
          <w:p w14:paraId="29B559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w:t>
            </w:r>
          </w:p>
        </w:tc>
        <w:tc>
          <w:tcPr>
            <w:tcW w:w="712" w:type="pct"/>
            <w:tcBorders>
              <w:top w:val="nil"/>
              <w:left w:val="nil"/>
              <w:bottom w:val="nil"/>
              <w:right w:val="nil"/>
            </w:tcBorders>
            <w:noWrap/>
            <w:vAlign w:val="center"/>
          </w:tcPr>
          <w:p w14:paraId="2D453F0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68" w:type="pct"/>
            <w:tcBorders>
              <w:top w:val="nil"/>
              <w:left w:val="nil"/>
              <w:bottom w:val="nil"/>
              <w:right w:val="nil"/>
            </w:tcBorders>
            <w:vAlign w:val="center"/>
          </w:tcPr>
          <w:p w14:paraId="54902E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0.00 </w:t>
            </w:r>
          </w:p>
        </w:tc>
      </w:tr>
      <w:tr w14:paraId="075BDBCA">
        <w:tblPrEx>
          <w:tblCellMar>
            <w:top w:w="0" w:type="dxa"/>
            <w:left w:w="108" w:type="dxa"/>
            <w:bottom w:w="0" w:type="dxa"/>
            <w:right w:w="108" w:type="dxa"/>
          </w:tblCellMar>
        </w:tblPrEx>
        <w:trPr>
          <w:trHeight w:val="285" w:hRule="atLeast"/>
        </w:trPr>
        <w:tc>
          <w:tcPr>
            <w:tcW w:w="1235" w:type="pct"/>
            <w:tcBorders>
              <w:top w:val="nil"/>
              <w:left w:val="nil"/>
              <w:bottom w:val="single" w:color="000000" w:sz="12" w:space="0"/>
              <w:right w:val="nil"/>
            </w:tcBorders>
            <w:noWrap/>
            <w:vAlign w:val="center"/>
          </w:tcPr>
          <w:p w14:paraId="021DD71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Viral no-suppression</w:t>
            </w:r>
          </w:p>
        </w:tc>
        <w:tc>
          <w:tcPr>
            <w:tcW w:w="2183" w:type="pct"/>
            <w:tcBorders>
              <w:top w:val="nil"/>
              <w:left w:val="nil"/>
              <w:bottom w:val="single" w:color="000000" w:sz="12" w:space="0"/>
              <w:right w:val="nil"/>
            </w:tcBorders>
            <w:noWrap/>
            <w:vAlign w:val="center"/>
          </w:tcPr>
          <w:p w14:paraId="4DD1FC7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w:t>
            </w:r>
            <w:r>
              <w:rPr>
                <w:rStyle w:val="20"/>
                <w:rFonts w:hint="default"/>
                <w:lang w:bidi="ar"/>
              </w:rPr>
              <w:t>（</w:t>
            </w:r>
            <w:r>
              <w:rPr>
                <w:rStyle w:val="21"/>
                <w:rFonts w:eastAsia="宋体"/>
                <w:lang w:bidi="ar"/>
              </w:rPr>
              <w:t>decline</w:t>
            </w:r>
            <w:r>
              <w:rPr>
                <w:rStyle w:val="20"/>
                <w:rFonts w:hint="default"/>
                <w:lang w:bidi="ar"/>
              </w:rPr>
              <w:t>）</w:t>
            </w:r>
          </w:p>
        </w:tc>
        <w:tc>
          <w:tcPr>
            <w:tcW w:w="712" w:type="pct"/>
            <w:tcBorders>
              <w:top w:val="nil"/>
              <w:left w:val="nil"/>
              <w:bottom w:val="single" w:color="000000" w:sz="12" w:space="0"/>
              <w:right w:val="nil"/>
            </w:tcBorders>
            <w:noWrap/>
            <w:vAlign w:val="center"/>
          </w:tcPr>
          <w:p w14:paraId="0BCEB9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all periods</w:t>
            </w:r>
          </w:p>
        </w:tc>
        <w:tc>
          <w:tcPr>
            <w:tcW w:w="868" w:type="pct"/>
            <w:tcBorders>
              <w:top w:val="nil"/>
              <w:left w:val="nil"/>
              <w:bottom w:val="single" w:color="000000" w:sz="12" w:space="0"/>
              <w:right w:val="nil"/>
            </w:tcBorders>
            <w:vAlign w:val="center"/>
          </w:tcPr>
          <w:p w14:paraId="14A48A5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 xml:space="preserve">35.00 </w:t>
            </w:r>
          </w:p>
        </w:tc>
      </w:tr>
    </w:tbl>
    <w:p w14:paraId="6A0B7FFD">
      <w:pPr>
        <w:spacing w:line="480" w:lineRule="auto"/>
        <w:rPr>
          <w:rFonts w:ascii="Times New Roman" w:hAnsi="Times New Roman" w:cs="Times New Roman"/>
        </w:rPr>
      </w:pPr>
      <w:r>
        <w:rPr>
          <w:rFonts w:ascii="Times New Roman" w:hAnsi="Times New Roman" w:cs="Times New Roman"/>
        </w:rPr>
        <w:br w:type="page"/>
      </w:r>
    </w:p>
    <w:p w14:paraId="563A022C">
      <w:pPr>
        <w:pStyle w:val="4"/>
        <w:spacing w:before="0" w:after="0"/>
        <w:rPr>
          <w:rFonts w:ascii="Times New Roman" w:hAnsi="Times New Roman" w:cs="Times New Roman"/>
          <w:sz w:val="24"/>
          <w:szCs w:val="24"/>
        </w:rPr>
      </w:pPr>
      <w:bookmarkStart w:id="19" w:name="_Toc183682228"/>
      <w:r>
        <w:rPr>
          <w:rFonts w:ascii="Times New Roman" w:hAnsi="Times New Roman" w:cs="Times New Roman"/>
          <w:sz w:val="24"/>
          <w:szCs w:val="24"/>
        </w:rPr>
        <w:t>Other clinical parameters</w:t>
      </w:r>
    </w:p>
    <w:p w14:paraId="0A723618">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Discontinuation rate comprised both virological and non-virological components. Virological discontinuation rate, also referred to as treatment failure due to resistance, was estimated based on viral suppression rates during weeks 0-48 and 48-96. Non-virological discontinuation included treatment cessation attributable to adverse events, issues with drug availability or adherence, and other personal or clinical factors.</w:t>
      </w:r>
      <w:r>
        <w:rPr>
          <w:rFonts w:hint="eastAsia" w:ascii="Times New Roman" w:hAnsi="Times New Roman" w:cs="Times New Roman" w:eastAsiaTheme="minorEastAsia"/>
          <w:sz w:val="24"/>
          <w:szCs w:val="24"/>
        </w:rPr>
        <w:t xml:space="preserve"> </w:t>
      </w:r>
      <w:r>
        <w:rPr>
          <w:rFonts w:hint="eastAsia" w:ascii="Times New Roman" w:hAnsi="Times New Roman" w:cs="Times New Roman"/>
          <w:sz w:val="24"/>
          <w:szCs w:val="24"/>
        </w:rPr>
        <w:t>Since the clinical data were expressed as annual rates, conversion to a monthly probability for Markov model cycles was performed using the formula: monthly rate = (1 + annual rate)^(1/12)-1, and owing to the nature of the PP dataset, these parameters were zero; only the parameters from the ITT dataset are presented.</w:t>
      </w:r>
    </w:p>
    <w:p w14:paraId="5A91DD9B">
      <w:pPr>
        <w:pStyle w:val="7"/>
        <w:spacing w:line="48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ART regimens are associated with various adverse events (AEs), such as nausea, vomiting, diarrhea, rashes, muscle weakness, headaches, insomnia, and peripheral neuropathy, among others. The occurrence of AEs affected both costs and utilities. Patients were categorized into five health states based on CD4 count, which reflect differing levels of immune function and clinical status. The incidence of AIDS-defining events (ADEs) and mortality increased progressively with declining CD4⁺ counts, with data obtained from published sources</w:t>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ADDIN NE.Ref.{9FD66C2E-0AAC-48EA-93CB-FC8405F615B7}</w:instrText>
      </w:r>
      <w:r>
        <w:rPr>
          <w:rFonts w:ascii="Times New Roman" w:hAnsi="Times New Roman" w:cs="Times New Roman" w:eastAsiaTheme="minorEastAsia"/>
          <w:sz w:val="24"/>
          <w:szCs w:val="24"/>
        </w:rPr>
        <w:fldChar w:fldCharType="separate"/>
      </w:r>
      <w:r>
        <w:rPr>
          <w:rFonts w:ascii="Times New Roman" w:hAnsi="Times New Roman" w:cs="Times New Roman"/>
          <w:color w:val="080000"/>
          <w:sz w:val="24"/>
          <w:szCs w:val="24"/>
        </w:rPr>
        <w:t>[8, 9]</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Mortality rates, including both HIV-related and natural mortality, were simplified to depend exclusively on CD4 count stratum</w:t>
      </w:r>
      <w:r>
        <w:rPr>
          <w:rFonts w:hint="eastAsia" w:ascii="Times New Roman" w:hAnsi="Times New Roman" w:cs="Times New Roman" w:eastAsiaTheme="minorEastAsia"/>
          <w:sz w:val="24"/>
          <w:szCs w:val="24"/>
        </w:rPr>
        <w:t xml:space="preserve">. </w:t>
      </w:r>
      <w:r>
        <w:rPr>
          <w:rFonts w:ascii="Times New Roman" w:hAnsi="Times New Roman" w:cs="Times New Roman"/>
          <w:sz w:val="24"/>
          <w:szCs w:val="24"/>
        </w:rPr>
        <w:t>Data on age-specific natural mortality were sourced from the Global Burden of Disease (GBD) study and increased continuously with age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NE.Ref.{FAA68700-5418-473F-94C2-398055313948}</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Given that the baseline age of the cohort was 30 years, the model commenced at this age for the first cycle</w:t>
      </w:r>
      <w:r>
        <w:rPr>
          <w:rFonts w:ascii="Times New Roman" w:hAnsi="Times New Roman" w:cs="Times New Roman" w:eastAsiaTheme="minorEastAsia"/>
          <w:sz w:val="24"/>
          <w:szCs w:val="24"/>
        </w:rPr>
        <w:t xml:space="preserve"> (</w:t>
      </w:r>
      <w:r>
        <w:rPr>
          <w:rFonts w:ascii="Times New Roman" w:hAnsi="Times New Roman" w:cs="Times New Roman" w:eastAsiaTheme="minorEastAsia"/>
          <w:b/>
          <w:bCs/>
          <w:sz w:val="24"/>
          <w:szCs w:val="24"/>
        </w:rPr>
        <w:t>Appendix Table 4-</w:t>
      </w:r>
      <w:r>
        <w:rPr>
          <w:rFonts w:hint="eastAsia" w:ascii="Times New Roman" w:hAnsi="Times New Roman" w:cs="Times New Roman" w:eastAsiaTheme="minorEastAsia"/>
          <w:b/>
          <w:bCs/>
          <w:sz w:val="24"/>
          <w:szCs w:val="24"/>
        </w:rPr>
        <w:t>6</w:t>
      </w:r>
      <w:r>
        <w:rPr>
          <w:rFonts w:ascii="Times New Roman" w:hAnsi="Times New Roman" w:cs="Times New Roman" w:eastAsiaTheme="minorEastAsia"/>
          <w:sz w:val="24"/>
          <w:szCs w:val="24"/>
        </w:rPr>
        <w:t>).</w:t>
      </w:r>
    </w:p>
    <w:p w14:paraId="28EF6790">
      <w:pPr>
        <w:pStyle w:val="7"/>
        <w:spacing w:line="480" w:lineRule="auto"/>
        <w:jc w:val="center"/>
        <w:rPr>
          <w:rFonts w:ascii="Times New Roman" w:hAnsi="Times New Roman" w:cs="Times New Roman"/>
          <w:b/>
          <w:bCs/>
          <w:sz w:val="24"/>
          <w:szCs w:val="24"/>
        </w:rPr>
      </w:pPr>
      <w:bookmarkStart w:id="20" w:name="_Toc216103914"/>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rPr>
        <w:t>. The Data on Age-Varying Natural Mortality</w:t>
      </w:r>
      <w:bookmarkEnd w:id="19"/>
      <w:bookmarkEnd w:id="20"/>
    </w:p>
    <w:tbl>
      <w:tblPr>
        <w:tblStyle w:val="11"/>
        <w:tblW w:w="4999" w:type="pct"/>
        <w:tblInd w:w="0" w:type="dxa"/>
        <w:tblLayout w:type="autofit"/>
        <w:tblCellMar>
          <w:top w:w="0" w:type="dxa"/>
          <w:left w:w="108" w:type="dxa"/>
          <w:bottom w:w="0" w:type="dxa"/>
          <w:right w:w="108" w:type="dxa"/>
        </w:tblCellMar>
      </w:tblPr>
      <w:tblGrid>
        <w:gridCol w:w="3429"/>
        <w:gridCol w:w="2958"/>
        <w:gridCol w:w="2133"/>
      </w:tblGrid>
      <w:tr w14:paraId="3B4E9503">
        <w:tblPrEx>
          <w:tblCellMar>
            <w:top w:w="0" w:type="dxa"/>
            <w:left w:w="108" w:type="dxa"/>
            <w:bottom w:w="0" w:type="dxa"/>
            <w:right w:w="108" w:type="dxa"/>
          </w:tblCellMar>
        </w:tblPrEx>
        <w:trPr>
          <w:trHeight w:val="300" w:hRule="atLeast"/>
        </w:trPr>
        <w:tc>
          <w:tcPr>
            <w:tcW w:w="2063" w:type="pct"/>
            <w:tcBorders>
              <w:top w:val="single" w:color="000000" w:sz="12" w:space="0"/>
              <w:left w:val="nil"/>
              <w:bottom w:val="single" w:color="000000" w:sz="8" w:space="0"/>
              <w:right w:val="nil"/>
            </w:tcBorders>
            <w:noWrap/>
            <w:vAlign w:val="center"/>
          </w:tcPr>
          <w:p w14:paraId="0364DA81">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Age</w:t>
            </w:r>
          </w:p>
        </w:tc>
        <w:tc>
          <w:tcPr>
            <w:tcW w:w="1787" w:type="pct"/>
            <w:tcBorders>
              <w:top w:val="single" w:color="000000" w:sz="12" w:space="0"/>
              <w:left w:val="nil"/>
              <w:bottom w:val="single" w:color="000000" w:sz="8" w:space="0"/>
              <w:right w:val="nil"/>
            </w:tcBorders>
            <w:noWrap/>
            <w:vAlign w:val="center"/>
          </w:tcPr>
          <w:p w14:paraId="4F1F3C83">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 xml:space="preserve">Value </w:t>
            </w:r>
            <w:r>
              <w:rPr>
                <w:rFonts w:hint="eastAsia" w:ascii="宋体" w:hAnsi="宋体" w:eastAsia="宋体" w:cs="宋体"/>
                <w:b/>
                <w:bCs/>
                <w:color w:val="000000"/>
                <w:kern w:val="0"/>
                <w:sz w:val="18"/>
                <w:szCs w:val="18"/>
                <w:lang w:bidi="ar"/>
              </w:rPr>
              <w:t>（</w:t>
            </w:r>
            <w:r>
              <w:rPr>
                <w:rStyle w:val="22"/>
                <w:rFonts w:eastAsia="宋体"/>
                <w:lang w:bidi="ar"/>
              </w:rPr>
              <w:t>Annual rate</w:t>
            </w:r>
            <w:r>
              <w:rPr>
                <w:rFonts w:hint="eastAsia" w:ascii="宋体" w:hAnsi="宋体" w:eastAsia="宋体" w:cs="宋体"/>
                <w:b/>
                <w:bCs/>
                <w:color w:val="000000"/>
                <w:kern w:val="0"/>
                <w:sz w:val="18"/>
                <w:szCs w:val="18"/>
                <w:lang w:bidi="ar"/>
              </w:rPr>
              <w:t>）</w:t>
            </w:r>
          </w:p>
        </w:tc>
        <w:tc>
          <w:tcPr>
            <w:tcW w:w="1148" w:type="pct"/>
            <w:tcBorders>
              <w:top w:val="single" w:color="000000" w:sz="12" w:space="0"/>
              <w:left w:val="nil"/>
              <w:bottom w:val="single" w:color="000000" w:sz="8" w:space="0"/>
              <w:right w:val="nil"/>
            </w:tcBorders>
            <w:noWrap/>
            <w:vAlign w:val="center"/>
          </w:tcPr>
          <w:p w14:paraId="7C614986">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 xml:space="preserve">Value </w:t>
            </w:r>
            <w:r>
              <w:rPr>
                <w:rFonts w:hint="eastAsia" w:ascii="宋体" w:hAnsi="宋体" w:eastAsia="宋体" w:cs="宋体"/>
                <w:b/>
                <w:bCs/>
                <w:color w:val="000000"/>
                <w:kern w:val="0"/>
                <w:sz w:val="18"/>
                <w:szCs w:val="18"/>
                <w:lang w:bidi="ar"/>
              </w:rPr>
              <w:t>（</w:t>
            </w:r>
            <w:r>
              <w:rPr>
                <w:rStyle w:val="22"/>
                <w:rFonts w:eastAsia="宋体"/>
                <w:lang w:bidi="ar"/>
              </w:rPr>
              <w:t>Monthly rate</w:t>
            </w:r>
            <w:r>
              <w:rPr>
                <w:rFonts w:hint="eastAsia" w:ascii="宋体" w:hAnsi="宋体" w:eastAsia="宋体" w:cs="宋体"/>
                <w:b/>
                <w:bCs/>
                <w:color w:val="000000"/>
                <w:kern w:val="0"/>
                <w:sz w:val="18"/>
                <w:szCs w:val="18"/>
                <w:lang w:bidi="ar"/>
              </w:rPr>
              <w:t>）</w:t>
            </w:r>
          </w:p>
        </w:tc>
      </w:tr>
      <w:tr w14:paraId="606BCFA0">
        <w:tblPrEx>
          <w:tblCellMar>
            <w:top w:w="0" w:type="dxa"/>
            <w:left w:w="108" w:type="dxa"/>
            <w:bottom w:w="0" w:type="dxa"/>
            <w:right w:w="108" w:type="dxa"/>
          </w:tblCellMar>
        </w:tblPrEx>
        <w:trPr>
          <w:trHeight w:val="285" w:hRule="atLeast"/>
        </w:trPr>
        <w:tc>
          <w:tcPr>
            <w:tcW w:w="2063" w:type="pct"/>
            <w:tcBorders>
              <w:top w:val="single" w:color="000000" w:sz="8" w:space="0"/>
              <w:left w:val="nil"/>
              <w:bottom w:val="nil"/>
              <w:right w:val="nil"/>
            </w:tcBorders>
            <w:shd w:val="clear" w:color="auto" w:fill="FFFFFF"/>
            <w:noWrap/>
            <w:vAlign w:val="center"/>
          </w:tcPr>
          <w:p w14:paraId="50B76D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18</w:t>
            </w:r>
          </w:p>
        </w:tc>
        <w:tc>
          <w:tcPr>
            <w:tcW w:w="1787" w:type="pct"/>
            <w:tcBorders>
              <w:top w:val="single" w:color="000000" w:sz="8" w:space="0"/>
              <w:left w:val="nil"/>
              <w:bottom w:val="nil"/>
              <w:right w:val="nil"/>
            </w:tcBorders>
            <w:shd w:val="clear" w:color="auto" w:fill="FFFFFF"/>
            <w:noWrap/>
            <w:vAlign w:val="center"/>
          </w:tcPr>
          <w:p w14:paraId="27EA162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0.0260%</w:t>
            </w:r>
          </w:p>
        </w:tc>
        <w:tc>
          <w:tcPr>
            <w:tcW w:w="1148" w:type="pct"/>
            <w:tcBorders>
              <w:top w:val="single" w:color="000000" w:sz="8" w:space="0"/>
              <w:left w:val="nil"/>
              <w:bottom w:val="nil"/>
              <w:right w:val="nil"/>
            </w:tcBorders>
            <w:shd w:val="clear" w:color="auto" w:fill="FFFFFF"/>
            <w:noWrap/>
            <w:vAlign w:val="center"/>
          </w:tcPr>
          <w:p w14:paraId="5A6143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0.0022%</w:t>
            </w:r>
          </w:p>
        </w:tc>
      </w:tr>
      <w:tr w14:paraId="506B3C8B">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309150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w:t>
            </w:r>
          </w:p>
        </w:tc>
        <w:tc>
          <w:tcPr>
            <w:tcW w:w="1787" w:type="pct"/>
            <w:tcBorders>
              <w:top w:val="nil"/>
              <w:left w:val="nil"/>
              <w:bottom w:val="nil"/>
              <w:right w:val="nil"/>
            </w:tcBorders>
            <w:shd w:val="clear" w:color="auto" w:fill="FFFFFF"/>
            <w:noWrap/>
            <w:vAlign w:val="center"/>
          </w:tcPr>
          <w:p w14:paraId="2E796B1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0.0250%</w:t>
            </w:r>
          </w:p>
        </w:tc>
        <w:tc>
          <w:tcPr>
            <w:tcW w:w="1148" w:type="pct"/>
            <w:tcBorders>
              <w:top w:val="nil"/>
              <w:left w:val="nil"/>
              <w:bottom w:val="nil"/>
              <w:right w:val="nil"/>
            </w:tcBorders>
            <w:shd w:val="clear" w:color="auto" w:fill="FFFFFF"/>
            <w:noWrap/>
            <w:vAlign w:val="center"/>
          </w:tcPr>
          <w:p w14:paraId="030E23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0.0021%</w:t>
            </w:r>
          </w:p>
        </w:tc>
      </w:tr>
      <w:tr w14:paraId="6B47F2A4">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CFE88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w:t>
            </w:r>
          </w:p>
        </w:tc>
        <w:tc>
          <w:tcPr>
            <w:tcW w:w="1787" w:type="pct"/>
            <w:tcBorders>
              <w:top w:val="nil"/>
              <w:left w:val="nil"/>
              <w:bottom w:val="nil"/>
              <w:right w:val="nil"/>
            </w:tcBorders>
            <w:shd w:val="clear" w:color="auto" w:fill="FFFFFF"/>
            <w:noWrap/>
            <w:vAlign w:val="center"/>
          </w:tcPr>
          <w:p w14:paraId="0BD0051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0.0280%</w:t>
            </w:r>
          </w:p>
        </w:tc>
        <w:tc>
          <w:tcPr>
            <w:tcW w:w="1148" w:type="pct"/>
            <w:tcBorders>
              <w:top w:val="nil"/>
              <w:left w:val="nil"/>
              <w:bottom w:val="nil"/>
              <w:right w:val="nil"/>
            </w:tcBorders>
            <w:shd w:val="clear" w:color="auto" w:fill="FFFFFF"/>
            <w:noWrap/>
            <w:vAlign w:val="center"/>
          </w:tcPr>
          <w:p w14:paraId="465FFB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0.0023%</w:t>
            </w:r>
          </w:p>
        </w:tc>
      </w:tr>
      <w:tr w14:paraId="15C1B50C">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2347E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w:t>
            </w:r>
          </w:p>
        </w:tc>
        <w:tc>
          <w:tcPr>
            <w:tcW w:w="1787" w:type="pct"/>
            <w:tcBorders>
              <w:top w:val="nil"/>
              <w:left w:val="nil"/>
              <w:bottom w:val="nil"/>
              <w:right w:val="nil"/>
            </w:tcBorders>
            <w:shd w:val="clear" w:color="auto" w:fill="FFFFFF"/>
            <w:noWrap/>
            <w:vAlign w:val="center"/>
          </w:tcPr>
          <w:p w14:paraId="72D2D31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0.0280%</w:t>
            </w:r>
          </w:p>
        </w:tc>
        <w:tc>
          <w:tcPr>
            <w:tcW w:w="1148" w:type="pct"/>
            <w:tcBorders>
              <w:top w:val="nil"/>
              <w:left w:val="nil"/>
              <w:bottom w:val="nil"/>
              <w:right w:val="nil"/>
            </w:tcBorders>
            <w:shd w:val="clear" w:color="auto" w:fill="FFFFFF"/>
            <w:noWrap/>
            <w:vAlign w:val="center"/>
          </w:tcPr>
          <w:p w14:paraId="1CF8F45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0.0023%</w:t>
            </w:r>
          </w:p>
        </w:tc>
      </w:tr>
      <w:tr w14:paraId="4BA96CA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34B5D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22</w:t>
            </w:r>
          </w:p>
        </w:tc>
        <w:tc>
          <w:tcPr>
            <w:tcW w:w="1787" w:type="pct"/>
            <w:tcBorders>
              <w:top w:val="nil"/>
              <w:left w:val="nil"/>
              <w:bottom w:val="nil"/>
              <w:right w:val="nil"/>
            </w:tcBorders>
            <w:shd w:val="clear" w:color="auto" w:fill="FFFFFF"/>
            <w:noWrap/>
            <w:vAlign w:val="center"/>
          </w:tcPr>
          <w:p w14:paraId="3D4492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0.0300%</w:t>
            </w:r>
          </w:p>
        </w:tc>
        <w:tc>
          <w:tcPr>
            <w:tcW w:w="1148" w:type="pct"/>
            <w:tcBorders>
              <w:top w:val="nil"/>
              <w:left w:val="nil"/>
              <w:bottom w:val="nil"/>
              <w:right w:val="nil"/>
            </w:tcBorders>
            <w:shd w:val="clear" w:color="auto" w:fill="FFFFFF"/>
            <w:noWrap/>
            <w:vAlign w:val="center"/>
          </w:tcPr>
          <w:p w14:paraId="0AB1377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0.0025%</w:t>
            </w:r>
          </w:p>
        </w:tc>
      </w:tr>
      <w:tr w14:paraId="69538AD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DB930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w:t>
            </w:r>
          </w:p>
        </w:tc>
        <w:tc>
          <w:tcPr>
            <w:tcW w:w="1787" w:type="pct"/>
            <w:tcBorders>
              <w:top w:val="nil"/>
              <w:left w:val="nil"/>
              <w:bottom w:val="nil"/>
              <w:right w:val="nil"/>
            </w:tcBorders>
            <w:shd w:val="clear" w:color="auto" w:fill="FFFFFF"/>
            <w:noWrap/>
            <w:vAlign w:val="center"/>
          </w:tcPr>
          <w:p w14:paraId="047D30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0.0330%</w:t>
            </w:r>
          </w:p>
        </w:tc>
        <w:tc>
          <w:tcPr>
            <w:tcW w:w="1148" w:type="pct"/>
            <w:tcBorders>
              <w:top w:val="nil"/>
              <w:left w:val="nil"/>
              <w:bottom w:val="nil"/>
              <w:right w:val="nil"/>
            </w:tcBorders>
            <w:shd w:val="clear" w:color="auto" w:fill="FFFFFF"/>
            <w:noWrap/>
            <w:vAlign w:val="center"/>
          </w:tcPr>
          <w:p w14:paraId="51C0B7A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0.0028%</w:t>
            </w:r>
          </w:p>
        </w:tc>
      </w:tr>
      <w:tr w14:paraId="6FEFD78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501506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w:t>
            </w:r>
          </w:p>
        </w:tc>
        <w:tc>
          <w:tcPr>
            <w:tcW w:w="1787" w:type="pct"/>
            <w:tcBorders>
              <w:top w:val="nil"/>
              <w:left w:val="nil"/>
              <w:bottom w:val="nil"/>
              <w:right w:val="nil"/>
            </w:tcBorders>
            <w:shd w:val="clear" w:color="auto" w:fill="FFFFFF"/>
            <w:noWrap/>
            <w:vAlign w:val="center"/>
          </w:tcPr>
          <w:p w14:paraId="5E75C55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0.0340%</w:t>
            </w:r>
          </w:p>
        </w:tc>
        <w:tc>
          <w:tcPr>
            <w:tcW w:w="1148" w:type="pct"/>
            <w:tcBorders>
              <w:top w:val="nil"/>
              <w:left w:val="nil"/>
              <w:bottom w:val="nil"/>
              <w:right w:val="nil"/>
            </w:tcBorders>
            <w:shd w:val="clear" w:color="auto" w:fill="FFFFFF"/>
            <w:noWrap/>
            <w:vAlign w:val="center"/>
          </w:tcPr>
          <w:p w14:paraId="6720C9F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0.0028%</w:t>
            </w:r>
          </w:p>
        </w:tc>
      </w:tr>
      <w:tr w14:paraId="4FBC8293">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5F2C19A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25</w:t>
            </w:r>
          </w:p>
        </w:tc>
        <w:tc>
          <w:tcPr>
            <w:tcW w:w="1787" w:type="pct"/>
            <w:tcBorders>
              <w:top w:val="nil"/>
              <w:left w:val="nil"/>
              <w:bottom w:val="nil"/>
              <w:right w:val="nil"/>
            </w:tcBorders>
            <w:shd w:val="clear" w:color="auto" w:fill="FFFFFF"/>
            <w:noWrap/>
            <w:vAlign w:val="center"/>
          </w:tcPr>
          <w:p w14:paraId="39E0095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0.0350%</w:t>
            </w:r>
          </w:p>
        </w:tc>
        <w:tc>
          <w:tcPr>
            <w:tcW w:w="1148" w:type="pct"/>
            <w:tcBorders>
              <w:top w:val="nil"/>
              <w:left w:val="nil"/>
              <w:bottom w:val="nil"/>
              <w:right w:val="nil"/>
            </w:tcBorders>
            <w:shd w:val="clear" w:color="auto" w:fill="FFFFFF"/>
            <w:noWrap/>
            <w:vAlign w:val="center"/>
          </w:tcPr>
          <w:p w14:paraId="62D2E5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0.0029%</w:t>
            </w:r>
          </w:p>
        </w:tc>
      </w:tr>
      <w:tr w14:paraId="4F50BB17">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DEA180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w:t>
            </w:r>
          </w:p>
        </w:tc>
        <w:tc>
          <w:tcPr>
            <w:tcW w:w="1787" w:type="pct"/>
            <w:tcBorders>
              <w:top w:val="nil"/>
              <w:left w:val="nil"/>
              <w:bottom w:val="nil"/>
              <w:right w:val="nil"/>
            </w:tcBorders>
            <w:shd w:val="clear" w:color="auto" w:fill="FFFFFF"/>
            <w:noWrap/>
            <w:vAlign w:val="center"/>
          </w:tcPr>
          <w:p w14:paraId="68A850C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0.0350%</w:t>
            </w:r>
          </w:p>
        </w:tc>
        <w:tc>
          <w:tcPr>
            <w:tcW w:w="1148" w:type="pct"/>
            <w:tcBorders>
              <w:top w:val="nil"/>
              <w:left w:val="nil"/>
              <w:bottom w:val="nil"/>
              <w:right w:val="nil"/>
            </w:tcBorders>
            <w:shd w:val="clear" w:color="auto" w:fill="FFFFFF"/>
            <w:noWrap/>
            <w:vAlign w:val="center"/>
          </w:tcPr>
          <w:p w14:paraId="1C2EED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0.0029%</w:t>
            </w:r>
          </w:p>
        </w:tc>
      </w:tr>
      <w:tr w14:paraId="2DEA7FCD">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726517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27</w:t>
            </w:r>
          </w:p>
        </w:tc>
        <w:tc>
          <w:tcPr>
            <w:tcW w:w="1787" w:type="pct"/>
            <w:tcBorders>
              <w:top w:val="nil"/>
              <w:left w:val="nil"/>
              <w:bottom w:val="nil"/>
              <w:right w:val="nil"/>
            </w:tcBorders>
            <w:shd w:val="clear" w:color="auto" w:fill="FFFFFF"/>
            <w:noWrap/>
            <w:vAlign w:val="center"/>
          </w:tcPr>
          <w:p w14:paraId="440F78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0.0370%</w:t>
            </w:r>
          </w:p>
        </w:tc>
        <w:tc>
          <w:tcPr>
            <w:tcW w:w="1148" w:type="pct"/>
            <w:tcBorders>
              <w:top w:val="nil"/>
              <w:left w:val="nil"/>
              <w:bottom w:val="nil"/>
              <w:right w:val="nil"/>
            </w:tcBorders>
            <w:shd w:val="clear" w:color="auto" w:fill="FFFFFF"/>
            <w:noWrap/>
            <w:vAlign w:val="center"/>
          </w:tcPr>
          <w:p w14:paraId="208BCAA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0.0031%</w:t>
            </w:r>
          </w:p>
        </w:tc>
      </w:tr>
      <w:tr w14:paraId="4C8714AB">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8359D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28</w:t>
            </w:r>
          </w:p>
        </w:tc>
        <w:tc>
          <w:tcPr>
            <w:tcW w:w="1787" w:type="pct"/>
            <w:tcBorders>
              <w:top w:val="nil"/>
              <w:left w:val="nil"/>
              <w:bottom w:val="nil"/>
              <w:right w:val="nil"/>
            </w:tcBorders>
            <w:shd w:val="clear" w:color="auto" w:fill="FFFFFF"/>
            <w:noWrap/>
            <w:vAlign w:val="center"/>
          </w:tcPr>
          <w:p w14:paraId="5BD919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0.0360%</w:t>
            </w:r>
          </w:p>
        </w:tc>
        <w:tc>
          <w:tcPr>
            <w:tcW w:w="1148" w:type="pct"/>
            <w:tcBorders>
              <w:top w:val="nil"/>
              <w:left w:val="nil"/>
              <w:bottom w:val="nil"/>
              <w:right w:val="nil"/>
            </w:tcBorders>
            <w:shd w:val="clear" w:color="auto" w:fill="FFFFFF"/>
            <w:noWrap/>
            <w:vAlign w:val="center"/>
          </w:tcPr>
          <w:p w14:paraId="32B45E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0.0030%</w:t>
            </w:r>
          </w:p>
        </w:tc>
      </w:tr>
      <w:tr w14:paraId="2C876EC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530C8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29</w:t>
            </w:r>
          </w:p>
        </w:tc>
        <w:tc>
          <w:tcPr>
            <w:tcW w:w="1787" w:type="pct"/>
            <w:tcBorders>
              <w:top w:val="nil"/>
              <w:left w:val="nil"/>
              <w:bottom w:val="nil"/>
              <w:right w:val="nil"/>
            </w:tcBorders>
            <w:shd w:val="clear" w:color="auto" w:fill="FFFFFF"/>
            <w:noWrap/>
            <w:vAlign w:val="center"/>
          </w:tcPr>
          <w:p w14:paraId="6B95254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0.0410%</w:t>
            </w:r>
          </w:p>
        </w:tc>
        <w:tc>
          <w:tcPr>
            <w:tcW w:w="1148" w:type="pct"/>
            <w:tcBorders>
              <w:top w:val="nil"/>
              <w:left w:val="nil"/>
              <w:bottom w:val="nil"/>
              <w:right w:val="nil"/>
            </w:tcBorders>
            <w:shd w:val="clear" w:color="auto" w:fill="FFFFFF"/>
            <w:noWrap/>
            <w:vAlign w:val="center"/>
          </w:tcPr>
          <w:p w14:paraId="53C44B3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0.0034%</w:t>
            </w:r>
          </w:p>
        </w:tc>
      </w:tr>
      <w:tr w14:paraId="3576B8B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2B0A4C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w:t>
            </w:r>
          </w:p>
        </w:tc>
        <w:tc>
          <w:tcPr>
            <w:tcW w:w="1787" w:type="pct"/>
            <w:tcBorders>
              <w:top w:val="nil"/>
              <w:left w:val="nil"/>
              <w:bottom w:val="nil"/>
              <w:right w:val="nil"/>
            </w:tcBorders>
            <w:shd w:val="clear" w:color="auto" w:fill="FFFFFF"/>
            <w:noWrap/>
            <w:vAlign w:val="center"/>
          </w:tcPr>
          <w:p w14:paraId="2DAF194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0.0440%</w:t>
            </w:r>
          </w:p>
        </w:tc>
        <w:tc>
          <w:tcPr>
            <w:tcW w:w="1148" w:type="pct"/>
            <w:tcBorders>
              <w:top w:val="nil"/>
              <w:left w:val="nil"/>
              <w:bottom w:val="nil"/>
              <w:right w:val="nil"/>
            </w:tcBorders>
            <w:shd w:val="clear" w:color="auto" w:fill="FFFFFF"/>
            <w:noWrap/>
            <w:vAlign w:val="center"/>
          </w:tcPr>
          <w:p w14:paraId="316973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0.0037%</w:t>
            </w:r>
          </w:p>
        </w:tc>
      </w:tr>
      <w:tr w14:paraId="70842B2E">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698F7E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31</w:t>
            </w:r>
          </w:p>
        </w:tc>
        <w:tc>
          <w:tcPr>
            <w:tcW w:w="1787" w:type="pct"/>
            <w:tcBorders>
              <w:top w:val="nil"/>
              <w:left w:val="nil"/>
              <w:bottom w:val="nil"/>
              <w:right w:val="nil"/>
            </w:tcBorders>
            <w:shd w:val="clear" w:color="auto" w:fill="FFFFFF"/>
            <w:noWrap/>
            <w:vAlign w:val="center"/>
          </w:tcPr>
          <w:p w14:paraId="556A63C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0.0480%</w:t>
            </w:r>
          </w:p>
        </w:tc>
        <w:tc>
          <w:tcPr>
            <w:tcW w:w="1148" w:type="pct"/>
            <w:tcBorders>
              <w:top w:val="nil"/>
              <w:left w:val="nil"/>
              <w:bottom w:val="nil"/>
              <w:right w:val="nil"/>
            </w:tcBorders>
            <w:shd w:val="clear" w:color="auto" w:fill="FFFFFF"/>
            <w:noWrap/>
            <w:vAlign w:val="center"/>
          </w:tcPr>
          <w:p w14:paraId="6D83B35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0.0040%</w:t>
            </w:r>
          </w:p>
        </w:tc>
      </w:tr>
      <w:tr w14:paraId="17042CAD">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97979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32</w:t>
            </w:r>
          </w:p>
        </w:tc>
        <w:tc>
          <w:tcPr>
            <w:tcW w:w="1787" w:type="pct"/>
            <w:tcBorders>
              <w:top w:val="nil"/>
              <w:left w:val="nil"/>
              <w:bottom w:val="nil"/>
              <w:right w:val="nil"/>
            </w:tcBorders>
            <w:shd w:val="clear" w:color="auto" w:fill="FFFFFF"/>
            <w:noWrap/>
            <w:vAlign w:val="center"/>
          </w:tcPr>
          <w:p w14:paraId="64340B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0.0490%</w:t>
            </w:r>
          </w:p>
        </w:tc>
        <w:tc>
          <w:tcPr>
            <w:tcW w:w="1148" w:type="pct"/>
            <w:tcBorders>
              <w:top w:val="nil"/>
              <w:left w:val="nil"/>
              <w:bottom w:val="nil"/>
              <w:right w:val="nil"/>
            </w:tcBorders>
            <w:shd w:val="clear" w:color="auto" w:fill="FFFFFF"/>
            <w:noWrap/>
            <w:vAlign w:val="center"/>
          </w:tcPr>
          <w:p w14:paraId="3BB7D8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0.0041%</w:t>
            </w:r>
          </w:p>
        </w:tc>
      </w:tr>
      <w:tr w14:paraId="4E1F648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632AF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33</w:t>
            </w:r>
          </w:p>
        </w:tc>
        <w:tc>
          <w:tcPr>
            <w:tcW w:w="1787" w:type="pct"/>
            <w:tcBorders>
              <w:top w:val="nil"/>
              <w:left w:val="nil"/>
              <w:bottom w:val="nil"/>
              <w:right w:val="nil"/>
            </w:tcBorders>
            <w:shd w:val="clear" w:color="auto" w:fill="FFFFFF"/>
            <w:noWrap/>
            <w:vAlign w:val="center"/>
          </w:tcPr>
          <w:p w14:paraId="317B2D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0.0500%</w:t>
            </w:r>
          </w:p>
        </w:tc>
        <w:tc>
          <w:tcPr>
            <w:tcW w:w="1148" w:type="pct"/>
            <w:tcBorders>
              <w:top w:val="nil"/>
              <w:left w:val="nil"/>
              <w:bottom w:val="nil"/>
              <w:right w:val="nil"/>
            </w:tcBorders>
            <w:shd w:val="clear" w:color="auto" w:fill="FFFFFF"/>
            <w:noWrap/>
            <w:vAlign w:val="center"/>
          </w:tcPr>
          <w:p w14:paraId="5D7E376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0.0042%</w:t>
            </w:r>
          </w:p>
        </w:tc>
      </w:tr>
      <w:tr w14:paraId="6D5282E8">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5602BD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34</w:t>
            </w:r>
          </w:p>
        </w:tc>
        <w:tc>
          <w:tcPr>
            <w:tcW w:w="1787" w:type="pct"/>
            <w:tcBorders>
              <w:top w:val="nil"/>
              <w:left w:val="nil"/>
              <w:bottom w:val="nil"/>
              <w:right w:val="nil"/>
            </w:tcBorders>
            <w:shd w:val="clear" w:color="auto" w:fill="FFFFFF"/>
            <w:noWrap/>
            <w:vAlign w:val="center"/>
          </w:tcPr>
          <w:p w14:paraId="757DC12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0.0600%</w:t>
            </w:r>
          </w:p>
        </w:tc>
        <w:tc>
          <w:tcPr>
            <w:tcW w:w="1148" w:type="pct"/>
            <w:tcBorders>
              <w:top w:val="nil"/>
              <w:left w:val="nil"/>
              <w:bottom w:val="nil"/>
              <w:right w:val="nil"/>
            </w:tcBorders>
            <w:shd w:val="clear" w:color="auto" w:fill="FFFFFF"/>
            <w:noWrap/>
            <w:vAlign w:val="center"/>
          </w:tcPr>
          <w:p w14:paraId="7468A3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0.0050%</w:t>
            </w:r>
          </w:p>
        </w:tc>
      </w:tr>
      <w:tr w14:paraId="56236A72">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174F74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35</w:t>
            </w:r>
          </w:p>
        </w:tc>
        <w:tc>
          <w:tcPr>
            <w:tcW w:w="1787" w:type="pct"/>
            <w:tcBorders>
              <w:top w:val="nil"/>
              <w:left w:val="nil"/>
              <w:bottom w:val="nil"/>
              <w:right w:val="nil"/>
            </w:tcBorders>
            <w:shd w:val="clear" w:color="auto" w:fill="FFFFFF"/>
            <w:noWrap/>
            <w:vAlign w:val="center"/>
          </w:tcPr>
          <w:p w14:paraId="4F3FB93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0.0620%</w:t>
            </w:r>
          </w:p>
        </w:tc>
        <w:tc>
          <w:tcPr>
            <w:tcW w:w="1148" w:type="pct"/>
            <w:tcBorders>
              <w:top w:val="nil"/>
              <w:left w:val="nil"/>
              <w:bottom w:val="nil"/>
              <w:right w:val="nil"/>
            </w:tcBorders>
            <w:shd w:val="clear" w:color="auto" w:fill="FFFFFF"/>
            <w:noWrap/>
            <w:vAlign w:val="center"/>
          </w:tcPr>
          <w:p w14:paraId="5AB1129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0.0052%</w:t>
            </w:r>
          </w:p>
        </w:tc>
      </w:tr>
      <w:tr w14:paraId="5245391D">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7B782B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36</w:t>
            </w:r>
          </w:p>
        </w:tc>
        <w:tc>
          <w:tcPr>
            <w:tcW w:w="1787" w:type="pct"/>
            <w:tcBorders>
              <w:top w:val="nil"/>
              <w:left w:val="nil"/>
              <w:bottom w:val="nil"/>
              <w:right w:val="nil"/>
            </w:tcBorders>
            <w:shd w:val="clear" w:color="auto" w:fill="FFFFFF"/>
            <w:noWrap/>
            <w:vAlign w:val="center"/>
          </w:tcPr>
          <w:p w14:paraId="461E5E2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0.0660%</w:t>
            </w:r>
          </w:p>
        </w:tc>
        <w:tc>
          <w:tcPr>
            <w:tcW w:w="1148" w:type="pct"/>
            <w:tcBorders>
              <w:top w:val="nil"/>
              <w:left w:val="nil"/>
              <w:bottom w:val="nil"/>
              <w:right w:val="nil"/>
            </w:tcBorders>
            <w:shd w:val="clear" w:color="auto" w:fill="FFFFFF"/>
            <w:noWrap/>
            <w:vAlign w:val="center"/>
          </w:tcPr>
          <w:p w14:paraId="160ED6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0.0055%</w:t>
            </w:r>
          </w:p>
        </w:tc>
      </w:tr>
      <w:tr w14:paraId="12B3E9D3">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4ACF0B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37</w:t>
            </w:r>
          </w:p>
        </w:tc>
        <w:tc>
          <w:tcPr>
            <w:tcW w:w="1787" w:type="pct"/>
            <w:tcBorders>
              <w:top w:val="nil"/>
              <w:left w:val="nil"/>
              <w:bottom w:val="nil"/>
              <w:right w:val="nil"/>
            </w:tcBorders>
            <w:shd w:val="clear" w:color="auto" w:fill="FFFFFF"/>
            <w:noWrap/>
            <w:vAlign w:val="center"/>
          </w:tcPr>
          <w:p w14:paraId="399C6F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0.0700%</w:t>
            </w:r>
          </w:p>
        </w:tc>
        <w:tc>
          <w:tcPr>
            <w:tcW w:w="1148" w:type="pct"/>
            <w:tcBorders>
              <w:top w:val="nil"/>
              <w:left w:val="nil"/>
              <w:bottom w:val="nil"/>
              <w:right w:val="nil"/>
            </w:tcBorders>
            <w:shd w:val="clear" w:color="auto" w:fill="FFFFFF"/>
            <w:noWrap/>
            <w:vAlign w:val="center"/>
          </w:tcPr>
          <w:p w14:paraId="4169CB9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0.0058%</w:t>
            </w:r>
          </w:p>
        </w:tc>
      </w:tr>
      <w:tr w14:paraId="0E2D37AC">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B1DFD3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38</w:t>
            </w:r>
          </w:p>
        </w:tc>
        <w:tc>
          <w:tcPr>
            <w:tcW w:w="1787" w:type="pct"/>
            <w:tcBorders>
              <w:top w:val="nil"/>
              <w:left w:val="nil"/>
              <w:bottom w:val="nil"/>
              <w:right w:val="nil"/>
            </w:tcBorders>
            <w:shd w:val="clear" w:color="auto" w:fill="FFFFFF"/>
            <w:noWrap/>
            <w:vAlign w:val="center"/>
          </w:tcPr>
          <w:p w14:paraId="688754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0.0750%</w:t>
            </w:r>
          </w:p>
        </w:tc>
        <w:tc>
          <w:tcPr>
            <w:tcW w:w="1148" w:type="pct"/>
            <w:tcBorders>
              <w:top w:val="nil"/>
              <w:left w:val="nil"/>
              <w:bottom w:val="nil"/>
              <w:right w:val="nil"/>
            </w:tcBorders>
            <w:shd w:val="clear" w:color="auto" w:fill="FFFFFF"/>
            <w:noWrap/>
            <w:vAlign w:val="center"/>
          </w:tcPr>
          <w:p w14:paraId="2AB573E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0.0062%</w:t>
            </w:r>
          </w:p>
        </w:tc>
      </w:tr>
      <w:tr w14:paraId="6C2138C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7BD7C8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39</w:t>
            </w:r>
          </w:p>
        </w:tc>
        <w:tc>
          <w:tcPr>
            <w:tcW w:w="1787" w:type="pct"/>
            <w:tcBorders>
              <w:top w:val="nil"/>
              <w:left w:val="nil"/>
              <w:bottom w:val="nil"/>
              <w:right w:val="nil"/>
            </w:tcBorders>
            <w:shd w:val="clear" w:color="auto" w:fill="FFFFFF"/>
            <w:noWrap/>
            <w:vAlign w:val="center"/>
          </w:tcPr>
          <w:p w14:paraId="3B5F25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0.0820%</w:t>
            </w:r>
          </w:p>
        </w:tc>
        <w:tc>
          <w:tcPr>
            <w:tcW w:w="1148" w:type="pct"/>
            <w:tcBorders>
              <w:top w:val="nil"/>
              <w:left w:val="nil"/>
              <w:bottom w:val="nil"/>
              <w:right w:val="nil"/>
            </w:tcBorders>
            <w:shd w:val="clear" w:color="auto" w:fill="FFFFFF"/>
            <w:noWrap/>
            <w:vAlign w:val="center"/>
          </w:tcPr>
          <w:p w14:paraId="4C40C7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0.0068%</w:t>
            </w:r>
          </w:p>
        </w:tc>
      </w:tr>
      <w:tr w14:paraId="586E959D">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518B27B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40</w:t>
            </w:r>
          </w:p>
        </w:tc>
        <w:tc>
          <w:tcPr>
            <w:tcW w:w="1787" w:type="pct"/>
            <w:tcBorders>
              <w:top w:val="nil"/>
              <w:left w:val="nil"/>
              <w:bottom w:val="nil"/>
              <w:right w:val="nil"/>
            </w:tcBorders>
            <w:shd w:val="clear" w:color="auto" w:fill="FFFFFF"/>
            <w:noWrap/>
            <w:vAlign w:val="center"/>
          </w:tcPr>
          <w:p w14:paraId="627E9A9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0.0960%</w:t>
            </w:r>
          </w:p>
        </w:tc>
        <w:tc>
          <w:tcPr>
            <w:tcW w:w="1148" w:type="pct"/>
            <w:tcBorders>
              <w:top w:val="nil"/>
              <w:left w:val="nil"/>
              <w:bottom w:val="nil"/>
              <w:right w:val="nil"/>
            </w:tcBorders>
            <w:shd w:val="clear" w:color="auto" w:fill="FFFFFF"/>
            <w:noWrap/>
            <w:vAlign w:val="center"/>
          </w:tcPr>
          <w:p w14:paraId="2DFCDB1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0.0080%</w:t>
            </w:r>
          </w:p>
        </w:tc>
      </w:tr>
      <w:tr w14:paraId="1FA27E9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56E9D1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41</w:t>
            </w:r>
          </w:p>
        </w:tc>
        <w:tc>
          <w:tcPr>
            <w:tcW w:w="1787" w:type="pct"/>
            <w:tcBorders>
              <w:top w:val="nil"/>
              <w:left w:val="nil"/>
              <w:bottom w:val="nil"/>
              <w:right w:val="nil"/>
            </w:tcBorders>
            <w:shd w:val="clear" w:color="auto" w:fill="FFFFFF"/>
            <w:noWrap/>
            <w:vAlign w:val="center"/>
          </w:tcPr>
          <w:p w14:paraId="1F8CB1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0.0980%</w:t>
            </w:r>
          </w:p>
        </w:tc>
        <w:tc>
          <w:tcPr>
            <w:tcW w:w="1148" w:type="pct"/>
            <w:tcBorders>
              <w:top w:val="nil"/>
              <w:left w:val="nil"/>
              <w:bottom w:val="nil"/>
              <w:right w:val="nil"/>
            </w:tcBorders>
            <w:shd w:val="clear" w:color="auto" w:fill="FFFFFF"/>
            <w:noWrap/>
            <w:vAlign w:val="center"/>
          </w:tcPr>
          <w:p w14:paraId="73730C0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0.0082%</w:t>
            </w:r>
          </w:p>
        </w:tc>
      </w:tr>
      <w:tr w14:paraId="489B782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7DED99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42</w:t>
            </w:r>
          </w:p>
        </w:tc>
        <w:tc>
          <w:tcPr>
            <w:tcW w:w="1787" w:type="pct"/>
            <w:tcBorders>
              <w:top w:val="nil"/>
              <w:left w:val="nil"/>
              <w:bottom w:val="nil"/>
              <w:right w:val="nil"/>
            </w:tcBorders>
            <w:shd w:val="clear" w:color="auto" w:fill="FFFFFF"/>
            <w:noWrap/>
            <w:vAlign w:val="center"/>
          </w:tcPr>
          <w:p w14:paraId="7B4E704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0.1150%</w:t>
            </w:r>
          </w:p>
        </w:tc>
        <w:tc>
          <w:tcPr>
            <w:tcW w:w="1148" w:type="pct"/>
            <w:tcBorders>
              <w:top w:val="nil"/>
              <w:left w:val="nil"/>
              <w:bottom w:val="nil"/>
              <w:right w:val="nil"/>
            </w:tcBorders>
            <w:shd w:val="clear" w:color="auto" w:fill="FFFFFF"/>
            <w:noWrap/>
            <w:vAlign w:val="center"/>
          </w:tcPr>
          <w:p w14:paraId="0B36991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0.0096%</w:t>
            </w:r>
          </w:p>
        </w:tc>
      </w:tr>
      <w:tr w14:paraId="4196CB5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F5D022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43</w:t>
            </w:r>
          </w:p>
        </w:tc>
        <w:tc>
          <w:tcPr>
            <w:tcW w:w="1787" w:type="pct"/>
            <w:tcBorders>
              <w:top w:val="nil"/>
              <w:left w:val="nil"/>
              <w:bottom w:val="nil"/>
              <w:right w:val="nil"/>
            </w:tcBorders>
            <w:shd w:val="clear" w:color="auto" w:fill="FFFFFF"/>
            <w:noWrap/>
            <w:vAlign w:val="center"/>
          </w:tcPr>
          <w:p w14:paraId="7E285C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0.1180%</w:t>
            </w:r>
          </w:p>
        </w:tc>
        <w:tc>
          <w:tcPr>
            <w:tcW w:w="1148" w:type="pct"/>
            <w:tcBorders>
              <w:top w:val="nil"/>
              <w:left w:val="nil"/>
              <w:bottom w:val="nil"/>
              <w:right w:val="nil"/>
            </w:tcBorders>
            <w:shd w:val="clear" w:color="auto" w:fill="FFFFFF"/>
            <w:noWrap/>
            <w:vAlign w:val="center"/>
          </w:tcPr>
          <w:p w14:paraId="6D6E754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0.0098%</w:t>
            </w:r>
          </w:p>
        </w:tc>
      </w:tr>
      <w:tr w14:paraId="1A431342">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51037D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44</w:t>
            </w:r>
          </w:p>
        </w:tc>
        <w:tc>
          <w:tcPr>
            <w:tcW w:w="1787" w:type="pct"/>
            <w:tcBorders>
              <w:top w:val="nil"/>
              <w:left w:val="nil"/>
              <w:bottom w:val="nil"/>
              <w:right w:val="nil"/>
            </w:tcBorders>
            <w:shd w:val="clear" w:color="auto" w:fill="FFFFFF"/>
            <w:noWrap/>
            <w:vAlign w:val="center"/>
          </w:tcPr>
          <w:p w14:paraId="0DEA01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0.1320%</w:t>
            </w:r>
          </w:p>
        </w:tc>
        <w:tc>
          <w:tcPr>
            <w:tcW w:w="1148" w:type="pct"/>
            <w:tcBorders>
              <w:top w:val="nil"/>
              <w:left w:val="nil"/>
              <w:bottom w:val="nil"/>
              <w:right w:val="nil"/>
            </w:tcBorders>
            <w:shd w:val="clear" w:color="auto" w:fill="FFFFFF"/>
            <w:noWrap/>
            <w:vAlign w:val="center"/>
          </w:tcPr>
          <w:p w14:paraId="653E18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0.0110%</w:t>
            </w:r>
          </w:p>
        </w:tc>
      </w:tr>
      <w:tr w14:paraId="2AFEA4E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A4684C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45</w:t>
            </w:r>
          </w:p>
        </w:tc>
        <w:tc>
          <w:tcPr>
            <w:tcW w:w="1787" w:type="pct"/>
            <w:tcBorders>
              <w:top w:val="nil"/>
              <w:left w:val="nil"/>
              <w:bottom w:val="nil"/>
              <w:right w:val="nil"/>
            </w:tcBorders>
            <w:shd w:val="clear" w:color="auto" w:fill="FFFFFF"/>
            <w:noWrap/>
            <w:vAlign w:val="center"/>
          </w:tcPr>
          <w:p w14:paraId="1E5F6EF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0.1490%</w:t>
            </w:r>
          </w:p>
        </w:tc>
        <w:tc>
          <w:tcPr>
            <w:tcW w:w="1148" w:type="pct"/>
            <w:tcBorders>
              <w:top w:val="nil"/>
              <w:left w:val="nil"/>
              <w:bottom w:val="nil"/>
              <w:right w:val="nil"/>
            </w:tcBorders>
            <w:shd w:val="clear" w:color="auto" w:fill="FFFFFF"/>
            <w:noWrap/>
            <w:vAlign w:val="center"/>
          </w:tcPr>
          <w:p w14:paraId="4E3038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0.0124%</w:t>
            </w:r>
          </w:p>
        </w:tc>
      </w:tr>
      <w:tr w14:paraId="31E31677">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608E26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46</w:t>
            </w:r>
          </w:p>
        </w:tc>
        <w:tc>
          <w:tcPr>
            <w:tcW w:w="1787" w:type="pct"/>
            <w:tcBorders>
              <w:top w:val="nil"/>
              <w:left w:val="nil"/>
              <w:bottom w:val="nil"/>
              <w:right w:val="nil"/>
            </w:tcBorders>
            <w:shd w:val="clear" w:color="auto" w:fill="FFFFFF"/>
            <w:noWrap/>
            <w:vAlign w:val="center"/>
          </w:tcPr>
          <w:p w14:paraId="1DE22A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0.1510%</w:t>
            </w:r>
          </w:p>
        </w:tc>
        <w:tc>
          <w:tcPr>
            <w:tcW w:w="1148" w:type="pct"/>
            <w:tcBorders>
              <w:top w:val="nil"/>
              <w:left w:val="nil"/>
              <w:bottom w:val="nil"/>
              <w:right w:val="nil"/>
            </w:tcBorders>
            <w:shd w:val="clear" w:color="auto" w:fill="FFFFFF"/>
            <w:noWrap/>
            <w:vAlign w:val="center"/>
          </w:tcPr>
          <w:p w14:paraId="0886AE8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0.0126%</w:t>
            </w:r>
          </w:p>
        </w:tc>
      </w:tr>
      <w:tr w14:paraId="3C87E482">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FE1926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47</w:t>
            </w:r>
          </w:p>
        </w:tc>
        <w:tc>
          <w:tcPr>
            <w:tcW w:w="1787" w:type="pct"/>
            <w:tcBorders>
              <w:top w:val="nil"/>
              <w:left w:val="nil"/>
              <w:bottom w:val="nil"/>
              <w:right w:val="nil"/>
            </w:tcBorders>
            <w:shd w:val="clear" w:color="auto" w:fill="FFFFFF"/>
            <w:noWrap/>
            <w:vAlign w:val="center"/>
          </w:tcPr>
          <w:p w14:paraId="3BBA0B4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0.1640%</w:t>
            </w:r>
          </w:p>
        </w:tc>
        <w:tc>
          <w:tcPr>
            <w:tcW w:w="1148" w:type="pct"/>
            <w:tcBorders>
              <w:top w:val="nil"/>
              <w:left w:val="nil"/>
              <w:bottom w:val="nil"/>
              <w:right w:val="nil"/>
            </w:tcBorders>
            <w:shd w:val="clear" w:color="auto" w:fill="FFFFFF"/>
            <w:noWrap/>
            <w:vAlign w:val="center"/>
          </w:tcPr>
          <w:p w14:paraId="6B4E79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0.0137%</w:t>
            </w:r>
          </w:p>
        </w:tc>
      </w:tr>
      <w:tr w14:paraId="4C749B7A">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4562CF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48</w:t>
            </w:r>
          </w:p>
        </w:tc>
        <w:tc>
          <w:tcPr>
            <w:tcW w:w="1787" w:type="pct"/>
            <w:tcBorders>
              <w:top w:val="nil"/>
              <w:left w:val="nil"/>
              <w:bottom w:val="nil"/>
              <w:right w:val="nil"/>
            </w:tcBorders>
            <w:shd w:val="clear" w:color="auto" w:fill="FFFFFF"/>
            <w:noWrap/>
            <w:vAlign w:val="center"/>
          </w:tcPr>
          <w:p w14:paraId="3907BC2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0.2010%</w:t>
            </w:r>
          </w:p>
        </w:tc>
        <w:tc>
          <w:tcPr>
            <w:tcW w:w="1148" w:type="pct"/>
            <w:tcBorders>
              <w:top w:val="nil"/>
              <w:left w:val="nil"/>
              <w:bottom w:val="nil"/>
              <w:right w:val="nil"/>
            </w:tcBorders>
            <w:shd w:val="clear" w:color="auto" w:fill="FFFFFF"/>
            <w:noWrap/>
            <w:vAlign w:val="center"/>
          </w:tcPr>
          <w:p w14:paraId="78C8DA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0.0167%</w:t>
            </w:r>
          </w:p>
        </w:tc>
      </w:tr>
      <w:tr w14:paraId="0C5CEACE">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07D6B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49</w:t>
            </w:r>
          </w:p>
        </w:tc>
        <w:tc>
          <w:tcPr>
            <w:tcW w:w="1787" w:type="pct"/>
            <w:tcBorders>
              <w:top w:val="nil"/>
              <w:left w:val="nil"/>
              <w:bottom w:val="nil"/>
              <w:right w:val="nil"/>
            </w:tcBorders>
            <w:shd w:val="clear" w:color="auto" w:fill="FFFFFF"/>
            <w:noWrap/>
            <w:vAlign w:val="center"/>
          </w:tcPr>
          <w:p w14:paraId="569C0CE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0.2130%</w:t>
            </w:r>
          </w:p>
        </w:tc>
        <w:tc>
          <w:tcPr>
            <w:tcW w:w="1148" w:type="pct"/>
            <w:tcBorders>
              <w:top w:val="nil"/>
              <w:left w:val="nil"/>
              <w:bottom w:val="nil"/>
              <w:right w:val="nil"/>
            </w:tcBorders>
            <w:shd w:val="clear" w:color="auto" w:fill="FFFFFF"/>
            <w:noWrap/>
            <w:vAlign w:val="center"/>
          </w:tcPr>
          <w:p w14:paraId="3BA6E2F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0.0177%</w:t>
            </w:r>
          </w:p>
        </w:tc>
      </w:tr>
      <w:tr w14:paraId="133D7A4F">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3A89D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50</w:t>
            </w:r>
          </w:p>
        </w:tc>
        <w:tc>
          <w:tcPr>
            <w:tcW w:w="1787" w:type="pct"/>
            <w:tcBorders>
              <w:top w:val="nil"/>
              <w:left w:val="nil"/>
              <w:bottom w:val="nil"/>
              <w:right w:val="nil"/>
            </w:tcBorders>
            <w:shd w:val="clear" w:color="auto" w:fill="FFFFFF"/>
            <w:noWrap/>
            <w:vAlign w:val="center"/>
          </w:tcPr>
          <w:p w14:paraId="56B302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0.2410%</w:t>
            </w:r>
          </w:p>
        </w:tc>
        <w:tc>
          <w:tcPr>
            <w:tcW w:w="1148" w:type="pct"/>
            <w:tcBorders>
              <w:top w:val="nil"/>
              <w:left w:val="nil"/>
              <w:bottom w:val="nil"/>
              <w:right w:val="nil"/>
            </w:tcBorders>
            <w:shd w:val="clear" w:color="auto" w:fill="FFFFFF"/>
            <w:noWrap/>
            <w:vAlign w:val="center"/>
          </w:tcPr>
          <w:p w14:paraId="2C7B5A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0.0201%</w:t>
            </w:r>
          </w:p>
        </w:tc>
      </w:tr>
      <w:tr w14:paraId="6020CA6E">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889E5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51</w:t>
            </w:r>
          </w:p>
        </w:tc>
        <w:tc>
          <w:tcPr>
            <w:tcW w:w="1787" w:type="pct"/>
            <w:tcBorders>
              <w:top w:val="nil"/>
              <w:left w:val="nil"/>
              <w:bottom w:val="nil"/>
              <w:right w:val="nil"/>
            </w:tcBorders>
            <w:shd w:val="clear" w:color="auto" w:fill="FFFFFF"/>
            <w:noWrap/>
            <w:vAlign w:val="center"/>
          </w:tcPr>
          <w:p w14:paraId="1D406B7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0.2520%</w:t>
            </w:r>
          </w:p>
        </w:tc>
        <w:tc>
          <w:tcPr>
            <w:tcW w:w="1148" w:type="pct"/>
            <w:tcBorders>
              <w:top w:val="nil"/>
              <w:left w:val="nil"/>
              <w:bottom w:val="nil"/>
              <w:right w:val="nil"/>
            </w:tcBorders>
            <w:shd w:val="clear" w:color="auto" w:fill="FFFFFF"/>
            <w:noWrap/>
            <w:vAlign w:val="center"/>
          </w:tcPr>
          <w:p w14:paraId="4B6797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0.0210%</w:t>
            </w:r>
          </w:p>
        </w:tc>
      </w:tr>
      <w:tr w14:paraId="5B87964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502D9A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52</w:t>
            </w:r>
          </w:p>
        </w:tc>
        <w:tc>
          <w:tcPr>
            <w:tcW w:w="1787" w:type="pct"/>
            <w:tcBorders>
              <w:top w:val="nil"/>
              <w:left w:val="nil"/>
              <w:bottom w:val="nil"/>
              <w:right w:val="nil"/>
            </w:tcBorders>
            <w:shd w:val="clear" w:color="auto" w:fill="FFFFFF"/>
            <w:noWrap/>
            <w:vAlign w:val="center"/>
          </w:tcPr>
          <w:p w14:paraId="39654AB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0.2640%</w:t>
            </w:r>
          </w:p>
        </w:tc>
        <w:tc>
          <w:tcPr>
            <w:tcW w:w="1148" w:type="pct"/>
            <w:tcBorders>
              <w:top w:val="nil"/>
              <w:left w:val="nil"/>
              <w:bottom w:val="nil"/>
              <w:right w:val="nil"/>
            </w:tcBorders>
            <w:shd w:val="clear" w:color="auto" w:fill="FFFFFF"/>
            <w:noWrap/>
            <w:vAlign w:val="center"/>
          </w:tcPr>
          <w:p w14:paraId="7DEF2C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0.0220%</w:t>
            </w:r>
          </w:p>
        </w:tc>
      </w:tr>
      <w:tr w14:paraId="3D14953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B9C1AD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53</w:t>
            </w:r>
          </w:p>
        </w:tc>
        <w:tc>
          <w:tcPr>
            <w:tcW w:w="1787" w:type="pct"/>
            <w:tcBorders>
              <w:top w:val="nil"/>
              <w:left w:val="nil"/>
              <w:bottom w:val="nil"/>
              <w:right w:val="nil"/>
            </w:tcBorders>
            <w:shd w:val="clear" w:color="auto" w:fill="FFFFFF"/>
            <w:noWrap/>
            <w:vAlign w:val="center"/>
          </w:tcPr>
          <w:p w14:paraId="2EBECB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0.2970%</w:t>
            </w:r>
          </w:p>
        </w:tc>
        <w:tc>
          <w:tcPr>
            <w:tcW w:w="1148" w:type="pct"/>
            <w:tcBorders>
              <w:top w:val="nil"/>
              <w:left w:val="nil"/>
              <w:bottom w:val="nil"/>
              <w:right w:val="nil"/>
            </w:tcBorders>
            <w:shd w:val="clear" w:color="auto" w:fill="FFFFFF"/>
            <w:noWrap/>
            <w:vAlign w:val="center"/>
          </w:tcPr>
          <w:p w14:paraId="6891D1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0.0247%</w:t>
            </w:r>
          </w:p>
        </w:tc>
      </w:tr>
      <w:tr w14:paraId="2391E433">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59ACE4C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54</w:t>
            </w:r>
          </w:p>
        </w:tc>
        <w:tc>
          <w:tcPr>
            <w:tcW w:w="1787" w:type="pct"/>
            <w:tcBorders>
              <w:top w:val="nil"/>
              <w:left w:val="nil"/>
              <w:bottom w:val="nil"/>
              <w:right w:val="nil"/>
            </w:tcBorders>
            <w:shd w:val="clear" w:color="auto" w:fill="FFFFFF"/>
            <w:noWrap/>
            <w:vAlign w:val="center"/>
          </w:tcPr>
          <w:p w14:paraId="58D0731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0.3410%</w:t>
            </w:r>
          </w:p>
        </w:tc>
        <w:tc>
          <w:tcPr>
            <w:tcW w:w="1148" w:type="pct"/>
            <w:tcBorders>
              <w:top w:val="nil"/>
              <w:left w:val="nil"/>
              <w:bottom w:val="nil"/>
              <w:right w:val="nil"/>
            </w:tcBorders>
            <w:shd w:val="clear" w:color="auto" w:fill="FFFFFF"/>
            <w:noWrap/>
            <w:vAlign w:val="center"/>
          </w:tcPr>
          <w:p w14:paraId="4FDB1A6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0.0284%</w:t>
            </w:r>
          </w:p>
        </w:tc>
      </w:tr>
      <w:tr w14:paraId="39FAC0E9">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EEC442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55</w:t>
            </w:r>
          </w:p>
        </w:tc>
        <w:tc>
          <w:tcPr>
            <w:tcW w:w="1787" w:type="pct"/>
            <w:tcBorders>
              <w:top w:val="nil"/>
              <w:left w:val="nil"/>
              <w:bottom w:val="nil"/>
              <w:right w:val="nil"/>
            </w:tcBorders>
            <w:shd w:val="clear" w:color="auto" w:fill="FFFFFF"/>
            <w:noWrap/>
            <w:vAlign w:val="center"/>
          </w:tcPr>
          <w:p w14:paraId="38FE8A6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0.3540%</w:t>
            </w:r>
          </w:p>
        </w:tc>
        <w:tc>
          <w:tcPr>
            <w:tcW w:w="1148" w:type="pct"/>
            <w:tcBorders>
              <w:top w:val="nil"/>
              <w:left w:val="nil"/>
              <w:bottom w:val="nil"/>
              <w:right w:val="nil"/>
            </w:tcBorders>
            <w:shd w:val="clear" w:color="auto" w:fill="FFFFFF"/>
            <w:noWrap/>
            <w:vAlign w:val="center"/>
          </w:tcPr>
          <w:p w14:paraId="1810077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0.0295%</w:t>
            </w:r>
          </w:p>
        </w:tc>
      </w:tr>
      <w:tr w14:paraId="281B99CE">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3C787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56</w:t>
            </w:r>
          </w:p>
        </w:tc>
        <w:tc>
          <w:tcPr>
            <w:tcW w:w="1787" w:type="pct"/>
            <w:tcBorders>
              <w:top w:val="nil"/>
              <w:left w:val="nil"/>
              <w:bottom w:val="nil"/>
              <w:right w:val="nil"/>
            </w:tcBorders>
            <w:shd w:val="clear" w:color="auto" w:fill="FFFFFF"/>
            <w:noWrap/>
            <w:vAlign w:val="center"/>
          </w:tcPr>
          <w:p w14:paraId="789F95C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0.3880%</w:t>
            </w:r>
          </w:p>
        </w:tc>
        <w:tc>
          <w:tcPr>
            <w:tcW w:w="1148" w:type="pct"/>
            <w:tcBorders>
              <w:top w:val="nil"/>
              <w:left w:val="nil"/>
              <w:bottom w:val="nil"/>
              <w:right w:val="nil"/>
            </w:tcBorders>
            <w:shd w:val="clear" w:color="auto" w:fill="FFFFFF"/>
            <w:noWrap/>
            <w:vAlign w:val="center"/>
          </w:tcPr>
          <w:p w14:paraId="1D42D61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0.0323%</w:t>
            </w:r>
          </w:p>
        </w:tc>
      </w:tr>
      <w:tr w14:paraId="6024D20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5E833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57</w:t>
            </w:r>
          </w:p>
        </w:tc>
        <w:tc>
          <w:tcPr>
            <w:tcW w:w="1787" w:type="pct"/>
            <w:tcBorders>
              <w:top w:val="nil"/>
              <w:left w:val="nil"/>
              <w:bottom w:val="nil"/>
              <w:right w:val="nil"/>
            </w:tcBorders>
            <w:shd w:val="clear" w:color="auto" w:fill="FFFFFF"/>
            <w:noWrap/>
            <w:vAlign w:val="center"/>
          </w:tcPr>
          <w:p w14:paraId="7819042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0.4230%</w:t>
            </w:r>
          </w:p>
        </w:tc>
        <w:tc>
          <w:tcPr>
            <w:tcW w:w="1148" w:type="pct"/>
            <w:tcBorders>
              <w:top w:val="nil"/>
              <w:left w:val="nil"/>
              <w:bottom w:val="nil"/>
              <w:right w:val="nil"/>
            </w:tcBorders>
            <w:shd w:val="clear" w:color="auto" w:fill="FFFFFF"/>
            <w:noWrap/>
            <w:vAlign w:val="center"/>
          </w:tcPr>
          <w:p w14:paraId="72C08E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0.0352%</w:t>
            </w:r>
          </w:p>
        </w:tc>
      </w:tr>
      <w:tr w14:paraId="2CA8F512">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F9A15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58</w:t>
            </w:r>
          </w:p>
        </w:tc>
        <w:tc>
          <w:tcPr>
            <w:tcW w:w="1787" w:type="pct"/>
            <w:tcBorders>
              <w:top w:val="nil"/>
              <w:left w:val="nil"/>
              <w:bottom w:val="nil"/>
              <w:right w:val="nil"/>
            </w:tcBorders>
            <w:shd w:val="clear" w:color="auto" w:fill="FFFFFF"/>
            <w:noWrap/>
            <w:vAlign w:val="center"/>
          </w:tcPr>
          <w:p w14:paraId="553F9F5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0.4730%</w:t>
            </w:r>
          </w:p>
        </w:tc>
        <w:tc>
          <w:tcPr>
            <w:tcW w:w="1148" w:type="pct"/>
            <w:tcBorders>
              <w:top w:val="nil"/>
              <w:left w:val="nil"/>
              <w:bottom w:val="nil"/>
              <w:right w:val="nil"/>
            </w:tcBorders>
            <w:shd w:val="clear" w:color="auto" w:fill="FFFFFF"/>
            <w:noWrap/>
            <w:vAlign w:val="center"/>
          </w:tcPr>
          <w:p w14:paraId="04CFA2E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0.0393%</w:t>
            </w:r>
          </w:p>
        </w:tc>
      </w:tr>
      <w:tr w14:paraId="788470A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8CE911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59</w:t>
            </w:r>
          </w:p>
        </w:tc>
        <w:tc>
          <w:tcPr>
            <w:tcW w:w="1787" w:type="pct"/>
            <w:tcBorders>
              <w:top w:val="nil"/>
              <w:left w:val="nil"/>
              <w:bottom w:val="nil"/>
              <w:right w:val="nil"/>
            </w:tcBorders>
            <w:shd w:val="clear" w:color="auto" w:fill="FFFFFF"/>
            <w:noWrap/>
            <w:vAlign w:val="center"/>
          </w:tcPr>
          <w:p w14:paraId="57A24D7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0.5400%</w:t>
            </w:r>
          </w:p>
        </w:tc>
        <w:tc>
          <w:tcPr>
            <w:tcW w:w="1148" w:type="pct"/>
            <w:tcBorders>
              <w:top w:val="nil"/>
              <w:left w:val="nil"/>
              <w:bottom w:val="nil"/>
              <w:right w:val="nil"/>
            </w:tcBorders>
            <w:shd w:val="clear" w:color="auto" w:fill="FFFFFF"/>
            <w:noWrap/>
            <w:vAlign w:val="center"/>
          </w:tcPr>
          <w:p w14:paraId="0881D99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0.0449%</w:t>
            </w:r>
          </w:p>
        </w:tc>
      </w:tr>
      <w:tr w14:paraId="0158E56A">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BE1D25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60</w:t>
            </w:r>
          </w:p>
        </w:tc>
        <w:tc>
          <w:tcPr>
            <w:tcW w:w="1787" w:type="pct"/>
            <w:tcBorders>
              <w:top w:val="nil"/>
              <w:left w:val="nil"/>
              <w:bottom w:val="nil"/>
              <w:right w:val="nil"/>
            </w:tcBorders>
            <w:shd w:val="clear" w:color="auto" w:fill="FFFFFF"/>
            <w:noWrap/>
            <w:vAlign w:val="center"/>
          </w:tcPr>
          <w:p w14:paraId="714F253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0.6080%</w:t>
            </w:r>
          </w:p>
        </w:tc>
        <w:tc>
          <w:tcPr>
            <w:tcW w:w="1148" w:type="pct"/>
            <w:tcBorders>
              <w:top w:val="nil"/>
              <w:left w:val="nil"/>
              <w:bottom w:val="nil"/>
              <w:right w:val="nil"/>
            </w:tcBorders>
            <w:shd w:val="clear" w:color="auto" w:fill="FFFFFF"/>
            <w:noWrap/>
            <w:vAlign w:val="center"/>
          </w:tcPr>
          <w:p w14:paraId="04530E5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0.0505%</w:t>
            </w:r>
          </w:p>
        </w:tc>
      </w:tr>
      <w:tr w14:paraId="2482539A">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A65B88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61</w:t>
            </w:r>
          </w:p>
        </w:tc>
        <w:tc>
          <w:tcPr>
            <w:tcW w:w="1787" w:type="pct"/>
            <w:tcBorders>
              <w:top w:val="nil"/>
              <w:left w:val="nil"/>
              <w:bottom w:val="nil"/>
              <w:right w:val="nil"/>
            </w:tcBorders>
            <w:shd w:val="clear" w:color="auto" w:fill="FFFFFF"/>
            <w:noWrap/>
            <w:vAlign w:val="center"/>
          </w:tcPr>
          <w:p w14:paraId="3B64BC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0.6700%</w:t>
            </w:r>
          </w:p>
        </w:tc>
        <w:tc>
          <w:tcPr>
            <w:tcW w:w="1148" w:type="pct"/>
            <w:tcBorders>
              <w:top w:val="nil"/>
              <w:left w:val="nil"/>
              <w:bottom w:val="nil"/>
              <w:right w:val="nil"/>
            </w:tcBorders>
            <w:shd w:val="clear" w:color="auto" w:fill="FFFFFF"/>
            <w:noWrap/>
            <w:vAlign w:val="center"/>
          </w:tcPr>
          <w:p w14:paraId="22940B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0.0557%</w:t>
            </w:r>
          </w:p>
        </w:tc>
      </w:tr>
      <w:tr w14:paraId="64FDE29A">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6CE11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62</w:t>
            </w:r>
          </w:p>
        </w:tc>
        <w:tc>
          <w:tcPr>
            <w:tcW w:w="1787" w:type="pct"/>
            <w:tcBorders>
              <w:top w:val="nil"/>
              <w:left w:val="nil"/>
              <w:bottom w:val="nil"/>
              <w:right w:val="nil"/>
            </w:tcBorders>
            <w:shd w:val="clear" w:color="auto" w:fill="FFFFFF"/>
            <w:noWrap/>
            <w:vAlign w:val="center"/>
          </w:tcPr>
          <w:p w14:paraId="1A81BA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0.7550%</w:t>
            </w:r>
          </w:p>
        </w:tc>
        <w:tc>
          <w:tcPr>
            <w:tcW w:w="1148" w:type="pct"/>
            <w:tcBorders>
              <w:top w:val="nil"/>
              <w:left w:val="nil"/>
              <w:bottom w:val="nil"/>
              <w:right w:val="nil"/>
            </w:tcBorders>
            <w:shd w:val="clear" w:color="auto" w:fill="FFFFFF"/>
            <w:noWrap/>
            <w:vAlign w:val="center"/>
          </w:tcPr>
          <w:p w14:paraId="7DD810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0.0627%</w:t>
            </w:r>
          </w:p>
        </w:tc>
      </w:tr>
      <w:tr w14:paraId="2015F00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AEB218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63</w:t>
            </w:r>
          </w:p>
        </w:tc>
        <w:tc>
          <w:tcPr>
            <w:tcW w:w="1787" w:type="pct"/>
            <w:tcBorders>
              <w:top w:val="nil"/>
              <w:left w:val="nil"/>
              <w:bottom w:val="nil"/>
              <w:right w:val="nil"/>
            </w:tcBorders>
            <w:shd w:val="clear" w:color="auto" w:fill="FFFFFF"/>
            <w:noWrap/>
            <w:vAlign w:val="center"/>
          </w:tcPr>
          <w:p w14:paraId="29734F3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0.8160%</w:t>
            </w:r>
          </w:p>
        </w:tc>
        <w:tc>
          <w:tcPr>
            <w:tcW w:w="1148" w:type="pct"/>
            <w:tcBorders>
              <w:top w:val="nil"/>
              <w:left w:val="nil"/>
              <w:bottom w:val="nil"/>
              <w:right w:val="nil"/>
            </w:tcBorders>
            <w:shd w:val="clear" w:color="auto" w:fill="FFFFFF"/>
            <w:noWrap/>
            <w:vAlign w:val="center"/>
          </w:tcPr>
          <w:p w14:paraId="47B259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0.0677%</w:t>
            </w:r>
          </w:p>
        </w:tc>
      </w:tr>
      <w:tr w14:paraId="79FBBB40">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4A5C38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64</w:t>
            </w:r>
          </w:p>
        </w:tc>
        <w:tc>
          <w:tcPr>
            <w:tcW w:w="1787" w:type="pct"/>
            <w:tcBorders>
              <w:top w:val="nil"/>
              <w:left w:val="nil"/>
              <w:bottom w:val="nil"/>
              <w:right w:val="nil"/>
            </w:tcBorders>
            <w:shd w:val="clear" w:color="auto" w:fill="FFFFFF"/>
            <w:noWrap/>
            <w:vAlign w:val="center"/>
          </w:tcPr>
          <w:p w14:paraId="664A4E4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0.9640%</w:t>
            </w:r>
          </w:p>
        </w:tc>
        <w:tc>
          <w:tcPr>
            <w:tcW w:w="1148" w:type="pct"/>
            <w:tcBorders>
              <w:top w:val="nil"/>
              <w:left w:val="nil"/>
              <w:bottom w:val="nil"/>
              <w:right w:val="nil"/>
            </w:tcBorders>
            <w:shd w:val="clear" w:color="auto" w:fill="FFFFFF"/>
            <w:noWrap/>
            <w:vAlign w:val="center"/>
          </w:tcPr>
          <w:p w14:paraId="4BAAFE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0.0800%</w:t>
            </w:r>
          </w:p>
        </w:tc>
      </w:tr>
      <w:tr w14:paraId="04059663">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94B8C9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65</w:t>
            </w:r>
          </w:p>
        </w:tc>
        <w:tc>
          <w:tcPr>
            <w:tcW w:w="1787" w:type="pct"/>
            <w:tcBorders>
              <w:top w:val="nil"/>
              <w:left w:val="nil"/>
              <w:bottom w:val="nil"/>
              <w:right w:val="nil"/>
            </w:tcBorders>
            <w:shd w:val="clear" w:color="auto" w:fill="FFFFFF"/>
            <w:noWrap/>
            <w:vAlign w:val="center"/>
          </w:tcPr>
          <w:p w14:paraId="725D97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1.0670%</w:t>
            </w:r>
          </w:p>
        </w:tc>
        <w:tc>
          <w:tcPr>
            <w:tcW w:w="1148" w:type="pct"/>
            <w:tcBorders>
              <w:top w:val="nil"/>
              <w:left w:val="nil"/>
              <w:bottom w:val="nil"/>
              <w:right w:val="nil"/>
            </w:tcBorders>
            <w:shd w:val="clear" w:color="auto" w:fill="FFFFFF"/>
            <w:noWrap/>
            <w:vAlign w:val="center"/>
          </w:tcPr>
          <w:p w14:paraId="0B818C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0.0885%</w:t>
            </w:r>
          </w:p>
        </w:tc>
      </w:tr>
      <w:tr w14:paraId="7FBA24C4">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65670B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66</w:t>
            </w:r>
          </w:p>
        </w:tc>
        <w:tc>
          <w:tcPr>
            <w:tcW w:w="1787" w:type="pct"/>
            <w:tcBorders>
              <w:top w:val="nil"/>
              <w:left w:val="nil"/>
              <w:bottom w:val="nil"/>
              <w:right w:val="nil"/>
            </w:tcBorders>
            <w:shd w:val="clear" w:color="auto" w:fill="FFFFFF"/>
            <w:noWrap/>
            <w:vAlign w:val="center"/>
          </w:tcPr>
          <w:p w14:paraId="3D3EE4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1.1070%</w:t>
            </w:r>
          </w:p>
        </w:tc>
        <w:tc>
          <w:tcPr>
            <w:tcW w:w="1148" w:type="pct"/>
            <w:tcBorders>
              <w:top w:val="nil"/>
              <w:left w:val="nil"/>
              <w:bottom w:val="nil"/>
              <w:right w:val="nil"/>
            </w:tcBorders>
            <w:shd w:val="clear" w:color="auto" w:fill="FFFFFF"/>
            <w:noWrap/>
            <w:vAlign w:val="center"/>
          </w:tcPr>
          <w:p w14:paraId="30C1392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0.0918%</w:t>
            </w:r>
          </w:p>
        </w:tc>
      </w:tr>
      <w:tr w14:paraId="715956EB">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23217B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67</w:t>
            </w:r>
          </w:p>
        </w:tc>
        <w:tc>
          <w:tcPr>
            <w:tcW w:w="1787" w:type="pct"/>
            <w:tcBorders>
              <w:top w:val="nil"/>
              <w:left w:val="nil"/>
              <w:bottom w:val="nil"/>
              <w:right w:val="nil"/>
            </w:tcBorders>
            <w:shd w:val="clear" w:color="auto" w:fill="FFFFFF"/>
            <w:noWrap/>
            <w:vAlign w:val="center"/>
          </w:tcPr>
          <w:p w14:paraId="5694403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1.3070%</w:t>
            </w:r>
          </w:p>
        </w:tc>
        <w:tc>
          <w:tcPr>
            <w:tcW w:w="1148" w:type="pct"/>
            <w:tcBorders>
              <w:top w:val="nil"/>
              <w:left w:val="nil"/>
              <w:bottom w:val="nil"/>
              <w:right w:val="nil"/>
            </w:tcBorders>
            <w:shd w:val="clear" w:color="auto" w:fill="FFFFFF"/>
            <w:noWrap/>
            <w:vAlign w:val="center"/>
          </w:tcPr>
          <w:p w14:paraId="10719B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0.1083%</w:t>
            </w:r>
          </w:p>
        </w:tc>
      </w:tr>
      <w:tr w14:paraId="6C4137B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B6860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68</w:t>
            </w:r>
          </w:p>
        </w:tc>
        <w:tc>
          <w:tcPr>
            <w:tcW w:w="1787" w:type="pct"/>
            <w:tcBorders>
              <w:top w:val="nil"/>
              <w:left w:val="nil"/>
              <w:bottom w:val="nil"/>
              <w:right w:val="nil"/>
            </w:tcBorders>
            <w:shd w:val="clear" w:color="auto" w:fill="FFFFFF"/>
            <w:noWrap/>
            <w:vAlign w:val="center"/>
          </w:tcPr>
          <w:p w14:paraId="3E5CDD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1.4200%</w:t>
            </w:r>
          </w:p>
        </w:tc>
        <w:tc>
          <w:tcPr>
            <w:tcW w:w="1148" w:type="pct"/>
            <w:tcBorders>
              <w:top w:val="nil"/>
              <w:left w:val="nil"/>
              <w:bottom w:val="nil"/>
              <w:right w:val="nil"/>
            </w:tcBorders>
            <w:shd w:val="clear" w:color="auto" w:fill="FFFFFF"/>
            <w:noWrap/>
            <w:vAlign w:val="center"/>
          </w:tcPr>
          <w:p w14:paraId="0BAFA45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0.1176%</w:t>
            </w:r>
          </w:p>
        </w:tc>
      </w:tr>
      <w:tr w14:paraId="38736D9D">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D0316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69</w:t>
            </w:r>
          </w:p>
        </w:tc>
        <w:tc>
          <w:tcPr>
            <w:tcW w:w="1787" w:type="pct"/>
            <w:tcBorders>
              <w:top w:val="nil"/>
              <w:left w:val="nil"/>
              <w:bottom w:val="nil"/>
              <w:right w:val="nil"/>
            </w:tcBorders>
            <w:shd w:val="clear" w:color="auto" w:fill="FFFFFF"/>
            <w:noWrap/>
            <w:vAlign w:val="center"/>
          </w:tcPr>
          <w:p w14:paraId="1A78E2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1.6820%</w:t>
            </w:r>
          </w:p>
        </w:tc>
        <w:tc>
          <w:tcPr>
            <w:tcW w:w="1148" w:type="pct"/>
            <w:tcBorders>
              <w:top w:val="nil"/>
              <w:left w:val="nil"/>
              <w:bottom w:val="nil"/>
              <w:right w:val="nil"/>
            </w:tcBorders>
            <w:shd w:val="clear" w:color="auto" w:fill="FFFFFF"/>
            <w:noWrap/>
            <w:vAlign w:val="center"/>
          </w:tcPr>
          <w:p w14:paraId="2AA289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0.1391%</w:t>
            </w:r>
          </w:p>
        </w:tc>
      </w:tr>
      <w:tr w14:paraId="6F277058">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F40E37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70</w:t>
            </w:r>
          </w:p>
        </w:tc>
        <w:tc>
          <w:tcPr>
            <w:tcW w:w="1787" w:type="pct"/>
            <w:tcBorders>
              <w:top w:val="nil"/>
              <w:left w:val="nil"/>
              <w:bottom w:val="nil"/>
              <w:right w:val="nil"/>
            </w:tcBorders>
            <w:shd w:val="clear" w:color="auto" w:fill="FFFFFF"/>
            <w:noWrap/>
            <w:vAlign w:val="center"/>
          </w:tcPr>
          <w:p w14:paraId="37635EB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1.9830%</w:t>
            </w:r>
          </w:p>
        </w:tc>
        <w:tc>
          <w:tcPr>
            <w:tcW w:w="1148" w:type="pct"/>
            <w:tcBorders>
              <w:top w:val="nil"/>
              <w:left w:val="nil"/>
              <w:bottom w:val="nil"/>
              <w:right w:val="nil"/>
            </w:tcBorders>
            <w:shd w:val="clear" w:color="auto" w:fill="FFFFFF"/>
            <w:noWrap/>
            <w:vAlign w:val="center"/>
          </w:tcPr>
          <w:p w14:paraId="7A3570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0.1638%</w:t>
            </w:r>
          </w:p>
        </w:tc>
      </w:tr>
      <w:tr w14:paraId="2DA48EDE">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570DE35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71</w:t>
            </w:r>
          </w:p>
        </w:tc>
        <w:tc>
          <w:tcPr>
            <w:tcW w:w="1787" w:type="pct"/>
            <w:tcBorders>
              <w:top w:val="nil"/>
              <w:left w:val="nil"/>
              <w:bottom w:val="nil"/>
              <w:right w:val="nil"/>
            </w:tcBorders>
            <w:shd w:val="clear" w:color="auto" w:fill="FFFFFF"/>
            <w:noWrap/>
            <w:vAlign w:val="center"/>
          </w:tcPr>
          <w:p w14:paraId="4AD684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2.1150%</w:t>
            </w:r>
          </w:p>
        </w:tc>
        <w:tc>
          <w:tcPr>
            <w:tcW w:w="1148" w:type="pct"/>
            <w:tcBorders>
              <w:top w:val="nil"/>
              <w:left w:val="nil"/>
              <w:bottom w:val="nil"/>
              <w:right w:val="nil"/>
            </w:tcBorders>
            <w:shd w:val="clear" w:color="auto" w:fill="FFFFFF"/>
            <w:noWrap/>
            <w:vAlign w:val="center"/>
          </w:tcPr>
          <w:p w14:paraId="229E4A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0.1746%</w:t>
            </w:r>
          </w:p>
        </w:tc>
      </w:tr>
      <w:tr w14:paraId="33E843F1">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D09AC5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72</w:t>
            </w:r>
          </w:p>
        </w:tc>
        <w:tc>
          <w:tcPr>
            <w:tcW w:w="1787" w:type="pct"/>
            <w:tcBorders>
              <w:top w:val="nil"/>
              <w:left w:val="nil"/>
              <w:bottom w:val="nil"/>
              <w:right w:val="nil"/>
            </w:tcBorders>
            <w:shd w:val="clear" w:color="auto" w:fill="FFFFFF"/>
            <w:noWrap/>
            <w:vAlign w:val="center"/>
          </w:tcPr>
          <w:p w14:paraId="17249F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2.4560%</w:t>
            </w:r>
          </w:p>
        </w:tc>
        <w:tc>
          <w:tcPr>
            <w:tcW w:w="1148" w:type="pct"/>
            <w:tcBorders>
              <w:top w:val="nil"/>
              <w:left w:val="nil"/>
              <w:bottom w:val="nil"/>
              <w:right w:val="nil"/>
            </w:tcBorders>
            <w:shd w:val="clear" w:color="auto" w:fill="FFFFFF"/>
            <w:noWrap/>
            <w:vAlign w:val="center"/>
          </w:tcPr>
          <w:p w14:paraId="72FB75E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0.2024%</w:t>
            </w:r>
          </w:p>
        </w:tc>
      </w:tr>
      <w:tr w14:paraId="0B93FE10">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708340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73</w:t>
            </w:r>
          </w:p>
        </w:tc>
        <w:tc>
          <w:tcPr>
            <w:tcW w:w="1787" w:type="pct"/>
            <w:tcBorders>
              <w:top w:val="nil"/>
              <w:left w:val="nil"/>
              <w:bottom w:val="nil"/>
              <w:right w:val="nil"/>
            </w:tcBorders>
            <w:shd w:val="clear" w:color="auto" w:fill="FFFFFF"/>
            <w:noWrap/>
            <w:vAlign w:val="center"/>
          </w:tcPr>
          <w:p w14:paraId="76523B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2.6900%</w:t>
            </w:r>
          </w:p>
        </w:tc>
        <w:tc>
          <w:tcPr>
            <w:tcW w:w="1148" w:type="pct"/>
            <w:tcBorders>
              <w:top w:val="nil"/>
              <w:left w:val="nil"/>
              <w:bottom w:val="nil"/>
              <w:right w:val="nil"/>
            </w:tcBorders>
            <w:shd w:val="clear" w:color="auto" w:fill="FFFFFF"/>
            <w:noWrap/>
            <w:vAlign w:val="center"/>
          </w:tcPr>
          <w:p w14:paraId="4BCCD1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0.2214%</w:t>
            </w:r>
          </w:p>
        </w:tc>
      </w:tr>
      <w:tr w14:paraId="740F8AF0">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78672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74</w:t>
            </w:r>
          </w:p>
        </w:tc>
        <w:tc>
          <w:tcPr>
            <w:tcW w:w="1787" w:type="pct"/>
            <w:tcBorders>
              <w:top w:val="nil"/>
              <w:left w:val="nil"/>
              <w:bottom w:val="nil"/>
              <w:right w:val="nil"/>
            </w:tcBorders>
            <w:shd w:val="clear" w:color="auto" w:fill="FFFFFF"/>
            <w:noWrap/>
            <w:vAlign w:val="center"/>
          </w:tcPr>
          <w:p w14:paraId="0BD3EB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3.0040%</w:t>
            </w:r>
          </w:p>
        </w:tc>
        <w:tc>
          <w:tcPr>
            <w:tcW w:w="1148" w:type="pct"/>
            <w:tcBorders>
              <w:top w:val="nil"/>
              <w:left w:val="nil"/>
              <w:bottom w:val="nil"/>
              <w:right w:val="nil"/>
            </w:tcBorders>
            <w:shd w:val="clear" w:color="auto" w:fill="FFFFFF"/>
            <w:noWrap/>
            <w:vAlign w:val="center"/>
          </w:tcPr>
          <w:p w14:paraId="5BEED2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0.2470%</w:t>
            </w:r>
          </w:p>
        </w:tc>
      </w:tr>
      <w:tr w14:paraId="234933F5">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35209B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75</w:t>
            </w:r>
          </w:p>
        </w:tc>
        <w:tc>
          <w:tcPr>
            <w:tcW w:w="1787" w:type="pct"/>
            <w:tcBorders>
              <w:top w:val="nil"/>
              <w:left w:val="nil"/>
              <w:bottom w:val="nil"/>
              <w:right w:val="nil"/>
            </w:tcBorders>
            <w:shd w:val="clear" w:color="auto" w:fill="FFFFFF"/>
            <w:noWrap/>
            <w:vAlign w:val="center"/>
          </w:tcPr>
          <w:p w14:paraId="4D4C1E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3.3310%</w:t>
            </w:r>
          </w:p>
        </w:tc>
        <w:tc>
          <w:tcPr>
            <w:tcW w:w="1148" w:type="pct"/>
            <w:tcBorders>
              <w:top w:val="nil"/>
              <w:left w:val="nil"/>
              <w:bottom w:val="nil"/>
              <w:right w:val="nil"/>
            </w:tcBorders>
            <w:shd w:val="clear" w:color="auto" w:fill="FFFFFF"/>
            <w:noWrap/>
            <w:vAlign w:val="center"/>
          </w:tcPr>
          <w:p w14:paraId="7C2E9C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0.2734%</w:t>
            </w:r>
          </w:p>
        </w:tc>
      </w:tr>
      <w:tr w14:paraId="2D2BC232">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4A5B11B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76</w:t>
            </w:r>
          </w:p>
        </w:tc>
        <w:tc>
          <w:tcPr>
            <w:tcW w:w="1787" w:type="pct"/>
            <w:tcBorders>
              <w:top w:val="nil"/>
              <w:left w:val="nil"/>
              <w:bottom w:val="nil"/>
              <w:right w:val="nil"/>
            </w:tcBorders>
            <w:shd w:val="clear" w:color="auto" w:fill="FFFFFF"/>
            <w:noWrap/>
            <w:vAlign w:val="center"/>
          </w:tcPr>
          <w:p w14:paraId="22C2D5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3.4510%</w:t>
            </w:r>
          </w:p>
        </w:tc>
        <w:tc>
          <w:tcPr>
            <w:tcW w:w="1148" w:type="pct"/>
            <w:tcBorders>
              <w:top w:val="nil"/>
              <w:left w:val="nil"/>
              <w:bottom w:val="nil"/>
              <w:right w:val="nil"/>
            </w:tcBorders>
            <w:shd w:val="clear" w:color="auto" w:fill="FFFFFF"/>
            <w:noWrap/>
            <w:vAlign w:val="center"/>
          </w:tcPr>
          <w:p w14:paraId="278ED26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0.2831%</w:t>
            </w:r>
          </w:p>
        </w:tc>
      </w:tr>
      <w:tr w14:paraId="08BF7D70">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02C5B1C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77</w:t>
            </w:r>
          </w:p>
        </w:tc>
        <w:tc>
          <w:tcPr>
            <w:tcW w:w="1787" w:type="pct"/>
            <w:tcBorders>
              <w:top w:val="nil"/>
              <w:left w:val="nil"/>
              <w:bottom w:val="nil"/>
              <w:right w:val="nil"/>
            </w:tcBorders>
            <w:shd w:val="clear" w:color="auto" w:fill="FFFFFF"/>
            <w:noWrap/>
            <w:vAlign w:val="center"/>
          </w:tcPr>
          <w:p w14:paraId="754239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4.1990%</w:t>
            </w:r>
          </w:p>
        </w:tc>
        <w:tc>
          <w:tcPr>
            <w:tcW w:w="1148" w:type="pct"/>
            <w:tcBorders>
              <w:top w:val="nil"/>
              <w:left w:val="nil"/>
              <w:bottom w:val="nil"/>
              <w:right w:val="nil"/>
            </w:tcBorders>
            <w:shd w:val="clear" w:color="auto" w:fill="FFFFFF"/>
            <w:noWrap/>
            <w:vAlign w:val="center"/>
          </w:tcPr>
          <w:p w14:paraId="08AA4F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0.3434%</w:t>
            </w:r>
          </w:p>
        </w:tc>
      </w:tr>
      <w:tr w14:paraId="280687D6">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353BE02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78</w:t>
            </w:r>
          </w:p>
        </w:tc>
        <w:tc>
          <w:tcPr>
            <w:tcW w:w="1787" w:type="pct"/>
            <w:tcBorders>
              <w:top w:val="nil"/>
              <w:left w:val="nil"/>
              <w:bottom w:val="nil"/>
              <w:right w:val="nil"/>
            </w:tcBorders>
            <w:shd w:val="clear" w:color="auto" w:fill="FFFFFF"/>
            <w:noWrap/>
            <w:vAlign w:val="center"/>
          </w:tcPr>
          <w:p w14:paraId="5512B69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4.6720%</w:t>
            </w:r>
          </w:p>
        </w:tc>
        <w:tc>
          <w:tcPr>
            <w:tcW w:w="1148" w:type="pct"/>
            <w:tcBorders>
              <w:top w:val="nil"/>
              <w:left w:val="nil"/>
              <w:bottom w:val="nil"/>
              <w:right w:val="nil"/>
            </w:tcBorders>
            <w:shd w:val="clear" w:color="auto" w:fill="FFFFFF"/>
            <w:noWrap/>
            <w:vAlign w:val="center"/>
          </w:tcPr>
          <w:p w14:paraId="49F3C62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0.3812%</w:t>
            </w:r>
          </w:p>
        </w:tc>
      </w:tr>
      <w:tr w14:paraId="5D77AE00">
        <w:tblPrEx>
          <w:tblCellMar>
            <w:top w:w="0" w:type="dxa"/>
            <w:left w:w="108" w:type="dxa"/>
            <w:bottom w:w="0" w:type="dxa"/>
            <w:right w:w="108" w:type="dxa"/>
          </w:tblCellMar>
        </w:tblPrEx>
        <w:trPr>
          <w:trHeight w:val="270" w:hRule="atLeast"/>
        </w:trPr>
        <w:tc>
          <w:tcPr>
            <w:tcW w:w="2063" w:type="pct"/>
            <w:tcBorders>
              <w:top w:val="nil"/>
              <w:left w:val="nil"/>
              <w:bottom w:val="nil"/>
              <w:right w:val="nil"/>
            </w:tcBorders>
            <w:shd w:val="clear" w:color="auto" w:fill="FFFFFF"/>
            <w:noWrap/>
            <w:vAlign w:val="center"/>
          </w:tcPr>
          <w:p w14:paraId="1D95EE4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79</w:t>
            </w:r>
          </w:p>
        </w:tc>
        <w:tc>
          <w:tcPr>
            <w:tcW w:w="1787" w:type="pct"/>
            <w:tcBorders>
              <w:top w:val="nil"/>
              <w:left w:val="nil"/>
              <w:bottom w:val="nil"/>
              <w:right w:val="nil"/>
            </w:tcBorders>
            <w:shd w:val="clear" w:color="auto" w:fill="FFFFFF"/>
            <w:noWrap/>
            <w:vAlign w:val="center"/>
          </w:tcPr>
          <w:p w14:paraId="1BE272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5.2470%</w:t>
            </w:r>
          </w:p>
        </w:tc>
        <w:tc>
          <w:tcPr>
            <w:tcW w:w="1148" w:type="pct"/>
            <w:tcBorders>
              <w:top w:val="nil"/>
              <w:left w:val="nil"/>
              <w:bottom w:val="nil"/>
              <w:right w:val="nil"/>
            </w:tcBorders>
            <w:shd w:val="clear" w:color="auto" w:fill="FFFFFF"/>
            <w:noWrap/>
            <w:vAlign w:val="center"/>
          </w:tcPr>
          <w:p w14:paraId="59423EF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0.4271%</w:t>
            </w:r>
          </w:p>
        </w:tc>
      </w:tr>
      <w:tr w14:paraId="2A096851">
        <w:tblPrEx>
          <w:tblCellMar>
            <w:top w:w="0" w:type="dxa"/>
            <w:left w:w="108" w:type="dxa"/>
            <w:bottom w:w="0" w:type="dxa"/>
            <w:right w:w="108" w:type="dxa"/>
          </w:tblCellMar>
        </w:tblPrEx>
        <w:trPr>
          <w:trHeight w:val="270" w:hRule="atLeast"/>
        </w:trPr>
        <w:tc>
          <w:tcPr>
            <w:tcW w:w="2063" w:type="pct"/>
            <w:tcBorders>
              <w:top w:val="nil"/>
              <w:left w:val="nil"/>
              <w:bottom w:val="single" w:color="000000" w:sz="12" w:space="0"/>
              <w:right w:val="nil"/>
            </w:tcBorders>
            <w:shd w:val="clear" w:color="auto" w:fill="FFFFFF"/>
            <w:noWrap/>
            <w:vAlign w:val="center"/>
          </w:tcPr>
          <w:p w14:paraId="535B2F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80</w:t>
            </w:r>
          </w:p>
        </w:tc>
        <w:tc>
          <w:tcPr>
            <w:tcW w:w="1787" w:type="pct"/>
            <w:tcBorders>
              <w:top w:val="nil"/>
              <w:left w:val="nil"/>
              <w:bottom w:val="single" w:color="000000" w:sz="12" w:space="0"/>
              <w:right w:val="nil"/>
            </w:tcBorders>
            <w:shd w:val="clear" w:color="auto" w:fill="FFFFFF"/>
            <w:noWrap/>
            <w:vAlign w:val="center"/>
          </w:tcPr>
          <w:p w14:paraId="6C35A6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6.3400%</w:t>
            </w:r>
          </w:p>
        </w:tc>
        <w:tc>
          <w:tcPr>
            <w:tcW w:w="1148" w:type="pct"/>
            <w:tcBorders>
              <w:top w:val="nil"/>
              <w:left w:val="nil"/>
              <w:bottom w:val="single" w:color="000000" w:sz="12" w:space="0"/>
              <w:right w:val="nil"/>
            </w:tcBorders>
            <w:shd w:val="clear" w:color="auto" w:fill="FFFFFF"/>
            <w:noWrap/>
            <w:vAlign w:val="center"/>
          </w:tcPr>
          <w:p w14:paraId="613ADBA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0.5136%</w:t>
            </w:r>
          </w:p>
        </w:tc>
      </w:tr>
    </w:tbl>
    <w:p w14:paraId="45F3AC50">
      <w:pPr>
        <w:spacing w:line="480" w:lineRule="auto"/>
        <w:rPr>
          <w:rFonts w:ascii="Times New Roman" w:hAnsi="Times New Roman" w:cs="Times New Roman"/>
          <w:sz w:val="24"/>
          <w:szCs w:val="24"/>
        </w:rPr>
      </w:pPr>
    </w:p>
    <w:p w14:paraId="30265E71">
      <w:pPr>
        <w:pStyle w:val="7"/>
        <w:spacing w:line="480" w:lineRule="auto"/>
        <w:jc w:val="center"/>
        <w:rPr>
          <w:rFonts w:ascii="Times New Roman" w:hAnsi="Times New Roman" w:cs="Times New Roman"/>
          <w:b/>
          <w:bCs/>
          <w:sz w:val="24"/>
          <w:szCs w:val="24"/>
        </w:rPr>
      </w:pPr>
      <w:bookmarkStart w:id="21" w:name="_Toc216103915"/>
      <w:bookmarkStart w:id="22" w:name="_Toc183682229"/>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5</w:t>
      </w:r>
      <w:r>
        <w:rPr>
          <w:rFonts w:ascii="Times New Roman" w:hAnsi="Times New Roman" w:cs="Times New Roman"/>
          <w:b/>
          <w:bCs/>
          <w:sz w:val="24"/>
          <w:szCs w:val="24"/>
        </w:rPr>
        <w:fldChar w:fldCharType="end"/>
      </w:r>
      <w:r>
        <w:rPr>
          <w:rFonts w:ascii="Times New Roman" w:hAnsi="Times New Roman" w:cs="Times New Roman"/>
          <w:b/>
          <w:bCs/>
          <w:sz w:val="24"/>
          <w:szCs w:val="24"/>
        </w:rPr>
        <w:t>. HIV-Related Mortality and ADEs Incidence Rates for Different Health States</w:t>
      </w:r>
      <w:bookmarkEnd w:id="21"/>
      <w:bookmarkEnd w:id="22"/>
    </w:p>
    <w:tbl>
      <w:tblPr>
        <w:tblStyle w:val="17"/>
        <w:tblW w:w="5000"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1"/>
        <w:gridCol w:w="2729"/>
        <w:gridCol w:w="2542"/>
      </w:tblGrid>
      <w:tr w14:paraId="501A7D1D">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tcBorders>
              <w:top w:val="single" w:color="auto" w:sz="12" w:space="0"/>
              <w:left w:val="nil"/>
              <w:bottom w:val="single" w:color="auto" w:sz="6" w:space="0"/>
              <w:right w:val="nil"/>
              <w:insideH w:val="single" w:sz="6" w:space="0"/>
              <w:insideV w:val="nil"/>
              <w:tl2br w:val="nil"/>
              <w:tr2bl w:val="nil"/>
            </w:tcBorders>
            <w:noWrap/>
          </w:tcPr>
          <w:p w14:paraId="4B01E5AC">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Health states(based on CD4 cell counts)</w:t>
            </w:r>
          </w:p>
        </w:tc>
        <w:tc>
          <w:tcPr>
            <w:tcW w:w="1643" w:type="pct"/>
            <w:tcBorders>
              <w:top w:val="single" w:color="auto" w:sz="12" w:space="0"/>
              <w:bottom w:val="single" w:color="auto" w:sz="6" w:space="0"/>
              <w:right w:val="nil"/>
              <w:insideH w:val="single" w:sz="6" w:space="0"/>
              <w:insideV w:val="nil"/>
              <w:tl2br w:val="nil"/>
              <w:tr2bl w:val="nil"/>
            </w:tcBorders>
            <w:noWrap/>
          </w:tcPr>
          <w:p w14:paraId="22D4E26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HIV-related mortality</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NE.Ref.{4EEAD8A9-73A7-4556-84F5-453835B86384}</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[11]</w:t>
            </w:r>
            <w:r>
              <w:rPr>
                <w:rFonts w:ascii="Times New Roman" w:hAnsi="Times New Roman" w:eastAsia="宋体" w:cs="Times New Roman"/>
                <w:b/>
                <w:bCs/>
                <w:kern w:val="0"/>
              </w:rPr>
              <w:fldChar w:fldCharType="end"/>
            </w:r>
          </w:p>
        </w:tc>
        <w:tc>
          <w:tcPr>
            <w:tcW w:w="1643" w:type="pct"/>
            <w:tcBorders>
              <w:top w:val="single" w:color="auto" w:sz="12" w:space="0"/>
              <w:bottom w:val="single" w:color="auto" w:sz="6" w:space="0"/>
              <w:right w:val="nil"/>
              <w:insideH w:val="single" w:sz="6" w:space="0"/>
              <w:insideV w:val="nil"/>
              <w:tl2br w:val="nil"/>
              <w:tr2bl w:val="nil"/>
            </w:tcBorders>
          </w:tcPr>
          <w:p w14:paraId="5BFE9156">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ADEs incidence rates</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NE.Ref.{22C19551-8242-4B91-A72B-ACB523878330}</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[12]</w:t>
            </w:r>
            <w:r>
              <w:rPr>
                <w:rFonts w:ascii="Times New Roman" w:hAnsi="Times New Roman" w:eastAsia="宋体" w:cs="Times New Roman"/>
                <w:b/>
                <w:bCs/>
                <w:kern w:val="0"/>
              </w:rPr>
              <w:fldChar w:fldCharType="end"/>
            </w:r>
          </w:p>
        </w:tc>
      </w:tr>
      <w:tr w14:paraId="7F490C90">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noWrap/>
          </w:tcPr>
          <w:p w14:paraId="233E9874">
            <w:pPr>
              <w:pStyle w:val="15"/>
              <w:spacing w:line="480" w:lineRule="auto"/>
              <w:rPr>
                <w:rFonts w:ascii="Times New Roman" w:hAnsi="Times New Roman" w:cs="Times New Roman"/>
                <w:kern w:val="0"/>
              </w:rPr>
            </w:pPr>
            <w:r>
              <w:rPr>
                <w:rFonts w:ascii="Times New Roman" w:hAnsi="Times New Roman" w:cs="Times New Roman"/>
                <w:kern w:val="0"/>
              </w:rPr>
              <w:t>＞500</w:t>
            </w:r>
          </w:p>
        </w:tc>
        <w:tc>
          <w:tcPr>
            <w:tcW w:w="2729" w:type="dxa"/>
            <w:noWrap/>
            <w:vAlign w:val="center"/>
          </w:tcPr>
          <w:p w14:paraId="336B6897">
            <w:pPr>
              <w:pStyle w:val="15"/>
              <w:spacing w:line="480" w:lineRule="auto"/>
              <w:rPr>
                <w:rFonts w:ascii="Times New Roman" w:hAnsi="Times New Roman" w:cs="Times New Roman"/>
                <w:kern w:val="0"/>
              </w:rPr>
            </w:pPr>
            <w:r>
              <w:rPr>
                <w:rFonts w:ascii="Times New Roman" w:hAnsi="Times New Roman" w:cs="Times New Roman"/>
                <w:kern w:val="0"/>
              </w:rPr>
              <w:t>0.0250%</w:t>
            </w:r>
          </w:p>
        </w:tc>
        <w:tc>
          <w:tcPr>
            <w:tcW w:w="2729" w:type="dxa"/>
            <w:vAlign w:val="center"/>
          </w:tcPr>
          <w:p w14:paraId="3A984983">
            <w:pPr>
              <w:pStyle w:val="15"/>
              <w:spacing w:line="480" w:lineRule="auto"/>
              <w:rPr>
                <w:rFonts w:ascii="Times New Roman" w:hAnsi="Times New Roman" w:cs="Times New Roman"/>
                <w:kern w:val="0"/>
              </w:rPr>
            </w:pPr>
            <w:r>
              <w:rPr>
                <w:rFonts w:ascii="Times New Roman" w:hAnsi="Times New Roman" w:cs="Times New Roman"/>
                <w:kern w:val="0"/>
              </w:rPr>
              <w:t>0.06%</w:t>
            </w:r>
          </w:p>
        </w:tc>
      </w:tr>
      <w:tr w14:paraId="30A2346E">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noWrap/>
          </w:tcPr>
          <w:p w14:paraId="3073F8AF">
            <w:pPr>
              <w:pStyle w:val="15"/>
              <w:spacing w:line="480" w:lineRule="auto"/>
              <w:rPr>
                <w:rFonts w:ascii="Times New Roman" w:hAnsi="Times New Roman" w:cs="Times New Roman"/>
                <w:kern w:val="0"/>
              </w:rPr>
            </w:pPr>
            <w:r>
              <w:rPr>
                <w:rFonts w:ascii="Times New Roman" w:hAnsi="Times New Roman" w:cs="Times New Roman"/>
                <w:kern w:val="0"/>
              </w:rPr>
              <w:t>＞350</w:t>
            </w:r>
          </w:p>
        </w:tc>
        <w:tc>
          <w:tcPr>
            <w:tcW w:w="2729" w:type="dxa"/>
            <w:noWrap/>
            <w:vAlign w:val="center"/>
          </w:tcPr>
          <w:p w14:paraId="6C181B87">
            <w:pPr>
              <w:pStyle w:val="15"/>
              <w:spacing w:line="480" w:lineRule="auto"/>
              <w:rPr>
                <w:rFonts w:ascii="Times New Roman" w:hAnsi="Times New Roman" w:cs="Times New Roman"/>
                <w:kern w:val="0"/>
              </w:rPr>
            </w:pPr>
            <w:r>
              <w:rPr>
                <w:rFonts w:ascii="Times New Roman" w:hAnsi="Times New Roman" w:cs="Times New Roman"/>
                <w:kern w:val="0"/>
              </w:rPr>
              <w:t>0.3274%</w:t>
            </w:r>
          </w:p>
        </w:tc>
        <w:tc>
          <w:tcPr>
            <w:tcW w:w="2729" w:type="dxa"/>
            <w:vAlign w:val="center"/>
          </w:tcPr>
          <w:p w14:paraId="73E4EE98">
            <w:pPr>
              <w:pStyle w:val="15"/>
              <w:spacing w:line="480" w:lineRule="auto"/>
              <w:rPr>
                <w:rFonts w:ascii="Times New Roman" w:hAnsi="Times New Roman" w:cs="Times New Roman"/>
                <w:kern w:val="0"/>
              </w:rPr>
            </w:pPr>
            <w:r>
              <w:rPr>
                <w:rFonts w:ascii="Times New Roman" w:hAnsi="Times New Roman" w:cs="Times New Roman"/>
                <w:kern w:val="0"/>
              </w:rPr>
              <w:t>0.34%</w:t>
            </w:r>
          </w:p>
        </w:tc>
      </w:tr>
      <w:tr w14:paraId="06E643CC">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noWrap/>
          </w:tcPr>
          <w:p w14:paraId="59C23980">
            <w:pPr>
              <w:pStyle w:val="15"/>
              <w:spacing w:line="480" w:lineRule="auto"/>
              <w:rPr>
                <w:rFonts w:ascii="Times New Roman" w:hAnsi="Times New Roman" w:cs="Times New Roman"/>
                <w:kern w:val="0"/>
              </w:rPr>
            </w:pPr>
            <w:r>
              <w:rPr>
                <w:rFonts w:ascii="Times New Roman" w:hAnsi="Times New Roman" w:cs="Times New Roman"/>
                <w:kern w:val="0"/>
              </w:rPr>
              <w:t>＞200</w:t>
            </w:r>
          </w:p>
        </w:tc>
        <w:tc>
          <w:tcPr>
            <w:tcW w:w="2729" w:type="dxa"/>
            <w:noWrap/>
            <w:vAlign w:val="center"/>
          </w:tcPr>
          <w:p w14:paraId="0B24BFAA">
            <w:pPr>
              <w:pStyle w:val="15"/>
              <w:spacing w:line="480" w:lineRule="auto"/>
              <w:rPr>
                <w:rFonts w:ascii="Times New Roman" w:hAnsi="Times New Roman" w:cs="Times New Roman"/>
                <w:kern w:val="0"/>
              </w:rPr>
            </w:pPr>
            <w:r>
              <w:rPr>
                <w:rFonts w:ascii="Times New Roman" w:hAnsi="Times New Roman" w:cs="Times New Roman"/>
                <w:kern w:val="0"/>
              </w:rPr>
              <w:t>0.4868%</w:t>
            </w:r>
          </w:p>
        </w:tc>
        <w:tc>
          <w:tcPr>
            <w:tcW w:w="2729" w:type="dxa"/>
            <w:vAlign w:val="center"/>
          </w:tcPr>
          <w:p w14:paraId="1BD9A045">
            <w:pPr>
              <w:pStyle w:val="15"/>
              <w:spacing w:line="480" w:lineRule="auto"/>
              <w:rPr>
                <w:rFonts w:ascii="Times New Roman" w:hAnsi="Times New Roman" w:cs="Times New Roman"/>
                <w:kern w:val="0"/>
              </w:rPr>
            </w:pPr>
            <w:r>
              <w:rPr>
                <w:rFonts w:ascii="Times New Roman" w:hAnsi="Times New Roman" w:cs="Times New Roman"/>
                <w:kern w:val="0"/>
              </w:rPr>
              <w:t>0.88%</w:t>
            </w:r>
          </w:p>
        </w:tc>
      </w:tr>
      <w:tr w14:paraId="35F67A88">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noWrap/>
          </w:tcPr>
          <w:p w14:paraId="4AC39C96">
            <w:pPr>
              <w:pStyle w:val="15"/>
              <w:spacing w:line="480" w:lineRule="auto"/>
              <w:rPr>
                <w:rFonts w:ascii="Times New Roman" w:hAnsi="Times New Roman" w:cs="Times New Roman"/>
                <w:kern w:val="0"/>
              </w:rPr>
            </w:pPr>
            <w:r>
              <w:rPr>
                <w:rFonts w:ascii="Times New Roman" w:hAnsi="Times New Roman" w:cs="Times New Roman"/>
                <w:kern w:val="0"/>
              </w:rPr>
              <w:t>＞100</w:t>
            </w:r>
          </w:p>
        </w:tc>
        <w:tc>
          <w:tcPr>
            <w:tcW w:w="2729" w:type="dxa"/>
            <w:noWrap/>
            <w:vAlign w:val="center"/>
          </w:tcPr>
          <w:p w14:paraId="4D5AF82A">
            <w:pPr>
              <w:pStyle w:val="15"/>
              <w:spacing w:line="480" w:lineRule="auto"/>
              <w:rPr>
                <w:rFonts w:ascii="Times New Roman" w:hAnsi="Times New Roman" w:cs="Times New Roman"/>
                <w:kern w:val="0"/>
              </w:rPr>
            </w:pPr>
            <w:r>
              <w:rPr>
                <w:rFonts w:ascii="Times New Roman" w:hAnsi="Times New Roman" w:cs="Times New Roman"/>
                <w:kern w:val="0"/>
              </w:rPr>
              <w:t>1.4600%</w:t>
            </w:r>
          </w:p>
        </w:tc>
        <w:tc>
          <w:tcPr>
            <w:tcW w:w="2729" w:type="dxa"/>
            <w:vAlign w:val="center"/>
          </w:tcPr>
          <w:p w14:paraId="35EF3CA6">
            <w:pPr>
              <w:pStyle w:val="15"/>
              <w:spacing w:line="480" w:lineRule="auto"/>
              <w:rPr>
                <w:rFonts w:ascii="Times New Roman" w:hAnsi="Times New Roman" w:cs="Times New Roman"/>
                <w:kern w:val="0"/>
              </w:rPr>
            </w:pPr>
            <w:r>
              <w:rPr>
                <w:rFonts w:ascii="Times New Roman" w:hAnsi="Times New Roman" w:cs="Times New Roman"/>
                <w:kern w:val="0"/>
              </w:rPr>
              <w:t>3.00%</w:t>
            </w:r>
          </w:p>
        </w:tc>
      </w:tr>
      <w:tr w14:paraId="2A4E4FB6">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714" w:type="pct"/>
            <w:noWrap/>
          </w:tcPr>
          <w:p w14:paraId="4BC77F29">
            <w:pPr>
              <w:pStyle w:val="15"/>
              <w:spacing w:line="480" w:lineRule="auto"/>
              <w:rPr>
                <w:rFonts w:ascii="Times New Roman" w:hAnsi="Times New Roman" w:cs="Times New Roman"/>
                <w:kern w:val="0"/>
              </w:rPr>
            </w:pPr>
            <w:r>
              <w:rPr>
                <w:rFonts w:ascii="Times New Roman" w:hAnsi="Times New Roman" w:cs="Times New Roman"/>
                <w:kern w:val="0"/>
              </w:rPr>
              <w:t>&lt;100</w:t>
            </w:r>
          </w:p>
        </w:tc>
        <w:tc>
          <w:tcPr>
            <w:tcW w:w="2729" w:type="dxa"/>
            <w:noWrap/>
            <w:vAlign w:val="center"/>
          </w:tcPr>
          <w:p w14:paraId="3F6613DF">
            <w:pPr>
              <w:pStyle w:val="15"/>
              <w:spacing w:line="480" w:lineRule="auto"/>
              <w:rPr>
                <w:rFonts w:ascii="Times New Roman" w:hAnsi="Times New Roman" w:cs="Times New Roman"/>
                <w:kern w:val="0"/>
              </w:rPr>
            </w:pPr>
            <w:r>
              <w:rPr>
                <w:rFonts w:ascii="Times New Roman" w:hAnsi="Times New Roman" w:cs="Times New Roman"/>
                <w:kern w:val="0"/>
              </w:rPr>
              <w:t>2.9000%</w:t>
            </w:r>
          </w:p>
        </w:tc>
        <w:tc>
          <w:tcPr>
            <w:tcW w:w="2729" w:type="dxa"/>
            <w:vAlign w:val="center"/>
          </w:tcPr>
          <w:p w14:paraId="4A1532E5">
            <w:pPr>
              <w:pStyle w:val="15"/>
              <w:spacing w:line="480" w:lineRule="auto"/>
              <w:rPr>
                <w:rFonts w:ascii="Times New Roman" w:hAnsi="Times New Roman" w:cs="Times New Roman"/>
                <w:kern w:val="0"/>
              </w:rPr>
            </w:pPr>
            <w:r>
              <w:rPr>
                <w:rFonts w:ascii="Times New Roman" w:hAnsi="Times New Roman" w:cs="Times New Roman"/>
                <w:kern w:val="0"/>
              </w:rPr>
              <w:t>3.40%</w:t>
            </w:r>
          </w:p>
        </w:tc>
      </w:tr>
    </w:tbl>
    <w:p w14:paraId="1954CEC3">
      <w:pPr>
        <w:spacing w:line="480" w:lineRule="auto"/>
        <w:rPr>
          <w:rFonts w:ascii="Times New Roman" w:hAnsi="Times New Roman" w:cs="Times New Roman"/>
          <w:b/>
          <w:bCs/>
          <w:sz w:val="24"/>
          <w:szCs w:val="24"/>
        </w:rPr>
      </w:pPr>
    </w:p>
    <w:p w14:paraId="658CD9EB">
      <w:pPr>
        <w:pStyle w:val="7"/>
        <w:spacing w:line="480" w:lineRule="auto"/>
        <w:jc w:val="center"/>
        <w:rPr>
          <w:rFonts w:ascii="Times New Roman" w:hAnsi="Times New Roman" w:cs="Times New Roman"/>
          <w:b/>
          <w:bCs/>
          <w:sz w:val="24"/>
          <w:szCs w:val="24"/>
        </w:rPr>
      </w:pPr>
      <w:bookmarkStart w:id="23" w:name="_Toc216103916"/>
      <w:bookmarkStart w:id="24" w:name="_Toc183682230"/>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6</w:t>
      </w:r>
      <w:r>
        <w:rPr>
          <w:rFonts w:ascii="Times New Roman" w:hAnsi="Times New Roman" w:cs="Times New Roman"/>
          <w:b/>
          <w:bCs/>
          <w:sz w:val="24"/>
          <w:szCs w:val="24"/>
        </w:rPr>
        <w:fldChar w:fldCharType="end"/>
      </w:r>
      <w:r>
        <w:rPr>
          <w:rFonts w:ascii="Times New Roman" w:hAnsi="Times New Roman" w:cs="Times New Roman"/>
          <w:b/>
          <w:bCs/>
          <w:sz w:val="24"/>
          <w:szCs w:val="24"/>
        </w:rPr>
        <w:t>. Treatment Discontinuation Rates for Different ART Regimens</w:t>
      </w:r>
      <w:bookmarkEnd w:id="23"/>
      <w:bookmarkEnd w:id="24"/>
    </w:p>
    <w:tbl>
      <w:tblPr>
        <w:tblStyle w:val="11"/>
        <w:tblW w:w="5000" w:type="pct"/>
        <w:tblInd w:w="0" w:type="dxa"/>
        <w:tblLayout w:type="fixed"/>
        <w:tblCellMar>
          <w:top w:w="0" w:type="dxa"/>
          <w:left w:w="108" w:type="dxa"/>
          <w:bottom w:w="0" w:type="dxa"/>
          <w:right w:w="108" w:type="dxa"/>
        </w:tblCellMar>
      </w:tblPr>
      <w:tblGrid>
        <w:gridCol w:w="1918"/>
        <w:gridCol w:w="3333"/>
        <w:gridCol w:w="1836"/>
        <w:gridCol w:w="1435"/>
      </w:tblGrid>
      <w:tr w14:paraId="7941A985">
        <w:tblPrEx>
          <w:tblCellMar>
            <w:top w:w="0" w:type="dxa"/>
            <w:left w:w="108" w:type="dxa"/>
            <w:bottom w:w="0" w:type="dxa"/>
            <w:right w:w="108" w:type="dxa"/>
          </w:tblCellMar>
        </w:tblPrEx>
        <w:trPr>
          <w:trHeight w:val="300" w:hRule="atLeast"/>
        </w:trPr>
        <w:tc>
          <w:tcPr>
            <w:tcW w:w="1125" w:type="pct"/>
            <w:tcBorders>
              <w:top w:val="single" w:color="000000" w:sz="12" w:space="0"/>
              <w:left w:val="nil"/>
              <w:bottom w:val="single" w:color="000000" w:sz="8" w:space="0"/>
              <w:right w:val="nil"/>
            </w:tcBorders>
            <w:noWrap/>
            <w:vAlign w:val="center"/>
          </w:tcPr>
          <w:p w14:paraId="6790E65C">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Discontinuation rates</w:t>
            </w:r>
          </w:p>
        </w:tc>
        <w:tc>
          <w:tcPr>
            <w:tcW w:w="1954" w:type="pct"/>
            <w:tcBorders>
              <w:top w:val="single" w:color="000000" w:sz="12" w:space="0"/>
              <w:left w:val="nil"/>
              <w:bottom w:val="single" w:color="000000" w:sz="8" w:space="0"/>
              <w:right w:val="nil"/>
            </w:tcBorders>
            <w:noWrap/>
            <w:vAlign w:val="center"/>
          </w:tcPr>
          <w:p w14:paraId="3CE23708">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ART regimens</w:t>
            </w:r>
          </w:p>
        </w:tc>
        <w:tc>
          <w:tcPr>
            <w:tcW w:w="1077" w:type="pct"/>
            <w:tcBorders>
              <w:top w:val="single" w:color="000000" w:sz="12" w:space="0"/>
              <w:left w:val="nil"/>
              <w:bottom w:val="single" w:color="000000" w:sz="8" w:space="0"/>
              <w:right w:val="nil"/>
            </w:tcBorders>
            <w:noWrap/>
            <w:vAlign w:val="center"/>
          </w:tcPr>
          <w:p w14:paraId="4D65FF0E">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Time</w:t>
            </w:r>
          </w:p>
        </w:tc>
        <w:tc>
          <w:tcPr>
            <w:tcW w:w="842" w:type="pct"/>
            <w:tcBorders>
              <w:top w:val="single" w:color="000000" w:sz="12" w:space="0"/>
              <w:left w:val="nil"/>
              <w:bottom w:val="single" w:color="000000" w:sz="8" w:space="0"/>
              <w:right w:val="nil"/>
            </w:tcBorders>
            <w:noWrap/>
            <w:vAlign w:val="center"/>
          </w:tcPr>
          <w:p w14:paraId="5CF68B0F">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 xml:space="preserve">Value </w:t>
            </w:r>
            <w:r>
              <w:rPr>
                <w:rFonts w:hint="eastAsia" w:ascii="宋体" w:hAnsi="宋体" w:eastAsia="宋体" w:cs="宋体"/>
                <w:b/>
                <w:bCs/>
                <w:color w:val="000000"/>
                <w:kern w:val="0"/>
                <w:sz w:val="18"/>
                <w:szCs w:val="18"/>
                <w:lang w:bidi="ar"/>
              </w:rPr>
              <w:t>（</w:t>
            </w:r>
            <w:r>
              <w:rPr>
                <w:rFonts w:ascii="Times New Roman" w:hAnsi="Times New Roman" w:eastAsia="宋体" w:cs="Times New Roman"/>
                <w:b/>
                <w:bCs/>
                <w:color w:val="000000"/>
                <w:kern w:val="0"/>
                <w:sz w:val="18"/>
                <w:szCs w:val="18"/>
                <w:lang w:bidi="ar"/>
              </w:rPr>
              <w:t>Annual rate</w:t>
            </w:r>
            <w:r>
              <w:rPr>
                <w:rFonts w:hint="eastAsia" w:ascii="宋体" w:hAnsi="宋体" w:eastAsia="宋体" w:cs="宋体"/>
                <w:b/>
                <w:bCs/>
                <w:color w:val="000000"/>
                <w:kern w:val="0"/>
                <w:sz w:val="18"/>
                <w:szCs w:val="18"/>
                <w:lang w:bidi="ar"/>
              </w:rPr>
              <w:t>）</w:t>
            </w:r>
          </w:p>
        </w:tc>
      </w:tr>
      <w:tr w14:paraId="231865FF">
        <w:tblPrEx>
          <w:tblCellMar>
            <w:top w:w="0" w:type="dxa"/>
            <w:left w:w="108" w:type="dxa"/>
            <w:bottom w:w="0" w:type="dxa"/>
            <w:right w:w="108" w:type="dxa"/>
          </w:tblCellMar>
        </w:tblPrEx>
        <w:trPr>
          <w:trHeight w:val="285" w:hRule="atLeast"/>
        </w:trPr>
        <w:tc>
          <w:tcPr>
            <w:tcW w:w="1125" w:type="pct"/>
            <w:vMerge w:val="restart"/>
            <w:tcBorders>
              <w:top w:val="single" w:color="000000" w:sz="8" w:space="0"/>
              <w:left w:val="nil"/>
              <w:bottom w:val="nil"/>
              <w:right w:val="nil"/>
            </w:tcBorders>
            <w:noWrap/>
            <w:vAlign w:val="center"/>
          </w:tcPr>
          <w:p w14:paraId="671142CF">
            <w:pPr>
              <w:widowControl/>
              <w:jc w:val="center"/>
              <w:textAlignment w:val="center"/>
              <w:rPr>
                <w:rFonts w:ascii="Times New Roman" w:hAnsi="Times New Roman" w:eastAsia="宋体" w:cs="Times New Roman"/>
                <w:color w:val="000000"/>
                <w:sz w:val="18"/>
                <w:szCs w:val="18"/>
              </w:rPr>
            </w:pPr>
            <w:r>
              <w:rPr>
                <w:rStyle w:val="23"/>
                <w:rFonts w:eastAsia="宋体"/>
                <w:lang w:bidi="ar"/>
              </w:rPr>
              <w:t>Virological discontinuation rate (resistance rate)</w:t>
            </w:r>
          </w:p>
        </w:tc>
        <w:tc>
          <w:tcPr>
            <w:tcW w:w="1954" w:type="pct"/>
            <w:tcBorders>
              <w:top w:val="single" w:color="000000" w:sz="8" w:space="0"/>
              <w:left w:val="nil"/>
              <w:bottom w:val="nil"/>
              <w:right w:val="nil"/>
            </w:tcBorders>
            <w:noWrap/>
            <w:vAlign w:val="center"/>
          </w:tcPr>
          <w:p w14:paraId="1C3CE3D5">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1077" w:type="pct"/>
            <w:tcBorders>
              <w:top w:val="single" w:color="000000" w:sz="8" w:space="0"/>
              <w:left w:val="nil"/>
              <w:bottom w:val="nil"/>
              <w:right w:val="nil"/>
            </w:tcBorders>
            <w:noWrap/>
            <w:vAlign w:val="center"/>
          </w:tcPr>
          <w:p w14:paraId="66FD13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single" w:color="000000" w:sz="8" w:space="0"/>
              <w:left w:val="nil"/>
              <w:bottom w:val="nil"/>
              <w:right w:val="nil"/>
            </w:tcBorders>
            <w:vAlign w:val="center"/>
          </w:tcPr>
          <w:p w14:paraId="15E8E7F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1.39%</w:t>
            </w:r>
          </w:p>
        </w:tc>
      </w:tr>
      <w:tr w14:paraId="42BAAA41">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7A0DAAFE">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7965DDC9">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1077" w:type="pct"/>
            <w:tcBorders>
              <w:top w:val="nil"/>
              <w:left w:val="nil"/>
              <w:bottom w:val="nil"/>
              <w:right w:val="nil"/>
            </w:tcBorders>
            <w:noWrap/>
            <w:vAlign w:val="center"/>
          </w:tcPr>
          <w:p w14:paraId="53FA70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49BF15F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23.44%</w:t>
            </w:r>
          </w:p>
        </w:tc>
      </w:tr>
      <w:tr w14:paraId="1314B8A0">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0E224D51">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54FCDDC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1077" w:type="pct"/>
            <w:tcBorders>
              <w:top w:val="nil"/>
              <w:left w:val="nil"/>
              <w:bottom w:val="nil"/>
              <w:right w:val="nil"/>
            </w:tcBorders>
            <w:noWrap/>
            <w:vAlign w:val="center"/>
          </w:tcPr>
          <w:p w14:paraId="03D46A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070CDA0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7.50%</w:t>
            </w:r>
          </w:p>
        </w:tc>
      </w:tr>
      <w:tr w14:paraId="0BEB3D0B">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1CFB9E8E">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7BFE6B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1077" w:type="pct"/>
            <w:tcBorders>
              <w:top w:val="nil"/>
              <w:left w:val="nil"/>
              <w:bottom w:val="nil"/>
              <w:right w:val="nil"/>
            </w:tcBorders>
            <w:noWrap/>
            <w:vAlign w:val="center"/>
          </w:tcPr>
          <w:p w14:paraId="6A70E26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07A97B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12.70%</w:t>
            </w:r>
          </w:p>
        </w:tc>
      </w:tr>
      <w:tr w14:paraId="02727B7F">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5A919833">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1E88C820">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BIC/FTC/TAF</w:t>
            </w:r>
          </w:p>
        </w:tc>
        <w:tc>
          <w:tcPr>
            <w:tcW w:w="1077" w:type="pct"/>
            <w:tcBorders>
              <w:top w:val="nil"/>
              <w:left w:val="nil"/>
              <w:bottom w:val="nil"/>
              <w:right w:val="nil"/>
            </w:tcBorders>
            <w:noWrap/>
            <w:vAlign w:val="center"/>
          </w:tcPr>
          <w:p w14:paraId="0072472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nil"/>
              <w:right w:val="nil"/>
            </w:tcBorders>
            <w:vAlign w:val="center"/>
          </w:tcPr>
          <w:p w14:paraId="3B212A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2.10%</w:t>
            </w:r>
          </w:p>
        </w:tc>
      </w:tr>
      <w:tr w14:paraId="756BA168">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7CF8715A">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62218F11">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EFV+TDF+3TC</w:t>
            </w:r>
          </w:p>
        </w:tc>
        <w:tc>
          <w:tcPr>
            <w:tcW w:w="1077" w:type="pct"/>
            <w:tcBorders>
              <w:top w:val="nil"/>
              <w:left w:val="nil"/>
              <w:bottom w:val="nil"/>
              <w:right w:val="nil"/>
            </w:tcBorders>
            <w:noWrap/>
            <w:vAlign w:val="center"/>
          </w:tcPr>
          <w:p w14:paraId="3C7A7C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nil"/>
              <w:right w:val="nil"/>
            </w:tcBorders>
            <w:vAlign w:val="center"/>
          </w:tcPr>
          <w:p w14:paraId="4202831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10.70%</w:t>
            </w:r>
          </w:p>
        </w:tc>
      </w:tr>
      <w:tr w14:paraId="1C5E4A2F">
        <w:tblPrEx>
          <w:tblCellMar>
            <w:top w:w="0" w:type="dxa"/>
            <w:left w:w="108" w:type="dxa"/>
            <w:bottom w:w="0" w:type="dxa"/>
            <w:right w:w="108" w:type="dxa"/>
          </w:tblCellMar>
        </w:tblPrEx>
        <w:trPr>
          <w:trHeight w:val="270" w:hRule="atLeast"/>
        </w:trPr>
        <w:tc>
          <w:tcPr>
            <w:tcW w:w="1125" w:type="pct"/>
            <w:vMerge w:val="continue"/>
            <w:tcBorders>
              <w:top w:val="nil"/>
              <w:left w:val="nil"/>
              <w:bottom w:val="nil"/>
              <w:right w:val="nil"/>
            </w:tcBorders>
            <w:noWrap/>
            <w:vAlign w:val="center"/>
          </w:tcPr>
          <w:p w14:paraId="3D1BF862">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7514AD20">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Second-line treatment</w:t>
            </w:r>
          </w:p>
        </w:tc>
        <w:tc>
          <w:tcPr>
            <w:tcW w:w="1077" w:type="pct"/>
            <w:tcBorders>
              <w:top w:val="nil"/>
              <w:left w:val="nil"/>
              <w:bottom w:val="nil"/>
              <w:right w:val="nil"/>
            </w:tcBorders>
            <w:noWrap/>
            <w:vAlign w:val="center"/>
          </w:tcPr>
          <w:p w14:paraId="3542A9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nil"/>
              <w:right w:val="nil"/>
            </w:tcBorders>
            <w:vAlign w:val="center"/>
          </w:tcPr>
          <w:p w14:paraId="596F42B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7.94%</w:t>
            </w:r>
          </w:p>
        </w:tc>
      </w:tr>
      <w:tr w14:paraId="164D0D22">
        <w:tblPrEx>
          <w:tblCellMar>
            <w:top w:w="0" w:type="dxa"/>
            <w:left w:w="108" w:type="dxa"/>
            <w:bottom w:w="0" w:type="dxa"/>
            <w:right w:w="108" w:type="dxa"/>
          </w:tblCellMar>
        </w:tblPrEx>
        <w:trPr>
          <w:trHeight w:val="270" w:hRule="atLeast"/>
        </w:trPr>
        <w:tc>
          <w:tcPr>
            <w:tcW w:w="1125" w:type="pct"/>
            <w:vMerge w:val="restart"/>
            <w:tcBorders>
              <w:top w:val="nil"/>
              <w:left w:val="nil"/>
              <w:bottom w:val="single" w:color="000000" w:sz="12" w:space="0"/>
              <w:right w:val="nil"/>
            </w:tcBorders>
            <w:noWrap/>
            <w:vAlign w:val="center"/>
          </w:tcPr>
          <w:p w14:paraId="6850A44B">
            <w:pPr>
              <w:widowControl/>
              <w:jc w:val="center"/>
              <w:textAlignment w:val="center"/>
              <w:rPr>
                <w:rFonts w:ascii="Times New Roman" w:hAnsi="Times New Roman" w:eastAsia="宋体" w:cs="Times New Roman"/>
                <w:color w:val="000000"/>
                <w:sz w:val="18"/>
                <w:szCs w:val="18"/>
              </w:rPr>
            </w:pPr>
            <w:r>
              <w:rPr>
                <w:rStyle w:val="23"/>
                <w:rFonts w:eastAsia="宋体"/>
                <w:lang w:bidi="ar"/>
              </w:rPr>
              <w:t>Non-virological discontinuation rate (AEs, dependency, economic factors, and so on.)</w:t>
            </w:r>
          </w:p>
        </w:tc>
        <w:tc>
          <w:tcPr>
            <w:tcW w:w="1954" w:type="pct"/>
            <w:tcBorders>
              <w:top w:val="nil"/>
              <w:left w:val="nil"/>
              <w:bottom w:val="nil"/>
              <w:right w:val="nil"/>
            </w:tcBorders>
            <w:noWrap/>
            <w:vAlign w:val="center"/>
          </w:tcPr>
          <w:p w14:paraId="78BBCC6D">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BIC/FTC/TAF</w:t>
            </w:r>
          </w:p>
        </w:tc>
        <w:tc>
          <w:tcPr>
            <w:tcW w:w="1077" w:type="pct"/>
            <w:tcBorders>
              <w:top w:val="nil"/>
              <w:left w:val="nil"/>
              <w:bottom w:val="nil"/>
              <w:right w:val="nil"/>
            </w:tcBorders>
            <w:noWrap/>
            <w:vAlign w:val="center"/>
          </w:tcPr>
          <w:p w14:paraId="579E63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724D309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20.83%</w:t>
            </w:r>
          </w:p>
        </w:tc>
      </w:tr>
      <w:tr w14:paraId="3AE3D030">
        <w:tblPrEx>
          <w:tblCellMar>
            <w:top w:w="0" w:type="dxa"/>
            <w:left w:w="108" w:type="dxa"/>
            <w:bottom w:w="0" w:type="dxa"/>
            <w:right w:w="108" w:type="dxa"/>
          </w:tblCellMar>
        </w:tblPrEx>
        <w:trPr>
          <w:trHeight w:val="270" w:hRule="atLeast"/>
        </w:trPr>
        <w:tc>
          <w:tcPr>
            <w:tcW w:w="1125" w:type="pct"/>
            <w:vMerge w:val="continue"/>
            <w:tcBorders>
              <w:top w:val="nil"/>
              <w:left w:val="nil"/>
              <w:bottom w:val="single" w:color="000000" w:sz="12" w:space="0"/>
              <w:right w:val="nil"/>
            </w:tcBorders>
            <w:noWrap/>
            <w:vAlign w:val="center"/>
          </w:tcPr>
          <w:p w14:paraId="24FD9EE8">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30C5DDAF">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Rapid initiation EFV+TDF+3TC</w:t>
            </w:r>
          </w:p>
        </w:tc>
        <w:tc>
          <w:tcPr>
            <w:tcW w:w="1077" w:type="pct"/>
            <w:tcBorders>
              <w:top w:val="nil"/>
              <w:left w:val="nil"/>
              <w:bottom w:val="nil"/>
              <w:right w:val="nil"/>
            </w:tcBorders>
            <w:noWrap/>
            <w:vAlign w:val="center"/>
          </w:tcPr>
          <w:p w14:paraId="31D64D4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055F7A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12.50%</w:t>
            </w:r>
          </w:p>
        </w:tc>
      </w:tr>
      <w:tr w14:paraId="0BAC05A3">
        <w:tblPrEx>
          <w:tblCellMar>
            <w:top w:w="0" w:type="dxa"/>
            <w:left w:w="108" w:type="dxa"/>
            <w:bottom w:w="0" w:type="dxa"/>
            <w:right w:w="108" w:type="dxa"/>
          </w:tblCellMar>
        </w:tblPrEx>
        <w:trPr>
          <w:trHeight w:val="270" w:hRule="atLeast"/>
        </w:trPr>
        <w:tc>
          <w:tcPr>
            <w:tcW w:w="1125" w:type="pct"/>
            <w:vMerge w:val="continue"/>
            <w:tcBorders>
              <w:top w:val="nil"/>
              <w:left w:val="nil"/>
              <w:bottom w:val="single" w:color="000000" w:sz="12" w:space="0"/>
              <w:right w:val="nil"/>
            </w:tcBorders>
            <w:noWrap/>
            <w:vAlign w:val="center"/>
          </w:tcPr>
          <w:p w14:paraId="50B690B6">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06DA76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BIC/FTC/TAF</w:t>
            </w:r>
          </w:p>
        </w:tc>
        <w:tc>
          <w:tcPr>
            <w:tcW w:w="1077" w:type="pct"/>
            <w:tcBorders>
              <w:top w:val="nil"/>
              <w:left w:val="nil"/>
              <w:bottom w:val="nil"/>
              <w:right w:val="nil"/>
            </w:tcBorders>
            <w:noWrap/>
            <w:vAlign w:val="center"/>
          </w:tcPr>
          <w:p w14:paraId="0608900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118A8F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3.75%</w:t>
            </w:r>
          </w:p>
        </w:tc>
      </w:tr>
      <w:tr w14:paraId="33B7AF76">
        <w:tblPrEx>
          <w:tblCellMar>
            <w:top w:w="0" w:type="dxa"/>
            <w:left w:w="108" w:type="dxa"/>
            <w:bottom w:w="0" w:type="dxa"/>
            <w:right w:w="108" w:type="dxa"/>
          </w:tblCellMar>
        </w:tblPrEx>
        <w:trPr>
          <w:trHeight w:val="270" w:hRule="atLeast"/>
        </w:trPr>
        <w:tc>
          <w:tcPr>
            <w:tcW w:w="1125" w:type="pct"/>
            <w:vMerge w:val="continue"/>
            <w:tcBorders>
              <w:top w:val="nil"/>
              <w:left w:val="nil"/>
              <w:bottom w:val="single" w:color="000000" w:sz="12" w:space="0"/>
              <w:right w:val="nil"/>
            </w:tcBorders>
            <w:noWrap/>
            <w:vAlign w:val="center"/>
          </w:tcPr>
          <w:p w14:paraId="6160FFED">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61470C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Non-rapid initiation EFV+TDF+3TC</w:t>
            </w:r>
          </w:p>
        </w:tc>
        <w:tc>
          <w:tcPr>
            <w:tcW w:w="1077" w:type="pct"/>
            <w:tcBorders>
              <w:top w:val="nil"/>
              <w:left w:val="nil"/>
              <w:bottom w:val="nil"/>
              <w:right w:val="nil"/>
            </w:tcBorders>
            <w:noWrap/>
            <w:vAlign w:val="center"/>
          </w:tcPr>
          <w:p w14:paraId="7DB3951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96weeks</w:t>
            </w:r>
          </w:p>
        </w:tc>
        <w:tc>
          <w:tcPr>
            <w:tcW w:w="842" w:type="pct"/>
            <w:tcBorders>
              <w:top w:val="nil"/>
              <w:left w:val="nil"/>
              <w:bottom w:val="nil"/>
              <w:right w:val="nil"/>
            </w:tcBorders>
            <w:vAlign w:val="center"/>
          </w:tcPr>
          <w:p w14:paraId="6D6AC29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1.59%</w:t>
            </w:r>
          </w:p>
        </w:tc>
      </w:tr>
      <w:tr w14:paraId="0EDF8F9D">
        <w:tblPrEx>
          <w:tblCellMar>
            <w:top w:w="0" w:type="dxa"/>
            <w:left w:w="108" w:type="dxa"/>
            <w:bottom w:w="0" w:type="dxa"/>
            <w:right w:w="108" w:type="dxa"/>
          </w:tblCellMar>
        </w:tblPrEx>
        <w:trPr>
          <w:trHeight w:val="285" w:hRule="atLeast"/>
        </w:trPr>
        <w:tc>
          <w:tcPr>
            <w:tcW w:w="1125" w:type="pct"/>
            <w:vMerge w:val="continue"/>
            <w:tcBorders>
              <w:top w:val="nil"/>
              <w:left w:val="nil"/>
              <w:bottom w:val="single" w:color="000000" w:sz="12" w:space="0"/>
              <w:right w:val="nil"/>
            </w:tcBorders>
            <w:noWrap/>
            <w:vAlign w:val="center"/>
          </w:tcPr>
          <w:p w14:paraId="28D319E9">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4595C388">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BIC/FTC/TAF</w:t>
            </w:r>
          </w:p>
        </w:tc>
        <w:tc>
          <w:tcPr>
            <w:tcW w:w="1077" w:type="pct"/>
            <w:tcBorders>
              <w:top w:val="nil"/>
              <w:left w:val="nil"/>
              <w:bottom w:val="nil"/>
              <w:right w:val="nil"/>
            </w:tcBorders>
            <w:noWrap/>
            <w:vAlign w:val="center"/>
          </w:tcPr>
          <w:p w14:paraId="1D7B01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nil"/>
              <w:right w:val="nil"/>
            </w:tcBorders>
            <w:vAlign w:val="center"/>
          </w:tcPr>
          <w:p w14:paraId="12F9A94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1.00%</w:t>
            </w:r>
          </w:p>
        </w:tc>
      </w:tr>
      <w:tr w14:paraId="5E9228A5">
        <w:tblPrEx>
          <w:tblCellMar>
            <w:top w:w="0" w:type="dxa"/>
            <w:left w:w="108" w:type="dxa"/>
            <w:bottom w:w="0" w:type="dxa"/>
            <w:right w:w="108" w:type="dxa"/>
          </w:tblCellMar>
        </w:tblPrEx>
        <w:trPr>
          <w:trHeight w:val="270" w:hRule="atLeast"/>
        </w:trPr>
        <w:tc>
          <w:tcPr>
            <w:tcW w:w="1125" w:type="pct"/>
            <w:vMerge w:val="continue"/>
            <w:tcBorders>
              <w:top w:val="nil"/>
              <w:left w:val="nil"/>
              <w:bottom w:val="single" w:color="000000" w:sz="12" w:space="0"/>
              <w:right w:val="nil"/>
            </w:tcBorders>
            <w:noWrap/>
            <w:vAlign w:val="center"/>
          </w:tcPr>
          <w:p w14:paraId="319541D1">
            <w:pPr>
              <w:jc w:val="center"/>
              <w:rPr>
                <w:rFonts w:ascii="Times New Roman" w:hAnsi="Times New Roman" w:eastAsia="宋体" w:cs="Times New Roman"/>
                <w:color w:val="000000"/>
                <w:sz w:val="18"/>
                <w:szCs w:val="18"/>
              </w:rPr>
            </w:pPr>
          </w:p>
        </w:tc>
        <w:tc>
          <w:tcPr>
            <w:tcW w:w="1954" w:type="pct"/>
            <w:tcBorders>
              <w:top w:val="nil"/>
              <w:left w:val="nil"/>
              <w:bottom w:val="nil"/>
              <w:right w:val="nil"/>
            </w:tcBorders>
            <w:noWrap/>
            <w:vAlign w:val="center"/>
          </w:tcPr>
          <w:p w14:paraId="460AC937">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EFV+TDF+3TC</w:t>
            </w:r>
          </w:p>
        </w:tc>
        <w:tc>
          <w:tcPr>
            <w:tcW w:w="1077" w:type="pct"/>
            <w:tcBorders>
              <w:top w:val="nil"/>
              <w:left w:val="nil"/>
              <w:bottom w:val="nil"/>
              <w:right w:val="nil"/>
            </w:tcBorders>
            <w:noWrap/>
            <w:vAlign w:val="center"/>
          </w:tcPr>
          <w:p w14:paraId="26D6181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nil"/>
              <w:right w:val="nil"/>
            </w:tcBorders>
            <w:vAlign w:val="center"/>
          </w:tcPr>
          <w:p w14:paraId="7E675E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8.20%</w:t>
            </w:r>
          </w:p>
        </w:tc>
      </w:tr>
      <w:tr w14:paraId="3BCB7938">
        <w:tblPrEx>
          <w:tblCellMar>
            <w:top w:w="0" w:type="dxa"/>
            <w:left w:w="108" w:type="dxa"/>
            <w:bottom w:w="0" w:type="dxa"/>
            <w:right w:w="108" w:type="dxa"/>
          </w:tblCellMar>
        </w:tblPrEx>
        <w:trPr>
          <w:trHeight w:val="270" w:hRule="atLeast"/>
        </w:trPr>
        <w:tc>
          <w:tcPr>
            <w:tcW w:w="1125" w:type="pct"/>
            <w:vMerge w:val="continue"/>
            <w:tcBorders>
              <w:top w:val="nil"/>
              <w:left w:val="nil"/>
              <w:bottom w:val="single" w:color="000000" w:sz="12" w:space="0"/>
              <w:right w:val="nil"/>
            </w:tcBorders>
            <w:noWrap/>
            <w:vAlign w:val="center"/>
          </w:tcPr>
          <w:p w14:paraId="282E1F14">
            <w:pPr>
              <w:jc w:val="center"/>
              <w:rPr>
                <w:rFonts w:ascii="Times New Roman" w:hAnsi="Times New Roman" w:eastAsia="宋体" w:cs="Times New Roman"/>
                <w:color w:val="000000"/>
                <w:sz w:val="18"/>
                <w:szCs w:val="18"/>
              </w:rPr>
            </w:pPr>
          </w:p>
        </w:tc>
        <w:tc>
          <w:tcPr>
            <w:tcW w:w="1954" w:type="pct"/>
            <w:tcBorders>
              <w:top w:val="nil"/>
              <w:left w:val="nil"/>
              <w:bottom w:val="single" w:color="000000" w:sz="12" w:space="0"/>
              <w:right w:val="nil"/>
            </w:tcBorders>
            <w:noWrap/>
            <w:vAlign w:val="center"/>
          </w:tcPr>
          <w:p w14:paraId="0C6B13A4">
            <w:pPr>
              <w:widowControl/>
              <w:jc w:val="center"/>
              <w:textAlignment w:val="top"/>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Second-line treatment</w:t>
            </w:r>
          </w:p>
        </w:tc>
        <w:tc>
          <w:tcPr>
            <w:tcW w:w="1077" w:type="pct"/>
            <w:tcBorders>
              <w:top w:val="nil"/>
              <w:left w:val="nil"/>
              <w:bottom w:val="single" w:color="000000" w:sz="12" w:space="0"/>
              <w:right w:val="nil"/>
            </w:tcBorders>
            <w:noWrap/>
            <w:vAlign w:val="center"/>
          </w:tcPr>
          <w:p w14:paraId="02DD38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96+ weeks</w:t>
            </w:r>
          </w:p>
        </w:tc>
        <w:tc>
          <w:tcPr>
            <w:tcW w:w="842" w:type="pct"/>
            <w:tcBorders>
              <w:top w:val="nil"/>
              <w:left w:val="nil"/>
              <w:bottom w:val="single" w:color="000000" w:sz="12" w:space="0"/>
              <w:right w:val="nil"/>
            </w:tcBorders>
            <w:vAlign w:val="center"/>
          </w:tcPr>
          <w:p w14:paraId="7BBDCF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10.56%</w:t>
            </w:r>
          </w:p>
        </w:tc>
      </w:tr>
    </w:tbl>
    <w:p w14:paraId="07F6240D">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8D1BDE0">
      <w:pPr>
        <w:pStyle w:val="4"/>
        <w:spacing w:before="0" w:after="0"/>
        <w:rPr>
          <w:rFonts w:ascii="Times New Roman" w:hAnsi="Times New Roman" w:cs="Times New Roman"/>
          <w:sz w:val="24"/>
          <w:szCs w:val="24"/>
        </w:rPr>
      </w:pPr>
      <w:r>
        <w:rPr>
          <w:rFonts w:ascii="Times New Roman" w:hAnsi="Times New Roman" w:cs="Times New Roman"/>
          <w:sz w:val="24"/>
          <w:szCs w:val="24"/>
        </w:rPr>
        <w:t>Transmission-related parameters</w:t>
      </w:r>
    </w:p>
    <w:p w14:paraId="716DE1DC">
      <w:pPr>
        <w:pStyle w:val="7"/>
        <w:spacing w:line="480" w:lineRule="auto"/>
        <w:ind w:firstLine="480" w:firstLineChars="200"/>
        <w:rPr>
          <w:rFonts w:ascii="Times New Roman" w:hAnsi="Times New Roman" w:cs="Times New Roman"/>
          <w:sz w:val="24"/>
          <w:szCs w:val="24"/>
        </w:rPr>
      </w:pPr>
      <w:bookmarkStart w:id="25" w:name="_Toc183682232"/>
      <w:r>
        <w:rPr>
          <w:rFonts w:ascii="Times New Roman" w:hAnsi="Times New Roman" w:cs="Times New Roman"/>
          <w:sz w:val="24"/>
          <w:szCs w:val="24"/>
        </w:rPr>
        <w:t>Behavioral parameters related to HIV transmission were specific to the MSM population and homosexual transmission. These included the reduction in transmission reduction in viral suppressed populations, condom usage rate, average number of homosexual sexual encounters per year, and the average transmission probability per encounter during homosexual sex</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NE.Ref.{3FE46E9A-D9DB-402C-837D-250C5A1C1A20}</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xml:space="preserve">Appendix Table </w:t>
      </w:r>
      <w:r>
        <w:rPr>
          <w:rFonts w:hint="eastAsia" w:ascii="Times New Roman" w:hAnsi="Times New Roman" w:cs="Times New Roman"/>
          <w:b/>
          <w:bCs/>
          <w:sz w:val="24"/>
          <w:szCs w:val="24"/>
        </w:rPr>
        <w:t>7</w:t>
      </w:r>
      <w:r>
        <w:rPr>
          <w:rFonts w:ascii="Times New Roman" w:hAnsi="Times New Roman" w:cs="Times New Roman"/>
          <w:sz w:val="24"/>
          <w:szCs w:val="24"/>
        </w:rPr>
        <w:t>).</w:t>
      </w:r>
    </w:p>
    <w:p w14:paraId="1F7EAA90">
      <w:pPr>
        <w:pStyle w:val="7"/>
        <w:spacing w:line="480" w:lineRule="auto"/>
        <w:jc w:val="center"/>
        <w:rPr>
          <w:rFonts w:ascii="Times New Roman" w:hAnsi="Times New Roman" w:cs="Times New Roman"/>
          <w:b/>
          <w:bCs/>
          <w:sz w:val="24"/>
          <w:szCs w:val="24"/>
        </w:rPr>
      </w:pPr>
      <w:bookmarkStart w:id="26" w:name="_Toc216103917"/>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7</w:t>
      </w:r>
      <w:r>
        <w:rPr>
          <w:rFonts w:ascii="Times New Roman" w:hAnsi="Times New Roman" w:cs="Times New Roman"/>
          <w:b/>
          <w:bCs/>
          <w:sz w:val="24"/>
          <w:szCs w:val="24"/>
        </w:rPr>
        <w:fldChar w:fldCharType="end"/>
      </w:r>
      <w:r>
        <w:rPr>
          <w:rFonts w:ascii="Times New Roman" w:hAnsi="Times New Roman" w:cs="Times New Roman"/>
          <w:b/>
          <w:bCs/>
          <w:sz w:val="24"/>
          <w:szCs w:val="24"/>
        </w:rPr>
        <w:t>. Transmission-Related Behavioral Parameters</w:t>
      </w:r>
      <w:bookmarkEnd w:id="25"/>
      <w:bookmarkEnd w:id="26"/>
    </w:p>
    <w:tbl>
      <w:tblPr>
        <w:tblStyle w:val="11"/>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28"/>
        <w:gridCol w:w="1994"/>
      </w:tblGrid>
      <w:tr w14:paraId="460C6C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3830" w:type="pct"/>
            <w:tcBorders>
              <w:bottom w:val="single" w:color="auto" w:sz="4" w:space="0"/>
            </w:tcBorders>
            <w:shd w:val="clear" w:color="000000" w:fill="FFFFFF" w:themeFill="background1"/>
            <w:vAlign w:val="center"/>
          </w:tcPr>
          <w:p w14:paraId="596210AE">
            <w:pPr>
              <w:pStyle w:val="15"/>
              <w:spacing w:line="480" w:lineRule="auto"/>
              <w:rPr>
                <w:rFonts w:ascii="Times New Roman" w:hAnsi="Times New Roman" w:cs="Times New Roman"/>
                <w:b/>
                <w:bCs/>
                <w:kern w:val="0"/>
              </w:rPr>
            </w:pPr>
            <w:r>
              <w:rPr>
                <w:rFonts w:ascii="Times New Roman" w:hAnsi="Times New Roman" w:cs="Times New Roman"/>
                <w:b/>
                <w:bCs/>
                <w:kern w:val="0"/>
              </w:rPr>
              <w:t>Transmission-related behavioral parameters</w:t>
            </w:r>
          </w:p>
        </w:tc>
        <w:tc>
          <w:tcPr>
            <w:tcW w:w="1170" w:type="pct"/>
            <w:tcBorders>
              <w:bottom w:val="single" w:color="auto" w:sz="4" w:space="0"/>
            </w:tcBorders>
            <w:shd w:val="clear" w:color="000000" w:fill="FFFFFF" w:themeFill="background1"/>
            <w:vAlign w:val="center"/>
          </w:tcPr>
          <w:p w14:paraId="2226D029">
            <w:pPr>
              <w:pStyle w:val="15"/>
              <w:spacing w:line="480" w:lineRule="auto"/>
              <w:rPr>
                <w:rFonts w:ascii="Times New Roman" w:hAnsi="Times New Roman" w:cs="Times New Roman"/>
                <w:b/>
                <w:bCs/>
                <w:kern w:val="0"/>
              </w:rPr>
            </w:pPr>
            <w:r>
              <w:rPr>
                <w:rFonts w:ascii="Times New Roman" w:hAnsi="Times New Roman" w:cs="Times New Roman"/>
                <w:b/>
                <w:bCs/>
                <w:kern w:val="0"/>
              </w:rPr>
              <w:t>Value</w:t>
            </w:r>
          </w:p>
        </w:tc>
      </w:tr>
      <w:tr w14:paraId="125B68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3830" w:type="pct"/>
            <w:tcBorders>
              <w:top w:val="single" w:color="auto" w:sz="4" w:space="0"/>
              <w:tl2br w:val="nil"/>
              <w:tr2bl w:val="nil"/>
            </w:tcBorders>
            <w:shd w:val="clear" w:color="000000" w:fill="FFFFFF"/>
            <w:vAlign w:val="center"/>
          </w:tcPr>
          <w:p w14:paraId="65A80F33">
            <w:pPr>
              <w:pStyle w:val="15"/>
              <w:spacing w:line="480" w:lineRule="auto"/>
              <w:rPr>
                <w:rFonts w:ascii="Times New Roman" w:hAnsi="Times New Roman" w:cs="Times New Roman"/>
                <w:kern w:val="0"/>
              </w:rPr>
            </w:pPr>
            <w:r>
              <w:rPr>
                <w:rFonts w:hint="eastAsia" w:ascii="Times New Roman" w:hAnsi="Times New Roman" w:cs="Times New Roman"/>
                <w:kern w:val="0"/>
              </w:rPr>
              <w:t>C</w:t>
            </w:r>
            <w:r>
              <w:rPr>
                <w:rFonts w:ascii="Times New Roman" w:hAnsi="Times New Roman" w:cs="Times New Roman"/>
                <w:kern w:val="0"/>
              </w:rPr>
              <w:t>ondom usage rate</w:t>
            </w:r>
          </w:p>
        </w:tc>
        <w:tc>
          <w:tcPr>
            <w:tcW w:w="1170" w:type="pct"/>
            <w:tcBorders>
              <w:top w:val="single" w:color="auto" w:sz="4" w:space="0"/>
              <w:tl2br w:val="nil"/>
              <w:tr2bl w:val="nil"/>
            </w:tcBorders>
            <w:shd w:val="clear" w:color="000000" w:fill="FFFFFF"/>
            <w:vAlign w:val="center"/>
          </w:tcPr>
          <w:p w14:paraId="7B5BF88E">
            <w:pPr>
              <w:pStyle w:val="15"/>
              <w:spacing w:line="480" w:lineRule="auto"/>
              <w:rPr>
                <w:rFonts w:ascii="Times New Roman" w:hAnsi="Times New Roman" w:cs="Times New Roman"/>
                <w:kern w:val="0"/>
              </w:rPr>
            </w:pPr>
            <w:bookmarkStart w:id="27" w:name="RANGE!D5"/>
            <w:r>
              <w:rPr>
                <w:rFonts w:ascii="Times New Roman" w:hAnsi="Times New Roman" w:cs="Times New Roman"/>
                <w:kern w:val="0"/>
              </w:rPr>
              <w:t>0.5628</w:t>
            </w:r>
            <w:bookmarkEnd w:id="27"/>
            <w:r>
              <w:rPr>
                <w:rFonts w:ascii="Times New Roman" w:hAnsi="Times New Roman" w:cs="Times New Roman"/>
                <w:kern w:val="0"/>
              </w:rPr>
              <w:fldChar w:fldCharType="begin"/>
            </w:r>
            <w:r>
              <w:rPr>
                <w:rFonts w:ascii="Times New Roman" w:hAnsi="Times New Roman" w:cs="Times New Roman"/>
                <w:kern w:val="0"/>
              </w:rPr>
              <w:instrText xml:space="preserve"> ADDIN NE.Ref.{4FE71E08-0D5D-491A-AABB-9482E3F61BB1}</w:instrText>
            </w:r>
            <w:r>
              <w:rPr>
                <w:rFonts w:ascii="Times New Roman" w:hAnsi="Times New Roman" w:cs="Times New Roman"/>
                <w:kern w:val="0"/>
              </w:rPr>
              <w:fldChar w:fldCharType="separate"/>
            </w:r>
            <w:r>
              <w:rPr>
                <w:rFonts w:ascii="Times New Roman" w:hAnsi="Times New Roman" w:cs="Times New Roman"/>
                <w:color w:val="080000"/>
                <w:szCs w:val="24"/>
              </w:rPr>
              <w:t>[15]</w:t>
            </w:r>
            <w:r>
              <w:rPr>
                <w:rFonts w:ascii="Times New Roman" w:hAnsi="Times New Roman" w:cs="Times New Roman"/>
                <w:kern w:val="0"/>
              </w:rPr>
              <w:fldChar w:fldCharType="end"/>
            </w:r>
          </w:p>
        </w:tc>
      </w:tr>
      <w:tr w14:paraId="581EC5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3830" w:type="pct"/>
            <w:tcBorders>
              <w:tl2br w:val="nil"/>
              <w:tr2bl w:val="nil"/>
            </w:tcBorders>
            <w:shd w:val="clear" w:color="000000" w:fill="FFFFFF"/>
            <w:vAlign w:val="center"/>
          </w:tcPr>
          <w:p w14:paraId="57C12B55">
            <w:pPr>
              <w:pStyle w:val="15"/>
              <w:spacing w:line="480" w:lineRule="auto"/>
              <w:rPr>
                <w:rFonts w:ascii="Times New Roman" w:hAnsi="Times New Roman" w:cs="Times New Roman"/>
                <w:kern w:val="0"/>
              </w:rPr>
            </w:pPr>
            <w:r>
              <w:rPr>
                <w:rFonts w:hint="eastAsia" w:ascii="Times New Roman" w:hAnsi="Times New Roman" w:cs="Times New Roman"/>
                <w:kern w:val="0"/>
              </w:rPr>
              <w:t>T</w:t>
            </w:r>
            <w:r>
              <w:rPr>
                <w:rFonts w:ascii="Times New Roman" w:hAnsi="Times New Roman" w:cs="Times New Roman"/>
                <w:kern w:val="0"/>
              </w:rPr>
              <w:t>he probability of screening and treatment</w:t>
            </w:r>
          </w:p>
        </w:tc>
        <w:tc>
          <w:tcPr>
            <w:tcW w:w="1170" w:type="pct"/>
            <w:tcBorders>
              <w:tl2br w:val="nil"/>
              <w:tr2bl w:val="nil"/>
            </w:tcBorders>
            <w:shd w:val="clear" w:color="000000" w:fill="FFFFFF"/>
            <w:vAlign w:val="center"/>
          </w:tcPr>
          <w:p w14:paraId="28A835A5">
            <w:pPr>
              <w:pStyle w:val="15"/>
              <w:spacing w:line="480" w:lineRule="auto"/>
              <w:rPr>
                <w:rFonts w:ascii="Times New Roman" w:hAnsi="Times New Roman" w:cs="Times New Roman"/>
                <w:kern w:val="0"/>
              </w:rPr>
            </w:pPr>
            <w:bookmarkStart w:id="28" w:name="RANGE!D6"/>
            <w:r>
              <w:rPr>
                <w:rFonts w:ascii="Times New Roman" w:hAnsi="Times New Roman" w:cs="Times New Roman"/>
                <w:kern w:val="0"/>
              </w:rPr>
              <w:t>0.749262</w:t>
            </w:r>
            <w:bookmarkEnd w:id="28"/>
            <w:r>
              <w:rPr>
                <w:rFonts w:ascii="Times New Roman" w:hAnsi="Times New Roman" w:eastAsia="Times New Roman" w:cs="Times New Roman"/>
                <w:color w:val="080000"/>
                <w:szCs w:val="24"/>
                <w:highlight w:val="cyan"/>
              </w:rPr>
              <w:fldChar w:fldCharType="begin"/>
            </w:r>
            <w:r>
              <w:rPr>
                <w:rFonts w:ascii="Times New Roman" w:hAnsi="Times New Roman" w:eastAsia="宋体" w:cs="Times New Roman"/>
                <w:color w:val="080000"/>
                <w:szCs w:val="24"/>
                <w:highlight w:val="cyan"/>
              </w:rPr>
              <w:instrText xml:space="preserve"> ADDIN NE.Ref.{BB2E5603-875E-4D84-A5B2-A8C004A1D847}</w:instrText>
            </w:r>
            <w:r>
              <w:rPr>
                <w:rFonts w:ascii="Times New Roman" w:hAnsi="Times New Roman" w:eastAsia="Times New Roman" w:cs="Times New Roman"/>
                <w:color w:val="080000"/>
                <w:szCs w:val="24"/>
                <w:highlight w:val="cyan"/>
              </w:rPr>
              <w:fldChar w:fldCharType="separate"/>
            </w:r>
            <w:r>
              <w:rPr>
                <w:rFonts w:ascii="Times New Roman" w:hAnsi="Times New Roman" w:cs="Times New Roman"/>
                <w:color w:val="080000"/>
                <w:szCs w:val="24"/>
              </w:rPr>
              <w:t>[15]</w:t>
            </w:r>
            <w:r>
              <w:rPr>
                <w:rFonts w:ascii="Times New Roman" w:hAnsi="Times New Roman" w:eastAsia="Times New Roman" w:cs="Times New Roman"/>
                <w:color w:val="080000"/>
                <w:szCs w:val="24"/>
                <w:highlight w:val="cyan"/>
              </w:rPr>
              <w:fldChar w:fldCharType="end"/>
            </w:r>
          </w:p>
        </w:tc>
      </w:tr>
      <w:tr w14:paraId="4BA45A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830" w:type="pct"/>
            <w:tcBorders>
              <w:tl2br w:val="nil"/>
              <w:tr2bl w:val="nil"/>
            </w:tcBorders>
            <w:shd w:val="clear" w:color="000000" w:fill="FFFFFF"/>
            <w:vAlign w:val="center"/>
          </w:tcPr>
          <w:p w14:paraId="2F912874">
            <w:pPr>
              <w:pStyle w:val="15"/>
              <w:spacing w:line="480" w:lineRule="auto"/>
              <w:rPr>
                <w:rFonts w:ascii="Times New Roman" w:hAnsi="Times New Roman" w:cs="Times New Roman"/>
                <w:kern w:val="0"/>
              </w:rPr>
            </w:pPr>
            <w:r>
              <w:rPr>
                <w:rFonts w:hint="eastAsia" w:ascii="Times New Roman" w:hAnsi="Times New Roman" w:cs="Times New Roman"/>
                <w:kern w:val="0"/>
              </w:rPr>
              <w:t>A</w:t>
            </w:r>
            <w:r>
              <w:rPr>
                <w:rFonts w:ascii="Times New Roman" w:hAnsi="Times New Roman" w:cs="Times New Roman"/>
                <w:kern w:val="0"/>
              </w:rPr>
              <w:t>verage number of homosexual sexual encounters per year</w:t>
            </w:r>
          </w:p>
        </w:tc>
        <w:tc>
          <w:tcPr>
            <w:tcW w:w="1170" w:type="pct"/>
            <w:tcBorders>
              <w:tl2br w:val="nil"/>
              <w:tr2bl w:val="nil"/>
            </w:tcBorders>
            <w:shd w:val="clear" w:color="000000" w:fill="FFFFFF"/>
            <w:vAlign w:val="center"/>
          </w:tcPr>
          <w:p w14:paraId="6EC9B7FD">
            <w:pPr>
              <w:pStyle w:val="15"/>
              <w:spacing w:line="480" w:lineRule="auto"/>
              <w:rPr>
                <w:rFonts w:ascii="Times New Roman" w:hAnsi="Times New Roman" w:cs="Times New Roman"/>
                <w:kern w:val="0"/>
              </w:rPr>
            </w:pPr>
            <w:bookmarkStart w:id="29" w:name="RANGE!D7"/>
            <w:r>
              <w:rPr>
                <w:rFonts w:ascii="Times New Roman" w:hAnsi="Times New Roman" w:cs="Times New Roman"/>
                <w:kern w:val="0"/>
              </w:rPr>
              <w:t>52</w:t>
            </w:r>
            <w:bookmarkEnd w:id="29"/>
            <w:r>
              <w:rPr>
                <w:rFonts w:ascii="Times New Roman" w:hAnsi="Times New Roman" w:eastAsia="Times New Roman" w:cs="Times New Roman"/>
                <w:color w:val="080000"/>
                <w:szCs w:val="24"/>
                <w:highlight w:val="cyan"/>
              </w:rPr>
              <w:fldChar w:fldCharType="begin"/>
            </w:r>
            <w:r>
              <w:rPr>
                <w:rFonts w:ascii="Times New Roman" w:hAnsi="Times New Roman" w:eastAsia="宋体" w:cs="Times New Roman"/>
                <w:color w:val="080000"/>
                <w:szCs w:val="24"/>
                <w:highlight w:val="cyan"/>
              </w:rPr>
              <w:instrText xml:space="preserve"> ADDIN NE.Ref.{A6F3888C-3563-4E29-A480-82EDE4B0E88F}</w:instrText>
            </w:r>
            <w:r>
              <w:rPr>
                <w:rFonts w:ascii="Times New Roman" w:hAnsi="Times New Roman" w:eastAsia="Times New Roman" w:cs="Times New Roman"/>
                <w:color w:val="080000"/>
                <w:szCs w:val="24"/>
                <w:highlight w:val="cyan"/>
              </w:rPr>
              <w:fldChar w:fldCharType="separate"/>
            </w:r>
            <w:r>
              <w:rPr>
                <w:rFonts w:ascii="Times New Roman" w:hAnsi="Times New Roman" w:cs="Times New Roman"/>
                <w:color w:val="080000"/>
                <w:szCs w:val="24"/>
              </w:rPr>
              <w:t>[15]</w:t>
            </w:r>
            <w:r>
              <w:rPr>
                <w:rFonts w:ascii="Times New Roman" w:hAnsi="Times New Roman" w:eastAsia="Times New Roman" w:cs="Times New Roman"/>
                <w:color w:val="080000"/>
                <w:szCs w:val="24"/>
                <w:highlight w:val="cyan"/>
              </w:rPr>
              <w:fldChar w:fldCharType="end"/>
            </w:r>
          </w:p>
        </w:tc>
      </w:tr>
      <w:tr w14:paraId="7DCD84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830" w:type="pct"/>
            <w:tcBorders>
              <w:tl2br w:val="nil"/>
              <w:tr2bl w:val="nil"/>
            </w:tcBorders>
            <w:shd w:val="clear" w:color="000000" w:fill="FFFFFF"/>
            <w:vAlign w:val="center"/>
          </w:tcPr>
          <w:p w14:paraId="7B328D97">
            <w:pPr>
              <w:pStyle w:val="15"/>
              <w:spacing w:line="480" w:lineRule="auto"/>
              <w:rPr>
                <w:rFonts w:ascii="Times New Roman" w:hAnsi="Times New Roman" w:cs="Times New Roman"/>
                <w:kern w:val="0"/>
              </w:rPr>
            </w:pPr>
            <w:r>
              <w:rPr>
                <w:rFonts w:hint="eastAsia" w:ascii="Times New Roman" w:hAnsi="Times New Roman" w:cs="Times New Roman"/>
                <w:kern w:val="0"/>
              </w:rPr>
              <w:t>T</w:t>
            </w:r>
            <w:r>
              <w:rPr>
                <w:rFonts w:ascii="Times New Roman" w:hAnsi="Times New Roman" w:cs="Times New Roman"/>
                <w:kern w:val="0"/>
              </w:rPr>
              <w:t>he average transmission probability per encounter during homosexual sex</w:t>
            </w:r>
          </w:p>
        </w:tc>
        <w:tc>
          <w:tcPr>
            <w:tcW w:w="1170" w:type="pct"/>
            <w:tcBorders>
              <w:tl2br w:val="nil"/>
              <w:tr2bl w:val="nil"/>
            </w:tcBorders>
            <w:shd w:val="clear" w:color="000000" w:fill="FFFFFF"/>
            <w:vAlign w:val="center"/>
          </w:tcPr>
          <w:p w14:paraId="5D6EC6CD">
            <w:pPr>
              <w:pStyle w:val="15"/>
              <w:spacing w:line="480" w:lineRule="auto"/>
              <w:rPr>
                <w:rFonts w:ascii="Times New Roman" w:hAnsi="Times New Roman" w:cs="Times New Roman"/>
                <w:kern w:val="0"/>
              </w:rPr>
            </w:pPr>
            <w:bookmarkStart w:id="30" w:name="RANGE!D8"/>
            <w:r>
              <w:rPr>
                <w:rFonts w:ascii="Times New Roman" w:hAnsi="Times New Roman" w:cs="Times New Roman"/>
                <w:kern w:val="0"/>
              </w:rPr>
              <w:t>0.015</w:t>
            </w:r>
            <w:bookmarkEnd w:id="30"/>
            <w:r>
              <w:rPr>
                <w:rFonts w:ascii="Times New Roman" w:hAnsi="Times New Roman" w:cs="Times New Roman"/>
                <w:kern w:val="0"/>
              </w:rPr>
              <w:fldChar w:fldCharType="begin"/>
            </w:r>
            <w:r>
              <w:rPr>
                <w:rFonts w:ascii="Times New Roman" w:hAnsi="Times New Roman" w:cs="Times New Roman"/>
                <w:kern w:val="0"/>
              </w:rPr>
              <w:instrText xml:space="preserve"> ADDIN NE.Ref.{7DF89328-D694-44BF-B8B5-7F4C7749044D}</w:instrText>
            </w:r>
            <w:r>
              <w:rPr>
                <w:rFonts w:ascii="Times New Roman" w:hAnsi="Times New Roman" w:cs="Times New Roman"/>
                <w:kern w:val="0"/>
              </w:rPr>
              <w:fldChar w:fldCharType="separate"/>
            </w:r>
            <w:r>
              <w:rPr>
                <w:rFonts w:ascii="Times New Roman" w:hAnsi="Times New Roman" w:cs="Times New Roman"/>
                <w:color w:val="080000"/>
                <w:szCs w:val="24"/>
              </w:rPr>
              <w:t>[15]</w:t>
            </w:r>
            <w:r>
              <w:rPr>
                <w:rFonts w:ascii="Times New Roman" w:hAnsi="Times New Roman" w:cs="Times New Roman"/>
                <w:kern w:val="0"/>
              </w:rPr>
              <w:fldChar w:fldCharType="end"/>
            </w:r>
          </w:p>
        </w:tc>
      </w:tr>
      <w:tr w14:paraId="121688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trPr>
        <w:tc>
          <w:tcPr>
            <w:tcW w:w="3830" w:type="pct"/>
            <w:tcBorders>
              <w:tl2br w:val="nil"/>
              <w:tr2bl w:val="nil"/>
            </w:tcBorders>
            <w:shd w:val="clear" w:color="000000" w:fill="FFFFFF"/>
            <w:vAlign w:val="center"/>
          </w:tcPr>
          <w:p w14:paraId="5061477E">
            <w:pPr>
              <w:pStyle w:val="15"/>
              <w:spacing w:line="480" w:lineRule="auto"/>
              <w:rPr>
                <w:rFonts w:ascii="Times New Roman" w:hAnsi="Times New Roman" w:cs="Times New Roman"/>
                <w:kern w:val="0"/>
              </w:rPr>
            </w:pPr>
            <w:r>
              <w:rPr>
                <w:rFonts w:hint="eastAsia" w:ascii="Times New Roman" w:hAnsi="Times New Roman" w:cs="Times New Roman"/>
                <w:kern w:val="0"/>
              </w:rPr>
              <w:t>T</w:t>
            </w:r>
            <w:r>
              <w:rPr>
                <w:rFonts w:ascii="Times New Roman" w:hAnsi="Times New Roman" w:cs="Times New Roman"/>
                <w:kern w:val="0"/>
              </w:rPr>
              <w:t>he rate of transmission reduction in virally suppressed populations</w:t>
            </w:r>
          </w:p>
        </w:tc>
        <w:tc>
          <w:tcPr>
            <w:tcW w:w="1170" w:type="pct"/>
            <w:tcBorders>
              <w:tl2br w:val="nil"/>
              <w:tr2bl w:val="nil"/>
            </w:tcBorders>
            <w:shd w:val="clear" w:color="000000" w:fill="FFFFFF"/>
            <w:noWrap/>
            <w:vAlign w:val="center"/>
          </w:tcPr>
          <w:p w14:paraId="3F0085B7">
            <w:pPr>
              <w:pStyle w:val="15"/>
              <w:spacing w:line="480" w:lineRule="auto"/>
              <w:rPr>
                <w:rFonts w:ascii="Times New Roman" w:hAnsi="Times New Roman" w:cs="Times New Roman"/>
                <w:kern w:val="0"/>
              </w:rPr>
            </w:pPr>
            <w:bookmarkStart w:id="31" w:name="RANGE!D9"/>
            <w:r>
              <w:rPr>
                <w:rFonts w:ascii="Times New Roman" w:hAnsi="Times New Roman" w:cs="Times New Roman"/>
                <w:kern w:val="0"/>
              </w:rPr>
              <w:t>100.00%</w:t>
            </w:r>
            <w:bookmarkEnd w:id="31"/>
            <w:r>
              <w:rPr>
                <w:rFonts w:ascii="Times New Roman" w:hAnsi="Times New Roman" w:cs="Times New Roman"/>
                <w:kern w:val="0"/>
              </w:rPr>
              <w:fldChar w:fldCharType="begin"/>
            </w:r>
            <w:r>
              <w:rPr>
                <w:rFonts w:ascii="Times New Roman" w:hAnsi="Times New Roman" w:cs="Times New Roman"/>
                <w:kern w:val="0"/>
              </w:rPr>
              <w:instrText xml:space="preserve"> ADDIN NE.Ref.{4D55DB72-4325-49A1-BCFC-956DB2FB12AA}</w:instrText>
            </w:r>
            <w:r>
              <w:rPr>
                <w:rFonts w:ascii="Times New Roman" w:hAnsi="Times New Roman" w:cs="Times New Roman"/>
                <w:kern w:val="0"/>
              </w:rPr>
              <w:fldChar w:fldCharType="separate"/>
            </w:r>
            <w:r>
              <w:rPr>
                <w:rFonts w:ascii="Times New Roman" w:hAnsi="Times New Roman" w:cs="Times New Roman"/>
                <w:color w:val="080000"/>
                <w:szCs w:val="24"/>
              </w:rPr>
              <w:t>[15]</w:t>
            </w:r>
            <w:r>
              <w:rPr>
                <w:rFonts w:ascii="Times New Roman" w:hAnsi="Times New Roman" w:cs="Times New Roman"/>
                <w:kern w:val="0"/>
              </w:rPr>
              <w:fldChar w:fldCharType="end"/>
            </w:r>
          </w:p>
        </w:tc>
      </w:tr>
    </w:tbl>
    <w:p w14:paraId="05763076">
      <w:pPr>
        <w:spacing w:line="480" w:lineRule="auto"/>
        <w:rPr>
          <w:rFonts w:ascii="Times New Roman" w:hAnsi="Times New Roman" w:cs="Times New Roman"/>
        </w:rPr>
      </w:pPr>
      <w:r>
        <w:rPr>
          <w:rFonts w:ascii="Times New Roman" w:hAnsi="Times New Roman" w:cs="Times New Roman"/>
        </w:rPr>
        <w:br w:type="page"/>
      </w:r>
    </w:p>
    <w:p w14:paraId="222DC23C">
      <w:pPr>
        <w:pStyle w:val="4"/>
        <w:spacing w:before="0" w:after="0"/>
        <w:rPr>
          <w:rFonts w:ascii="Times New Roman" w:hAnsi="Times New Roman" w:cs="Times New Roman"/>
          <w:sz w:val="24"/>
          <w:szCs w:val="24"/>
        </w:rPr>
      </w:pPr>
      <w:r>
        <w:rPr>
          <w:rFonts w:ascii="Times New Roman" w:hAnsi="Times New Roman" w:cs="Times New Roman"/>
          <w:sz w:val="24"/>
          <w:szCs w:val="24"/>
        </w:rPr>
        <w:t>Costs and Utilities</w:t>
      </w:r>
    </w:p>
    <w:p w14:paraId="50814772">
      <w:pPr>
        <w:pStyle w:val="7"/>
        <w:spacing w:line="480" w:lineRule="auto"/>
        <w:ind w:firstLine="480" w:firstLineChars="200"/>
        <w:rPr>
          <w:rFonts w:ascii="Times New Roman" w:hAnsi="Times New Roman" w:cs="Times New Roman"/>
          <w:sz w:val="24"/>
          <w:szCs w:val="24"/>
        </w:rPr>
      </w:pPr>
      <w:bookmarkStart w:id="32" w:name="_Toc183682233"/>
      <w:r>
        <w:rPr>
          <w:rFonts w:ascii="Times New Roman" w:hAnsi="Times New Roman" w:cs="Times New Roman"/>
          <w:sz w:val="24"/>
          <w:szCs w:val="24"/>
        </w:rPr>
        <w:t>This economic evaluation was conducted from a healthcare system perspective. The model incorporated various cost components, including drug acquisition costs, monitoring and testing expenses, costs associated with managing AEs, and costs related to ADEs across different health states. Drug prices were sourced from Menet, with the BIC/FTC/TAF and EFV+TDF+3TC treatment regimens, each involving a single-tablet combination compared to a three-drug regimen. Testing costs, including HIV and CD4 count tests, were derived from the Jiangsu Province Medical Service Price List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NE.Ref.{B68BF72C-DE91-44EA-A6B0-7C47E68352B5}</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xml:space="preserve">Appendix Table </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and </w:t>
      </w:r>
      <w:r>
        <w:rPr>
          <w:rFonts w:hint="eastAsia" w:ascii="Times New Roman" w:hAnsi="Times New Roman" w:cs="Times New Roman"/>
          <w:b/>
          <w:bCs/>
          <w:sz w:val="24"/>
          <w:szCs w:val="24"/>
        </w:rPr>
        <w:t>9</w:t>
      </w:r>
      <w:r>
        <w:rPr>
          <w:rFonts w:ascii="Times New Roman" w:hAnsi="Times New Roman" w:cs="Times New Roman"/>
          <w:sz w:val="24"/>
          <w:szCs w:val="24"/>
        </w:rPr>
        <w:t>).</w:t>
      </w:r>
    </w:p>
    <w:p w14:paraId="0A9EBD7B">
      <w:pPr>
        <w:pStyle w:val="7"/>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occurrence of AEs led to changes in additional healthcare costs and reductions in health utility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NE.Ref.{54647317-A951-47D9-A3C0-8E6EB035C910}</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The weighted average annual AE-related costs were $27.37 and $27.47 for the BIC group and the EFV group, respectively. ADEs encompassed a broad spectrum of conditions. According to data from the Centers for Disease Control and Prevention, there were 20 types of ADEs, including various inflammations, infections, tumors, and cancers. The occurrence of ADEs necessitated treatment, leading to additional costs. The proportion and cost of each type of ADE are shown in </w:t>
      </w:r>
      <w:r>
        <w:rPr>
          <w:rFonts w:ascii="Times New Roman" w:hAnsi="Times New Roman" w:cs="Times New Roman"/>
          <w:b/>
          <w:bCs/>
          <w:sz w:val="24"/>
          <w:szCs w:val="24"/>
        </w:rPr>
        <w:t xml:space="preserve">Appendix Table </w:t>
      </w:r>
      <w:r>
        <w:rPr>
          <w:rFonts w:hint="eastAsia" w:ascii="Times New Roman" w:hAnsi="Times New Roman" w:cs="Times New Roman"/>
          <w:b/>
          <w:bCs/>
          <w:sz w:val="24"/>
          <w:szCs w:val="24"/>
        </w:rPr>
        <w:t>11</w:t>
      </w:r>
      <w:r>
        <w:rPr>
          <w:rFonts w:ascii="Times New Roman" w:hAnsi="Times New Roman" w:cs="Times New Roman"/>
          <w:sz w:val="24"/>
          <w:szCs w:val="24"/>
        </w:rPr>
        <w:t>, with a weighted average cost per ADE episode of $48,993.02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NE.Ref.{7EC504F2-8448-4C5F-A463-A6B638DCB663}</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[16, 17]</w:t>
      </w:r>
      <w:r>
        <w:rPr>
          <w:rFonts w:ascii="Times New Roman" w:hAnsi="Times New Roman" w:cs="Times New Roman"/>
          <w:sz w:val="24"/>
          <w:szCs w:val="24"/>
        </w:rPr>
        <w:fldChar w:fldCharType="end"/>
      </w:r>
      <w:r>
        <w:rPr>
          <w:rFonts w:ascii="Times New Roman" w:hAnsi="Times New Roman" w:cs="Times New Roman"/>
          <w:sz w:val="24"/>
          <w:szCs w:val="24"/>
        </w:rPr>
        <w:t>.</w:t>
      </w:r>
    </w:p>
    <w:p w14:paraId="06D7BBBA">
      <w:pPr>
        <w:pStyle w:val="7"/>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Health utility values were assigned according to CD4 count ranges, with higher utility values associated with higher CD4 count strata, reflecting better health-related quality of life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NE.Ref.{A09FE736-3A76-4CB3-A8DE-707FBC59274B}</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Appendix Table 1</w:t>
      </w:r>
      <w:r>
        <w:rPr>
          <w:rFonts w:hint="eastAsia" w:ascii="Times New Roman" w:hAnsi="Times New Roman" w:cs="Times New Roman"/>
          <w:b/>
          <w:bCs/>
          <w:sz w:val="24"/>
          <w:szCs w:val="24"/>
        </w:rPr>
        <w:t>0</w:t>
      </w:r>
      <w:r>
        <w:rPr>
          <w:rFonts w:ascii="Times New Roman" w:hAnsi="Times New Roman" w:cs="Times New Roman"/>
          <w:sz w:val="24"/>
          <w:szCs w:val="24"/>
        </w:rPr>
        <w:t>). Both AEs and ADEs led to reductions in utility. The weighted average utility decrement per ADE was 0.2364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NE.Ref.{8E0C57E6-773D-435A-972A-9043B0FEBC84}</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[16, 17, 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Appendix Table 1</w:t>
      </w:r>
      <w:r>
        <w:rPr>
          <w:rFonts w:hint="eastAsia" w:ascii="Times New Roman" w:hAnsi="Times New Roman" w:cs="Times New Roman"/>
          <w:b/>
          <w:bCs/>
          <w:sz w:val="24"/>
          <w:szCs w:val="24"/>
        </w:rPr>
        <w:t>1</w:t>
      </w:r>
      <w:r>
        <w:rPr>
          <w:rFonts w:ascii="Times New Roman" w:hAnsi="Times New Roman" w:cs="Times New Roman"/>
          <w:sz w:val="24"/>
          <w:szCs w:val="24"/>
        </w:rPr>
        <w:t>). For AEs, the utility reductions were 0.0085 and 0.0061 for the two treatment regimens, respectively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NE.Ref.{FEF19E2D-C7FE-4E5A-AEC8-CDEDCED0D70E}</w:instrText>
      </w:r>
      <w:r>
        <w:rPr>
          <w:rFonts w:ascii="Times New Roman" w:hAnsi="Times New Roman" w:cs="Times New Roman"/>
          <w:sz w:val="24"/>
          <w:szCs w:val="24"/>
        </w:rPr>
        <w:fldChar w:fldCharType="separate"/>
      </w:r>
      <w:r>
        <w:rPr>
          <w:rFonts w:ascii="Times New Roman" w:hAnsi="Times New Roman" w:cs="Times New Roman"/>
          <w:color w:val="080000"/>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xml:space="preserve">Appendix Table </w:t>
      </w:r>
      <w:r>
        <w:rPr>
          <w:rFonts w:hint="eastAsia" w:ascii="Times New Roman" w:hAnsi="Times New Roman" w:cs="Times New Roman"/>
          <w:b/>
          <w:bCs/>
          <w:sz w:val="24"/>
          <w:szCs w:val="24"/>
        </w:rPr>
        <w:t>12</w:t>
      </w:r>
      <w:r>
        <w:rPr>
          <w:rFonts w:ascii="Times New Roman" w:hAnsi="Times New Roman" w:cs="Times New Roman"/>
          <w:sz w:val="24"/>
          <w:szCs w:val="24"/>
        </w:rPr>
        <w:t>).</w:t>
      </w:r>
    </w:p>
    <w:p w14:paraId="1D499036">
      <w:pPr>
        <w:spacing w:line="480"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In accordance with the 2021 China Pharmacoeconomic Guidelines, both costs and health outcomes were discounted at an annual rate of 3%</w:t>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ADDIN NE.Ref.{253EADA3-4FA9-4B37-9D10-659082E24D26}</w:instrText>
      </w:r>
      <w:r>
        <w:rPr>
          <w:rFonts w:ascii="Times New Roman" w:hAnsi="Times New Roman" w:eastAsia="黑体" w:cs="Times New Roman"/>
          <w:sz w:val="24"/>
          <w:szCs w:val="24"/>
        </w:rPr>
        <w:fldChar w:fldCharType="separate"/>
      </w:r>
      <w:r>
        <w:rPr>
          <w:rFonts w:ascii="Times New Roman" w:hAnsi="Times New Roman" w:cs="Times New Roman"/>
          <w:color w:val="080000"/>
          <w:sz w:val="24"/>
          <w:szCs w:val="24"/>
        </w:rPr>
        <w:t>[20]</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t>. All costs and utilities were adjusted to 2023 USD using the Consumer Price Index (CPI) and annual exchange rates reported by the World Bank. Specifically,Cost data originally reported in other currencies (Euros for AEs, 2014 USD for ADEs) or Chinese Renminbi (for drugs and tests) were converted to 2023 USD values</w:t>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ADDIN NE.Ref.{6B982B2F-EBC0-435F-93B8-1CAB39DB581E}</w:instrText>
      </w:r>
      <w:r>
        <w:rPr>
          <w:rFonts w:ascii="Times New Roman" w:hAnsi="Times New Roman" w:eastAsia="黑体" w:cs="Times New Roman"/>
          <w:sz w:val="24"/>
          <w:szCs w:val="24"/>
        </w:rPr>
        <w:fldChar w:fldCharType="separate"/>
      </w:r>
      <w:r>
        <w:rPr>
          <w:rFonts w:ascii="Times New Roman" w:hAnsi="Times New Roman" w:cs="Times New Roman"/>
          <w:color w:val="080000"/>
          <w:sz w:val="24"/>
          <w:szCs w:val="24"/>
        </w:rPr>
        <w:t>[19]</w:t>
      </w:r>
      <w:r>
        <w:rPr>
          <w:rFonts w:ascii="Times New Roman" w:hAnsi="Times New Roman" w:eastAsia="黑体"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xml:space="preserve">Appendix Table </w:t>
      </w:r>
      <w:r>
        <w:rPr>
          <w:rFonts w:hint="eastAsia" w:ascii="Times New Roman" w:hAnsi="Times New Roman" w:cs="Times New Roman"/>
          <w:b/>
          <w:bCs/>
          <w:sz w:val="24"/>
          <w:szCs w:val="24"/>
        </w:rPr>
        <w:t>13</w:t>
      </w:r>
      <w:r>
        <w:rPr>
          <w:rFonts w:ascii="Times New Roman" w:hAnsi="Times New Roman" w:cs="Times New Roman"/>
          <w:sz w:val="24"/>
          <w:szCs w:val="24"/>
        </w:rPr>
        <w:t>)</w:t>
      </w:r>
      <w:r>
        <w:rPr>
          <w:rFonts w:ascii="Times New Roman" w:hAnsi="Times New Roman" w:eastAsia="黑体" w:cs="Times New Roman"/>
          <w:sz w:val="24"/>
          <w:szCs w:val="24"/>
        </w:rPr>
        <w:t>.</w:t>
      </w:r>
    </w:p>
    <w:p w14:paraId="2A2E1F97">
      <w:pPr>
        <w:pStyle w:val="7"/>
        <w:spacing w:line="480" w:lineRule="auto"/>
        <w:jc w:val="center"/>
        <w:rPr>
          <w:rFonts w:ascii="Times New Roman" w:hAnsi="Times New Roman" w:cs="Times New Roman"/>
          <w:b/>
          <w:bCs/>
          <w:sz w:val="24"/>
          <w:szCs w:val="24"/>
        </w:rPr>
      </w:pPr>
      <w:bookmarkStart w:id="33" w:name="_Toc216103918"/>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8</w:t>
      </w:r>
      <w:r>
        <w:rPr>
          <w:rFonts w:ascii="Times New Roman" w:hAnsi="Times New Roman" w:cs="Times New Roman"/>
          <w:b/>
          <w:bCs/>
          <w:sz w:val="24"/>
          <w:szCs w:val="24"/>
        </w:rPr>
        <w:fldChar w:fldCharType="end"/>
      </w:r>
      <w:r>
        <w:rPr>
          <w:rFonts w:ascii="Times New Roman" w:hAnsi="Times New Roman" w:cs="Times New Roman"/>
          <w:b/>
          <w:bCs/>
          <w:sz w:val="24"/>
          <w:szCs w:val="24"/>
        </w:rPr>
        <w:t>. Prices and Annual Costs of ART Regimens</w:t>
      </w:r>
      <w:bookmarkEnd w:id="32"/>
      <w:bookmarkEnd w:id="33"/>
    </w:p>
    <w:tbl>
      <w:tblPr>
        <w:tblStyle w:val="17"/>
        <w:tblW w:w="4998"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87"/>
        <w:gridCol w:w="1424"/>
        <w:gridCol w:w="1424"/>
        <w:gridCol w:w="1204"/>
        <w:gridCol w:w="1490"/>
        <w:gridCol w:w="1490"/>
      </w:tblGrid>
      <w:tr w14:paraId="05C155C4">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tcBorders>
              <w:top w:val="single" w:color="auto" w:sz="12" w:space="0"/>
              <w:left w:val="nil"/>
              <w:bottom w:val="single" w:color="auto" w:sz="6" w:space="0"/>
              <w:right w:val="nil"/>
              <w:insideH w:val="single" w:sz="6" w:space="0"/>
              <w:insideV w:val="nil"/>
              <w:tl2br w:val="nil"/>
              <w:tr2bl w:val="nil"/>
            </w:tcBorders>
          </w:tcPr>
          <w:p w14:paraId="467EB1A2">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Name</w:t>
            </w:r>
          </w:p>
        </w:tc>
        <w:tc>
          <w:tcPr>
            <w:tcW w:w="835" w:type="pct"/>
            <w:tcBorders>
              <w:top w:val="single" w:color="auto" w:sz="12" w:space="0"/>
              <w:bottom w:val="single" w:color="auto" w:sz="6" w:space="0"/>
              <w:right w:val="nil"/>
              <w:insideH w:val="single" w:sz="6" w:space="0"/>
              <w:insideV w:val="nil"/>
              <w:tl2br w:val="nil"/>
              <w:tr2bl w:val="nil"/>
            </w:tcBorders>
          </w:tcPr>
          <w:p w14:paraId="05715C2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Price, $</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NE.Ref.{4057C2CD-73B2-4B89-B310-40D181A6CA59}</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[21]</w:t>
            </w:r>
            <w:r>
              <w:rPr>
                <w:rFonts w:ascii="Times New Roman" w:hAnsi="Times New Roman" w:eastAsia="宋体" w:cs="Times New Roman"/>
                <w:b/>
                <w:bCs/>
                <w:kern w:val="0"/>
              </w:rPr>
              <w:fldChar w:fldCharType="end"/>
            </w:r>
          </w:p>
        </w:tc>
        <w:tc>
          <w:tcPr>
            <w:tcW w:w="835" w:type="pct"/>
            <w:tcBorders>
              <w:top w:val="single" w:color="auto" w:sz="12" w:space="0"/>
              <w:bottom w:val="single" w:color="auto" w:sz="6" w:space="0"/>
              <w:right w:val="nil"/>
              <w:insideH w:val="single" w:sz="6" w:space="0"/>
              <w:insideV w:val="nil"/>
              <w:tl2br w:val="nil"/>
              <w:tr2bl w:val="nil"/>
            </w:tcBorders>
          </w:tcPr>
          <w:p w14:paraId="68E94F3C">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Conversion factor</w:t>
            </w:r>
          </w:p>
        </w:tc>
        <w:tc>
          <w:tcPr>
            <w:tcW w:w="706" w:type="pct"/>
            <w:tcBorders>
              <w:top w:val="single" w:color="auto" w:sz="12" w:space="0"/>
              <w:bottom w:val="single" w:color="auto" w:sz="6" w:space="0"/>
              <w:right w:val="nil"/>
              <w:insideH w:val="single" w:sz="6" w:space="0"/>
              <w:insideV w:val="nil"/>
              <w:tl2br w:val="nil"/>
              <w:tr2bl w:val="nil"/>
            </w:tcBorders>
          </w:tcPr>
          <w:p w14:paraId="59918F6E">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Unit price, $</w:t>
            </w:r>
          </w:p>
        </w:tc>
        <w:tc>
          <w:tcPr>
            <w:tcW w:w="874" w:type="pct"/>
            <w:tcBorders>
              <w:top w:val="single" w:color="auto" w:sz="12" w:space="0"/>
              <w:bottom w:val="single" w:color="auto" w:sz="6" w:space="0"/>
              <w:right w:val="nil"/>
              <w:insideH w:val="single" w:sz="6" w:space="0"/>
              <w:insideV w:val="nil"/>
              <w:tl2br w:val="nil"/>
              <w:tr2bl w:val="nil"/>
            </w:tcBorders>
          </w:tcPr>
          <w:p w14:paraId="4038589C">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Average daily dose, tablets</w:t>
            </w:r>
          </w:p>
        </w:tc>
        <w:tc>
          <w:tcPr>
            <w:tcW w:w="874" w:type="pct"/>
            <w:tcBorders>
              <w:top w:val="single" w:color="auto" w:sz="12" w:space="0"/>
              <w:bottom w:val="single" w:color="auto" w:sz="6" w:space="0"/>
              <w:right w:val="nil"/>
              <w:insideH w:val="single" w:sz="6" w:space="0"/>
              <w:insideV w:val="nil"/>
              <w:tl2br w:val="nil"/>
              <w:tr2bl w:val="nil"/>
            </w:tcBorders>
          </w:tcPr>
          <w:p w14:paraId="4CAC36DB">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Annual cost, $</w:t>
            </w:r>
          </w:p>
        </w:tc>
      </w:tr>
      <w:tr w14:paraId="628C2115">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noWrap/>
            <w:vAlign w:val="center"/>
          </w:tcPr>
          <w:p w14:paraId="6503EA63">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BIC/FTC/TAF</w:t>
            </w:r>
          </w:p>
        </w:tc>
        <w:tc>
          <w:tcPr>
            <w:tcW w:w="1424" w:type="dxa"/>
            <w:noWrap/>
            <w:vAlign w:val="center"/>
          </w:tcPr>
          <w:p w14:paraId="6243BBE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159.65</w:t>
            </w:r>
          </w:p>
        </w:tc>
        <w:tc>
          <w:tcPr>
            <w:tcW w:w="835" w:type="pct"/>
            <w:noWrap/>
            <w:vAlign w:val="center"/>
          </w:tcPr>
          <w:p w14:paraId="5B8D0C0C">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30</w:t>
            </w:r>
          </w:p>
        </w:tc>
        <w:tc>
          <w:tcPr>
            <w:tcW w:w="1204" w:type="dxa"/>
            <w:noWrap/>
            <w:vAlign w:val="center"/>
          </w:tcPr>
          <w:p w14:paraId="4D1414D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5.32</w:t>
            </w:r>
          </w:p>
        </w:tc>
        <w:tc>
          <w:tcPr>
            <w:tcW w:w="874" w:type="pct"/>
            <w:noWrap/>
            <w:vAlign w:val="center"/>
          </w:tcPr>
          <w:p w14:paraId="1670F00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w:t>
            </w:r>
          </w:p>
        </w:tc>
        <w:tc>
          <w:tcPr>
            <w:tcW w:w="1490" w:type="dxa"/>
            <w:noWrap/>
            <w:vAlign w:val="center"/>
          </w:tcPr>
          <w:p w14:paraId="05B3ECB2">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1,942.40</w:t>
            </w:r>
          </w:p>
        </w:tc>
      </w:tr>
      <w:tr w14:paraId="4A6E972D">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noWrap/>
            <w:vAlign w:val="center"/>
          </w:tcPr>
          <w:p w14:paraId="34DE1A3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EFV+3TC+TDF</w:t>
            </w:r>
          </w:p>
        </w:tc>
        <w:tc>
          <w:tcPr>
            <w:tcW w:w="1424" w:type="dxa"/>
            <w:vAlign w:val="center"/>
          </w:tcPr>
          <w:p w14:paraId="47A085EC">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124.92</w:t>
            </w:r>
          </w:p>
        </w:tc>
        <w:tc>
          <w:tcPr>
            <w:tcW w:w="835" w:type="pct"/>
            <w:vAlign w:val="center"/>
          </w:tcPr>
          <w:p w14:paraId="743E95AF">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30</w:t>
            </w:r>
          </w:p>
        </w:tc>
        <w:tc>
          <w:tcPr>
            <w:tcW w:w="1204" w:type="dxa"/>
            <w:vAlign w:val="center"/>
          </w:tcPr>
          <w:p w14:paraId="20014A72">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0</w:t>
            </w:r>
          </w:p>
        </w:tc>
        <w:tc>
          <w:tcPr>
            <w:tcW w:w="874" w:type="pct"/>
            <w:noWrap/>
            <w:vAlign w:val="center"/>
          </w:tcPr>
          <w:p w14:paraId="6C91B23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w:t>
            </w:r>
          </w:p>
        </w:tc>
        <w:tc>
          <w:tcPr>
            <w:tcW w:w="1490" w:type="dxa"/>
            <w:noWrap/>
            <w:vAlign w:val="center"/>
          </w:tcPr>
          <w:p w14:paraId="2C6F71D4">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1,519.87</w:t>
            </w:r>
          </w:p>
        </w:tc>
      </w:tr>
      <w:tr w14:paraId="2FA66C98">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noWrap/>
            <w:vAlign w:val="center"/>
          </w:tcPr>
          <w:p w14:paraId="0FAA65ED">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EFV</w:t>
            </w:r>
          </w:p>
        </w:tc>
        <w:tc>
          <w:tcPr>
            <w:tcW w:w="1424" w:type="dxa"/>
            <w:noWrap/>
            <w:vAlign w:val="center"/>
          </w:tcPr>
          <w:p w14:paraId="17150101">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85.15</w:t>
            </w:r>
          </w:p>
        </w:tc>
        <w:tc>
          <w:tcPr>
            <w:tcW w:w="835" w:type="pct"/>
            <w:noWrap/>
            <w:vAlign w:val="center"/>
          </w:tcPr>
          <w:p w14:paraId="1BD436E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30</w:t>
            </w:r>
          </w:p>
        </w:tc>
        <w:tc>
          <w:tcPr>
            <w:tcW w:w="1204" w:type="dxa"/>
            <w:noWrap/>
            <w:vAlign w:val="center"/>
          </w:tcPr>
          <w:p w14:paraId="374B87A6">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2.84</w:t>
            </w:r>
          </w:p>
        </w:tc>
        <w:tc>
          <w:tcPr>
            <w:tcW w:w="874" w:type="pct"/>
            <w:noWrap/>
            <w:vAlign w:val="center"/>
          </w:tcPr>
          <w:p w14:paraId="679FC092">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w:t>
            </w:r>
          </w:p>
        </w:tc>
        <w:tc>
          <w:tcPr>
            <w:tcW w:w="874" w:type="pct"/>
            <w:noWrap/>
            <w:vAlign w:val="center"/>
          </w:tcPr>
          <w:p w14:paraId="76AB960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w:t>
            </w:r>
          </w:p>
        </w:tc>
      </w:tr>
      <w:tr w14:paraId="2A26D6BE">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noWrap/>
            <w:vAlign w:val="center"/>
          </w:tcPr>
          <w:p w14:paraId="1EA0E0F5">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3TC</w:t>
            </w:r>
          </w:p>
        </w:tc>
        <w:tc>
          <w:tcPr>
            <w:tcW w:w="1424" w:type="dxa"/>
            <w:noWrap/>
            <w:vAlign w:val="center"/>
          </w:tcPr>
          <w:p w14:paraId="1CE2D366">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1.22</w:t>
            </w:r>
          </w:p>
        </w:tc>
        <w:tc>
          <w:tcPr>
            <w:tcW w:w="835" w:type="pct"/>
            <w:noWrap/>
            <w:vAlign w:val="center"/>
          </w:tcPr>
          <w:p w14:paraId="44D4B2F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30</w:t>
            </w:r>
          </w:p>
        </w:tc>
        <w:tc>
          <w:tcPr>
            <w:tcW w:w="1204" w:type="dxa"/>
            <w:noWrap/>
            <w:vAlign w:val="center"/>
          </w:tcPr>
          <w:p w14:paraId="2EE28F7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0.04</w:t>
            </w:r>
          </w:p>
        </w:tc>
        <w:tc>
          <w:tcPr>
            <w:tcW w:w="874" w:type="pct"/>
            <w:noWrap/>
            <w:vAlign w:val="center"/>
          </w:tcPr>
          <w:p w14:paraId="44A59022">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w:t>
            </w:r>
          </w:p>
        </w:tc>
        <w:tc>
          <w:tcPr>
            <w:tcW w:w="874" w:type="pct"/>
            <w:noWrap/>
            <w:vAlign w:val="center"/>
          </w:tcPr>
          <w:p w14:paraId="1E97370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w:t>
            </w:r>
          </w:p>
        </w:tc>
      </w:tr>
      <w:tr w14:paraId="0EFBFD5E">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873" w:type="pct"/>
            <w:noWrap/>
            <w:vAlign w:val="center"/>
          </w:tcPr>
          <w:p w14:paraId="2F0910A4">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TAF</w:t>
            </w:r>
          </w:p>
        </w:tc>
        <w:tc>
          <w:tcPr>
            <w:tcW w:w="1424" w:type="dxa"/>
            <w:noWrap/>
            <w:vAlign w:val="center"/>
          </w:tcPr>
          <w:p w14:paraId="09D02059">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38.55</w:t>
            </w:r>
          </w:p>
        </w:tc>
        <w:tc>
          <w:tcPr>
            <w:tcW w:w="835" w:type="pct"/>
            <w:noWrap/>
            <w:vAlign w:val="center"/>
          </w:tcPr>
          <w:p w14:paraId="1075B5B9">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120</w:t>
            </w:r>
          </w:p>
        </w:tc>
        <w:tc>
          <w:tcPr>
            <w:tcW w:w="1204" w:type="dxa"/>
            <w:noWrap/>
            <w:vAlign w:val="center"/>
          </w:tcPr>
          <w:p w14:paraId="0EC9475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0.32</w:t>
            </w:r>
          </w:p>
        </w:tc>
        <w:tc>
          <w:tcPr>
            <w:tcW w:w="874" w:type="pct"/>
            <w:noWrap/>
            <w:vAlign w:val="center"/>
          </w:tcPr>
          <w:p w14:paraId="5AC17804">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4</w:t>
            </w:r>
          </w:p>
        </w:tc>
        <w:tc>
          <w:tcPr>
            <w:tcW w:w="874" w:type="pct"/>
            <w:noWrap/>
            <w:vAlign w:val="center"/>
          </w:tcPr>
          <w:p w14:paraId="4B2614E2">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w:t>
            </w:r>
          </w:p>
        </w:tc>
      </w:tr>
    </w:tbl>
    <w:p w14:paraId="7433BBC3">
      <w:pPr>
        <w:pStyle w:val="7"/>
        <w:spacing w:line="480" w:lineRule="auto"/>
        <w:rPr>
          <w:rFonts w:ascii="Times New Roman" w:hAnsi="Times New Roman" w:cs="Times New Roman"/>
          <w:b/>
          <w:bCs/>
          <w:sz w:val="24"/>
          <w:szCs w:val="24"/>
        </w:rPr>
      </w:pPr>
    </w:p>
    <w:p w14:paraId="7FB72604">
      <w:pPr>
        <w:pStyle w:val="7"/>
        <w:spacing w:line="480" w:lineRule="auto"/>
        <w:jc w:val="center"/>
        <w:rPr>
          <w:rFonts w:ascii="Times New Roman" w:hAnsi="Times New Roman" w:cs="Times New Roman"/>
          <w:b/>
          <w:bCs/>
          <w:sz w:val="24"/>
          <w:szCs w:val="24"/>
        </w:rPr>
      </w:pPr>
      <w:bookmarkStart w:id="34" w:name="_Toc216103919"/>
      <w:bookmarkStart w:id="35" w:name="_Toc183682234"/>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9</w:t>
      </w:r>
      <w:r>
        <w:rPr>
          <w:rFonts w:ascii="Times New Roman" w:hAnsi="Times New Roman" w:cs="Times New Roman"/>
          <w:b/>
          <w:bCs/>
          <w:sz w:val="24"/>
          <w:szCs w:val="24"/>
        </w:rPr>
        <w:fldChar w:fldCharType="end"/>
      </w:r>
      <w:r>
        <w:rPr>
          <w:rFonts w:ascii="Times New Roman" w:hAnsi="Times New Roman" w:cs="Times New Roman"/>
          <w:b/>
          <w:bCs/>
          <w:sz w:val="24"/>
          <w:szCs w:val="24"/>
        </w:rPr>
        <w:t>. Annual Cost of ART Regimens and Testing Programs</w:t>
      </w:r>
      <w:bookmarkEnd w:id="34"/>
      <w:bookmarkEnd w:id="35"/>
    </w:p>
    <w:tbl>
      <w:tblPr>
        <w:tblStyle w:val="17"/>
        <w:tblW w:w="4999"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62"/>
      </w:tblGrid>
      <w:tr w14:paraId="18110637">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499" w:type="pct"/>
            <w:tcBorders>
              <w:top w:val="single" w:color="auto" w:sz="12" w:space="0"/>
              <w:left w:val="nil"/>
              <w:bottom w:val="single" w:color="auto" w:sz="6" w:space="0"/>
              <w:right w:val="nil"/>
              <w:insideH w:val="single" w:sz="6" w:space="0"/>
              <w:insideV w:val="nil"/>
              <w:tl2br w:val="nil"/>
              <w:tr2bl w:val="nil"/>
            </w:tcBorders>
            <w:noWrap/>
          </w:tcPr>
          <w:p w14:paraId="303A632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ART regimens/Testing Programs</w:t>
            </w:r>
          </w:p>
        </w:tc>
        <w:tc>
          <w:tcPr>
            <w:tcW w:w="2501" w:type="pct"/>
            <w:tcBorders>
              <w:top w:val="single" w:color="auto" w:sz="12" w:space="0"/>
              <w:bottom w:val="single" w:color="auto" w:sz="6" w:space="0"/>
              <w:right w:val="nil"/>
              <w:insideH w:val="single" w:sz="6" w:space="0"/>
              <w:insideV w:val="nil"/>
              <w:tl2br w:val="nil"/>
              <w:tr2bl w:val="nil"/>
            </w:tcBorders>
            <w:noWrap/>
          </w:tcPr>
          <w:p w14:paraId="4AFAF18A">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Annual cost, $</w:t>
            </w:r>
          </w:p>
        </w:tc>
      </w:tr>
      <w:tr w14:paraId="12667486">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499" w:type="pct"/>
            <w:noWrap/>
            <w:vAlign w:val="center"/>
          </w:tcPr>
          <w:p w14:paraId="60281F9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BIC/FTC/TAF</w:t>
            </w:r>
          </w:p>
        </w:tc>
        <w:tc>
          <w:tcPr>
            <w:tcW w:w="2501" w:type="pct"/>
            <w:noWrap/>
            <w:vAlign w:val="center"/>
          </w:tcPr>
          <w:p w14:paraId="7E515CEA">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13,687.50 </w:t>
            </w:r>
          </w:p>
        </w:tc>
      </w:tr>
      <w:tr w14:paraId="6F33F02C">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499" w:type="pct"/>
            <w:noWrap/>
            <w:vAlign w:val="center"/>
          </w:tcPr>
          <w:p w14:paraId="7F90E15D">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EFV+3TC+TDF</w:t>
            </w:r>
          </w:p>
        </w:tc>
        <w:tc>
          <w:tcPr>
            <w:tcW w:w="2501" w:type="pct"/>
            <w:noWrap/>
            <w:vAlign w:val="center"/>
          </w:tcPr>
          <w:p w14:paraId="74229ED3">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10,710.07</w:t>
            </w:r>
          </w:p>
        </w:tc>
      </w:tr>
      <w:tr w14:paraId="4A803DAD">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499" w:type="pct"/>
            <w:noWrap/>
          </w:tcPr>
          <w:p w14:paraId="3691BB00">
            <w:pPr>
              <w:pStyle w:val="15"/>
              <w:spacing w:line="480" w:lineRule="auto"/>
              <w:rPr>
                <w:rFonts w:ascii="Times New Roman" w:hAnsi="Times New Roman" w:cs="Times New Roman"/>
                <w:kern w:val="0"/>
              </w:rPr>
            </w:pPr>
            <w:r>
              <w:rPr>
                <w:rFonts w:ascii="Times New Roman" w:hAnsi="Times New Roman" w:cs="Times New Roman"/>
                <w:kern w:val="0"/>
              </w:rPr>
              <w:t>HIV testing</w:t>
            </w:r>
          </w:p>
        </w:tc>
        <w:tc>
          <w:tcPr>
            <w:tcW w:w="2501" w:type="pct"/>
            <w:noWrap/>
            <w:vAlign w:val="center"/>
          </w:tcPr>
          <w:p w14:paraId="0FBFC1F3">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300.00</w:t>
            </w:r>
          </w:p>
        </w:tc>
      </w:tr>
      <w:tr w14:paraId="72486146">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499" w:type="pct"/>
            <w:noWrap/>
          </w:tcPr>
          <w:p w14:paraId="34CAEABE">
            <w:pPr>
              <w:pStyle w:val="15"/>
              <w:spacing w:line="480" w:lineRule="auto"/>
              <w:rPr>
                <w:rFonts w:ascii="Times New Roman" w:hAnsi="Times New Roman" w:cs="Times New Roman"/>
                <w:kern w:val="0"/>
              </w:rPr>
            </w:pPr>
            <w:r>
              <w:rPr>
                <w:rFonts w:ascii="Times New Roman" w:hAnsi="Times New Roman" w:cs="Times New Roman"/>
                <w:kern w:val="0"/>
              </w:rPr>
              <w:t>CD4 cell count testing</w:t>
            </w:r>
          </w:p>
        </w:tc>
        <w:tc>
          <w:tcPr>
            <w:tcW w:w="2501" w:type="pct"/>
            <w:noWrap/>
            <w:vAlign w:val="center"/>
          </w:tcPr>
          <w:p w14:paraId="679C4D25">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70.00</w:t>
            </w:r>
          </w:p>
        </w:tc>
      </w:tr>
    </w:tbl>
    <w:p w14:paraId="5DC8BCA7">
      <w:pPr>
        <w:spacing w:line="480" w:lineRule="auto"/>
        <w:rPr>
          <w:rFonts w:ascii="Times New Roman" w:hAnsi="Times New Roman" w:cs="Times New Roman"/>
          <w:sz w:val="24"/>
          <w:szCs w:val="24"/>
        </w:rPr>
      </w:pPr>
    </w:p>
    <w:p w14:paraId="78FA472E">
      <w:pPr>
        <w:pStyle w:val="7"/>
        <w:spacing w:line="480" w:lineRule="auto"/>
        <w:jc w:val="center"/>
        <w:rPr>
          <w:rFonts w:ascii="Times New Roman" w:hAnsi="Times New Roman" w:cs="Times New Roman"/>
          <w:b/>
          <w:bCs/>
          <w:sz w:val="24"/>
          <w:szCs w:val="24"/>
        </w:rPr>
      </w:pPr>
      <w:bookmarkStart w:id="36" w:name="_Toc183682235"/>
      <w:bookmarkStart w:id="37" w:name="_Toc216103920"/>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10</w:t>
      </w:r>
      <w:r>
        <w:rPr>
          <w:rFonts w:ascii="Times New Roman" w:hAnsi="Times New Roman" w:cs="Times New Roman"/>
          <w:b/>
          <w:bCs/>
          <w:sz w:val="24"/>
          <w:szCs w:val="24"/>
        </w:rPr>
        <w:fldChar w:fldCharType="end"/>
      </w:r>
      <w:r>
        <w:rPr>
          <w:rFonts w:ascii="Times New Roman" w:hAnsi="Times New Roman" w:cs="Times New Roman"/>
          <w:b/>
          <w:bCs/>
          <w:sz w:val="24"/>
          <w:szCs w:val="24"/>
        </w:rPr>
        <w:t>. Utility Values for Each Health State</w:t>
      </w:r>
      <w:bookmarkEnd w:id="36"/>
      <w:bookmarkEnd w:id="37"/>
    </w:p>
    <w:tbl>
      <w:tblPr>
        <w:tblStyle w:val="17"/>
        <w:tblW w:w="4999"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6"/>
        <w:gridCol w:w="2124"/>
      </w:tblGrid>
      <w:tr w14:paraId="0320F212">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PrEx>
        <w:trPr>
          <w:trHeight w:val="227" w:hRule="atLeast"/>
        </w:trPr>
        <w:tc>
          <w:tcPr>
            <w:tcW w:w="3753" w:type="pct"/>
            <w:tcBorders>
              <w:top w:val="single" w:color="auto" w:sz="12" w:space="0"/>
              <w:left w:val="nil"/>
              <w:bottom w:val="single" w:color="auto" w:sz="6" w:space="0"/>
              <w:right w:val="nil"/>
              <w:insideH w:val="single" w:sz="6" w:space="0"/>
              <w:insideV w:val="nil"/>
              <w:tl2br w:val="nil"/>
              <w:tr2bl w:val="nil"/>
            </w:tcBorders>
            <w:noWrap/>
          </w:tcPr>
          <w:p w14:paraId="34899ADC">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Health states (based on CD4 cell counts)</w:t>
            </w:r>
          </w:p>
        </w:tc>
        <w:tc>
          <w:tcPr>
            <w:tcW w:w="1246" w:type="pct"/>
            <w:tcBorders>
              <w:top w:val="single" w:color="auto" w:sz="12" w:space="0"/>
              <w:bottom w:val="single" w:color="auto" w:sz="6" w:space="0"/>
              <w:right w:val="nil"/>
              <w:insideH w:val="single" w:sz="6" w:space="0"/>
              <w:insideV w:val="nil"/>
              <w:tl2br w:val="nil"/>
              <w:tr2bl w:val="nil"/>
            </w:tcBorders>
            <w:noWrap/>
          </w:tcPr>
          <w:p w14:paraId="1E06BA2C">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Value</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NE.Ref.{1EE3A521-3FEC-4D69-96FB-99A04A1B0227}</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[22]</w:t>
            </w:r>
            <w:r>
              <w:rPr>
                <w:rFonts w:ascii="Times New Roman" w:hAnsi="Times New Roman" w:eastAsia="宋体" w:cs="Times New Roman"/>
                <w:b/>
                <w:bCs/>
                <w:kern w:val="0"/>
              </w:rPr>
              <w:fldChar w:fldCharType="end"/>
            </w:r>
          </w:p>
        </w:tc>
      </w:tr>
      <w:tr w14:paraId="2E11FDAC">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53" w:type="pct"/>
            <w:noWrap/>
          </w:tcPr>
          <w:p w14:paraId="21F345FA">
            <w:pPr>
              <w:pStyle w:val="15"/>
              <w:spacing w:line="480" w:lineRule="auto"/>
              <w:rPr>
                <w:rFonts w:ascii="Times New Roman" w:hAnsi="Times New Roman" w:cs="Times New Roman"/>
                <w:kern w:val="0"/>
              </w:rPr>
            </w:pPr>
            <w:r>
              <w:rPr>
                <w:rFonts w:ascii="Times New Roman" w:hAnsi="Times New Roman" w:cs="Times New Roman"/>
                <w:kern w:val="0"/>
              </w:rPr>
              <w:t>&gt;500</w:t>
            </w:r>
          </w:p>
        </w:tc>
        <w:tc>
          <w:tcPr>
            <w:tcW w:w="1246" w:type="pct"/>
            <w:noWrap/>
            <w:vAlign w:val="center"/>
          </w:tcPr>
          <w:p w14:paraId="0CD04C76">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1.0000 </w:t>
            </w:r>
          </w:p>
        </w:tc>
      </w:tr>
      <w:tr w14:paraId="7015217E">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3753" w:type="pct"/>
            <w:noWrap/>
          </w:tcPr>
          <w:p w14:paraId="033D68CF">
            <w:pPr>
              <w:pStyle w:val="15"/>
              <w:spacing w:line="480" w:lineRule="auto"/>
              <w:rPr>
                <w:rFonts w:ascii="Times New Roman" w:hAnsi="Times New Roman" w:cs="Times New Roman"/>
                <w:kern w:val="0"/>
              </w:rPr>
            </w:pPr>
            <w:r>
              <w:rPr>
                <w:rFonts w:ascii="Times New Roman" w:hAnsi="Times New Roman" w:cs="Times New Roman"/>
                <w:kern w:val="0"/>
              </w:rPr>
              <w:t>&gt;350</w:t>
            </w:r>
          </w:p>
        </w:tc>
        <w:tc>
          <w:tcPr>
            <w:tcW w:w="1246" w:type="pct"/>
            <w:noWrap/>
            <w:vAlign w:val="center"/>
          </w:tcPr>
          <w:p w14:paraId="65EA7EF3">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0.9400 </w:t>
            </w:r>
          </w:p>
        </w:tc>
      </w:tr>
      <w:tr w14:paraId="78AD79D3">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3753" w:type="pct"/>
            <w:noWrap/>
          </w:tcPr>
          <w:p w14:paraId="75B2E138">
            <w:pPr>
              <w:pStyle w:val="15"/>
              <w:spacing w:line="480" w:lineRule="auto"/>
              <w:rPr>
                <w:rFonts w:ascii="Times New Roman" w:hAnsi="Times New Roman" w:cs="Times New Roman"/>
                <w:kern w:val="0"/>
              </w:rPr>
            </w:pPr>
            <w:r>
              <w:rPr>
                <w:rFonts w:ascii="Times New Roman" w:hAnsi="Times New Roman" w:cs="Times New Roman"/>
                <w:kern w:val="0"/>
              </w:rPr>
              <w:t>&gt;200</w:t>
            </w:r>
          </w:p>
        </w:tc>
        <w:tc>
          <w:tcPr>
            <w:tcW w:w="1246" w:type="pct"/>
            <w:noWrap/>
            <w:vAlign w:val="center"/>
          </w:tcPr>
          <w:p w14:paraId="6A772AAF">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0.9400 </w:t>
            </w:r>
          </w:p>
        </w:tc>
      </w:tr>
      <w:tr w14:paraId="3D88F937">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3753" w:type="pct"/>
            <w:noWrap/>
          </w:tcPr>
          <w:p w14:paraId="32279654">
            <w:pPr>
              <w:pStyle w:val="15"/>
              <w:spacing w:line="480" w:lineRule="auto"/>
              <w:rPr>
                <w:rFonts w:ascii="Times New Roman" w:hAnsi="Times New Roman" w:cs="Times New Roman"/>
                <w:kern w:val="0"/>
              </w:rPr>
            </w:pPr>
            <w:r>
              <w:rPr>
                <w:rFonts w:ascii="Times New Roman" w:hAnsi="Times New Roman" w:cs="Times New Roman"/>
                <w:kern w:val="0"/>
              </w:rPr>
              <w:t>&gt;100</w:t>
            </w:r>
          </w:p>
        </w:tc>
        <w:tc>
          <w:tcPr>
            <w:tcW w:w="1246" w:type="pct"/>
            <w:noWrap/>
            <w:vAlign w:val="center"/>
          </w:tcPr>
          <w:p w14:paraId="33BEE5F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0.8800 </w:t>
            </w:r>
          </w:p>
        </w:tc>
      </w:tr>
      <w:tr w14:paraId="4B9D4AAA">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3753" w:type="pct"/>
            <w:noWrap/>
          </w:tcPr>
          <w:p w14:paraId="4ACD8D92">
            <w:pPr>
              <w:pStyle w:val="15"/>
              <w:spacing w:line="480" w:lineRule="auto"/>
              <w:rPr>
                <w:rFonts w:ascii="Times New Roman" w:hAnsi="Times New Roman" w:cs="Times New Roman"/>
                <w:kern w:val="0"/>
              </w:rPr>
            </w:pPr>
            <w:r>
              <w:rPr>
                <w:rFonts w:ascii="Times New Roman" w:hAnsi="Times New Roman" w:cs="Times New Roman"/>
                <w:kern w:val="0"/>
              </w:rPr>
              <w:t>&lt;100</w:t>
            </w:r>
          </w:p>
        </w:tc>
        <w:tc>
          <w:tcPr>
            <w:tcW w:w="1246" w:type="pct"/>
            <w:noWrap/>
            <w:vAlign w:val="center"/>
          </w:tcPr>
          <w:p w14:paraId="4ABCE4A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 xml:space="preserve">0.8800 </w:t>
            </w:r>
          </w:p>
        </w:tc>
      </w:tr>
    </w:tbl>
    <w:p w14:paraId="6C462DBA">
      <w:pPr>
        <w:spacing w:line="480" w:lineRule="auto"/>
        <w:rPr>
          <w:rFonts w:ascii="Times New Roman" w:hAnsi="Times New Roman" w:eastAsia="黑体" w:cs="Times New Roman"/>
          <w:b/>
          <w:bCs/>
          <w:sz w:val="24"/>
          <w:szCs w:val="24"/>
        </w:rPr>
      </w:pPr>
    </w:p>
    <w:p w14:paraId="5B552DD5">
      <w:pPr>
        <w:pStyle w:val="7"/>
        <w:spacing w:line="480" w:lineRule="auto"/>
        <w:jc w:val="center"/>
        <w:rPr>
          <w:rFonts w:ascii="Times New Roman" w:hAnsi="Times New Roman" w:cs="Times New Roman"/>
          <w:b/>
          <w:bCs/>
          <w:sz w:val="24"/>
          <w:szCs w:val="24"/>
        </w:rPr>
      </w:pPr>
      <w:bookmarkStart w:id="38" w:name="_Toc216103921"/>
      <w:bookmarkStart w:id="39" w:name="_Toc183682236"/>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11</w:t>
      </w:r>
      <w:r>
        <w:rPr>
          <w:rFonts w:ascii="Times New Roman" w:hAnsi="Times New Roman" w:cs="Times New Roman"/>
          <w:b/>
          <w:bCs/>
          <w:sz w:val="24"/>
          <w:szCs w:val="24"/>
        </w:rPr>
        <w:fldChar w:fldCharType="end"/>
      </w:r>
      <w:r>
        <w:rPr>
          <w:rFonts w:ascii="Times New Roman" w:hAnsi="Times New Roman" w:cs="Times New Roman"/>
          <w:b/>
          <w:bCs/>
          <w:sz w:val="24"/>
          <w:szCs w:val="24"/>
        </w:rPr>
        <w:t>. Costs and Utilities for Various Types of ADEs</w:t>
      </w:r>
      <w:bookmarkEnd w:id="38"/>
      <w:bookmarkEnd w:id="39"/>
    </w:p>
    <w:tbl>
      <w:tblPr>
        <w:tblStyle w:val="11"/>
        <w:tblW w:w="499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1884"/>
        <w:gridCol w:w="1349"/>
        <w:gridCol w:w="1393"/>
        <w:gridCol w:w="1194"/>
        <w:gridCol w:w="1239"/>
        <w:gridCol w:w="735"/>
        <w:gridCol w:w="728"/>
      </w:tblGrid>
      <w:tr w14:paraId="637527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30" w:hRule="atLeast"/>
        </w:trPr>
        <w:tc>
          <w:tcPr>
            <w:tcW w:w="1476" w:type="pct"/>
            <w:tcBorders>
              <w:bottom w:val="single" w:color="auto" w:sz="4" w:space="0"/>
            </w:tcBorders>
            <w:shd w:val="clear" w:color="auto" w:fill="FFFFFF" w:themeFill="background1"/>
            <w:vAlign w:val="center"/>
          </w:tcPr>
          <w:p w14:paraId="6DCC288E">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Types of ADEs</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NE.Ref.{9DF5E72D-3DBD-46DE-830C-AE3F5F6A0CCB}</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[16, 17]</w:t>
            </w:r>
            <w:r>
              <w:rPr>
                <w:rFonts w:ascii="Times New Roman" w:hAnsi="Times New Roman" w:eastAsia="宋体" w:cs="Times New Roman"/>
                <w:b/>
                <w:bCs/>
                <w:kern w:val="0"/>
              </w:rPr>
              <w:fldChar w:fldCharType="end"/>
            </w:r>
          </w:p>
        </w:tc>
        <w:tc>
          <w:tcPr>
            <w:tcW w:w="555" w:type="pct"/>
            <w:tcBorders>
              <w:bottom w:val="single" w:color="auto" w:sz="4" w:space="0"/>
            </w:tcBorders>
            <w:shd w:val="clear" w:color="auto" w:fill="FFFFFF" w:themeFill="background1"/>
            <w:vAlign w:val="center"/>
          </w:tcPr>
          <w:p w14:paraId="4C3CCA2B">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Proportion, %（pre-adjustment）</w:t>
            </w:r>
          </w:p>
        </w:tc>
        <w:tc>
          <w:tcPr>
            <w:tcW w:w="507" w:type="pct"/>
            <w:tcBorders>
              <w:bottom w:val="single" w:color="auto" w:sz="4" w:space="0"/>
            </w:tcBorders>
            <w:shd w:val="clear" w:color="auto" w:fill="FFFFFF" w:themeFill="background1"/>
            <w:vAlign w:val="center"/>
          </w:tcPr>
          <w:p w14:paraId="5324B3C1">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Proportion, %（post-adjustment）</w:t>
            </w:r>
          </w:p>
        </w:tc>
        <w:tc>
          <w:tcPr>
            <w:tcW w:w="639" w:type="pct"/>
            <w:tcBorders>
              <w:bottom w:val="single" w:color="auto" w:sz="4" w:space="0"/>
            </w:tcBorders>
            <w:shd w:val="clear" w:color="auto" w:fill="FFFFFF" w:themeFill="background1"/>
            <w:vAlign w:val="center"/>
          </w:tcPr>
          <w:p w14:paraId="4210CEAD">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Unit preice, $(pre-adjustmen)</w:t>
            </w:r>
          </w:p>
        </w:tc>
        <w:tc>
          <w:tcPr>
            <w:tcW w:w="692" w:type="pct"/>
            <w:tcBorders>
              <w:bottom w:val="single" w:color="auto" w:sz="4" w:space="0"/>
            </w:tcBorders>
            <w:shd w:val="clear" w:color="auto" w:fill="FFFFFF" w:themeFill="background1"/>
            <w:vAlign w:val="center"/>
          </w:tcPr>
          <w:p w14:paraId="19D59B57">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Unit preice, $(post-adjustmen)</w:t>
            </w:r>
          </w:p>
        </w:tc>
        <w:tc>
          <w:tcPr>
            <w:tcW w:w="591" w:type="dxa"/>
            <w:tcBorders>
              <w:bottom w:val="single" w:color="auto" w:sz="4" w:space="0"/>
            </w:tcBorders>
            <w:shd w:val="clear" w:color="auto" w:fill="FFFFFF" w:themeFill="background1"/>
            <w:vAlign w:val="center"/>
          </w:tcPr>
          <w:p w14:paraId="32B51FF0">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Disutility</w:t>
            </w:r>
          </w:p>
        </w:tc>
        <w:tc>
          <w:tcPr>
            <w:tcW w:w="622" w:type="dxa"/>
            <w:tcBorders>
              <w:bottom w:val="single" w:color="auto" w:sz="4" w:space="0"/>
            </w:tcBorders>
            <w:shd w:val="clear" w:color="auto" w:fill="FFFFFF" w:themeFill="background1"/>
            <w:vAlign w:val="center"/>
          </w:tcPr>
          <w:p w14:paraId="69971107">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Duration (months)</w:t>
            </w:r>
          </w:p>
        </w:tc>
      </w:tr>
      <w:tr w14:paraId="46FC51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476" w:type="pct"/>
            <w:tcBorders>
              <w:top w:val="single" w:color="auto" w:sz="4" w:space="0"/>
              <w:tl2br w:val="nil"/>
              <w:tr2bl w:val="nil"/>
            </w:tcBorders>
            <w:shd w:val="clear" w:color="auto" w:fill="FFFFFF" w:themeFill="background1"/>
            <w:vAlign w:val="center"/>
          </w:tcPr>
          <w:p w14:paraId="2074E5BF">
            <w:pPr>
              <w:pStyle w:val="15"/>
              <w:spacing w:line="480" w:lineRule="auto"/>
              <w:rPr>
                <w:rFonts w:ascii="Times New Roman" w:hAnsi="Times New Roman" w:cs="Times New Roman"/>
                <w:kern w:val="0"/>
              </w:rPr>
            </w:pPr>
            <w:r>
              <w:rPr>
                <w:rFonts w:ascii="Times New Roman" w:hAnsi="Times New Roman" w:cs="Times New Roman"/>
                <w:kern w:val="0"/>
              </w:rPr>
              <w:t>Acute AIDS-related events</w:t>
            </w:r>
          </w:p>
        </w:tc>
        <w:tc>
          <w:tcPr>
            <w:tcW w:w="555" w:type="pct"/>
            <w:tcBorders>
              <w:top w:val="single" w:color="auto" w:sz="4" w:space="0"/>
              <w:tl2br w:val="nil"/>
              <w:tr2bl w:val="nil"/>
            </w:tcBorders>
            <w:shd w:val="clear" w:color="auto" w:fill="FFFFFF" w:themeFill="background1"/>
            <w:vAlign w:val="center"/>
          </w:tcPr>
          <w:p w14:paraId="3F9E8FA0">
            <w:pPr>
              <w:pStyle w:val="15"/>
              <w:spacing w:line="480" w:lineRule="auto"/>
              <w:rPr>
                <w:rFonts w:ascii="Times New Roman" w:hAnsi="Times New Roman" w:cs="Times New Roman"/>
                <w:kern w:val="0"/>
              </w:rPr>
            </w:pPr>
          </w:p>
        </w:tc>
        <w:tc>
          <w:tcPr>
            <w:tcW w:w="507" w:type="pct"/>
            <w:tcBorders>
              <w:top w:val="single" w:color="auto" w:sz="4" w:space="0"/>
              <w:tl2br w:val="nil"/>
              <w:tr2bl w:val="nil"/>
            </w:tcBorders>
            <w:shd w:val="clear" w:color="auto" w:fill="FFFFFF" w:themeFill="background1"/>
            <w:vAlign w:val="center"/>
          </w:tcPr>
          <w:p w14:paraId="40F8D2A7">
            <w:pPr>
              <w:pStyle w:val="15"/>
              <w:spacing w:line="480" w:lineRule="auto"/>
              <w:rPr>
                <w:rFonts w:ascii="Times New Roman" w:hAnsi="Times New Roman" w:cs="Times New Roman"/>
                <w:kern w:val="0"/>
              </w:rPr>
            </w:pPr>
          </w:p>
        </w:tc>
        <w:tc>
          <w:tcPr>
            <w:tcW w:w="639" w:type="pct"/>
            <w:tcBorders>
              <w:top w:val="single" w:color="auto" w:sz="4" w:space="0"/>
              <w:tl2br w:val="nil"/>
              <w:tr2bl w:val="nil"/>
            </w:tcBorders>
            <w:shd w:val="clear" w:color="auto" w:fill="FFFFFF" w:themeFill="background1"/>
            <w:vAlign w:val="center"/>
          </w:tcPr>
          <w:p w14:paraId="24B62F3B">
            <w:pPr>
              <w:pStyle w:val="15"/>
              <w:spacing w:line="480" w:lineRule="auto"/>
              <w:rPr>
                <w:rFonts w:ascii="Times New Roman" w:hAnsi="Times New Roman" w:cs="Times New Roman"/>
                <w:kern w:val="0"/>
              </w:rPr>
            </w:pPr>
          </w:p>
        </w:tc>
        <w:tc>
          <w:tcPr>
            <w:tcW w:w="692" w:type="pct"/>
            <w:tcBorders>
              <w:top w:val="single" w:color="auto" w:sz="4" w:space="0"/>
              <w:tl2br w:val="nil"/>
              <w:tr2bl w:val="nil"/>
            </w:tcBorders>
            <w:shd w:val="clear" w:color="auto" w:fill="FFFFFF" w:themeFill="background1"/>
            <w:vAlign w:val="center"/>
          </w:tcPr>
          <w:p w14:paraId="7C3EA6BF">
            <w:pPr>
              <w:pStyle w:val="15"/>
              <w:spacing w:line="480" w:lineRule="auto"/>
              <w:rPr>
                <w:rFonts w:ascii="Times New Roman" w:hAnsi="Times New Roman" w:cs="Times New Roman"/>
                <w:kern w:val="0"/>
              </w:rPr>
            </w:pPr>
          </w:p>
        </w:tc>
        <w:tc>
          <w:tcPr>
            <w:tcW w:w="621" w:type="pct"/>
            <w:tcBorders>
              <w:top w:val="single" w:color="auto" w:sz="4" w:space="0"/>
              <w:tl2br w:val="nil"/>
              <w:tr2bl w:val="nil"/>
            </w:tcBorders>
            <w:shd w:val="clear" w:color="auto" w:fill="FFFFFF" w:themeFill="background1"/>
            <w:vAlign w:val="center"/>
          </w:tcPr>
          <w:p w14:paraId="0A8FF60F">
            <w:pPr>
              <w:pStyle w:val="15"/>
              <w:spacing w:line="480" w:lineRule="auto"/>
              <w:rPr>
                <w:rFonts w:ascii="Times New Roman" w:hAnsi="Times New Roman" w:cs="Times New Roman"/>
                <w:kern w:val="0"/>
              </w:rPr>
            </w:pPr>
          </w:p>
        </w:tc>
        <w:tc>
          <w:tcPr>
            <w:tcW w:w="507" w:type="pct"/>
            <w:tcBorders>
              <w:top w:val="single" w:color="auto" w:sz="4" w:space="0"/>
              <w:tl2br w:val="nil"/>
              <w:tr2bl w:val="nil"/>
            </w:tcBorders>
            <w:shd w:val="clear" w:color="auto" w:fill="FFFFFF" w:themeFill="background1"/>
            <w:vAlign w:val="center"/>
          </w:tcPr>
          <w:p w14:paraId="4FDF5CEA">
            <w:pPr>
              <w:pStyle w:val="15"/>
              <w:spacing w:line="480" w:lineRule="auto"/>
              <w:rPr>
                <w:rFonts w:ascii="Times New Roman" w:hAnsi="Times New Roman" w:cs="Times New Roman"/>
                <w:kern w:val="0"/>
              </w:rPr>
            </w:pPr>
          </w:p>
        </w:tc>
      </w:tr>
      <w:tr w14:paraId="20845C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58BF3E76">
            <w:pPr>
              <w:pStyle w:val="15"/>
              <w:spacing w:line="480" w:lineRule="auto"/>
              <w:rPr>
                <w:rFonts w:ascii="Times New Roman" w:hAnsi="Times New Roman" w:cs="Times New Roman"/>
                <w:kern w:val="0"/>
              </w:rPr>
            </w:pPr>
            <w:r>
              <w:rPr>
                <w:rFonts w:ascii="Times New Roman" w:hAnsi="Times New Roman" w:cs="Times New Roman"/>
                <w:kern w:val="0"/>
              </w:rPr>
              <w:t>Cryptosporidiosis</w:t>
            </w:r>
          </w:p>
        </w:tc>
        <w:tc>
          <w:tcPr>
            <w:tcW w:w="555" w:type="pct"/>
            <w:tcBorders>
              <w:tl2br w:val="nil"/>
              <w:tr2bl w:val="nil"/>
            </w:tcBorders>
            <w:shd w:val="clear" w:color="auto" w:fill="FFFFFF" w:themeFill="background1"/>
            <w:noWrap/>
            <w:vAlign w:val="center"/>
          </w:tcPr>
          <w:p w14:paraId="3BCC18AC">
            <w:pPr>
              <w:pStyle w:val="15"/>
              <w:spacing w:line="480" w:lineRule="auto"/>
              <w:rPr>
                <w:rFonts w:ascii="Times New Roman" w:hAnsi="Times New Roman" w:cs="Times New Roman"/>
                <w:kern w:val="0"/>
              </w:rPr>
            </w:pPr>
            <w:r>
              <w:rPr>
                <w:rFonts w:ascii="Times New Roman" w:hAnsi="Times New Roman" w:cs="Times New Roman"/>
                <w:kern w:val="0"/>
              </w:rPr>
              <w:t xml:space="preserve">0.0230 </w:t>
            </w:r>
          </w:p>
        </w:tc>
        <w:tc>
          <w:tcPr>
            <w:tcW w:w="507" w:type="pct"/>
            <w:tcBorders>
              <w:tl2br w:val="nil"/>
              <w:tr2bl w:val="nil"/>
            </w:tcBorders>
            <w:shd w:val="clear" w:color="auto" w:fill="FFFFFF" w:themeFill="background1"/>
            <w:noWrap/>
            <w:vAlign w:val="center"/>
          </w:tcPr>
          <w:p w14:paraId="1FDB563A">
            <w:pPr>
              <w:pStyle w:val="15"/>
              <w:spacing w:line="480" w:lineRule="auto"/>
              <w:rPr>
                <w:rFonts w:ascii="Times New Roman" w:hAnsi="Times New Roman" w:cs="Times New Roman"/>
                <w:kern w:val="0"/>
              </w:rPr>
            </w:pPr>
            <w:r>
              <w:rPr>
                <w:rFonts w:ascii="Times New Roman" w:hAnsi="Times New Roman" w:cs="Times New Roman"/>
                <w:kern w:val="0"/>
              </w:rPr>
              <w:t xml:space="preserve">0.0231 </w:t>
            </w:r>
          </w:p>
        </w:tc>
        <w:tc>
          <w:tcPr>
            <w:tcW w:w="992" w:type="dxa"/>
            <w:tcBorders>
              <w:tl2br w:val="nil"/>
              <w:tr2bl w:val="nil"/>
            </w:tcBorders>
            <w:shd w:val="clear" w:color="auto" w:fill="FFFFFF" w:themeFill="background1"/>
            <w:noWrap/>
            <w:vAlign w:val="center"/>
          </w:tcPr>
          <w:p w14:paraId="3C87BD72">
            <w:pPr>
              <w:pStyle w:val="15"/>
              <w:spacing w:line="480" w:lineRule="auto"/>
              <w:rPr>
                <w:rFonts w:ascii="Times New Roman" w:hAnsi="Times New Roman" w:cs="Times New Roman"/>
                <w:kern w:val="0"/>
              </w:rPr>
            </w:pPr>
            <w:r>
              <w:rPr>
                <w:rFonts w:ascii="Times New Roman" w:hAnsi="Times New Roman" w:cs="Times New Roman"/>
                <w:kern w:val="0"/>
              </w:rPr>
              <w:t xml:space="preserve">3,441.69 </w:t>
            </w:r>
          </w:p>
        </w:tc>
        <w:tc>
          <w:tcPr>
            <w:tcW w:w="692" w:type="pct"/>
            <w:tcBorders>
              <w:tl2br w:val="nil"/>
              <w:tr2bl w:val="nil"/>
            </w:tcBorders>
            <w:shd w:val="clear" w:color="auto" w:fill="FFFFFF" w:themeFill="background1"/>
            <w:noWrap/>
            <w:vAlign w:val="center"/>
          </w:tcPr>
          <w:p w14:paraId="3E7B981B">
            <w:pPr>
              <w:pStyle w:val="15"/>
              <w:spacing w:line="480" w:lineRule="auto"/>
              <w:rPr>
                <w:rFonts w:ascii="Times New Roman" w:hAnsi="Times New Roman" w:cs="Times New Roman"/>
                <w:kern w:val="0"/>
              </w:rPr>
            </w:pPr>
            <w:r>
              <w:rPr>
                <w:rFonts w:ascii="Times New Roman" w:hAnsi="Times New Roman" w:cs="Times New Roman"/>
                <w:kern w:val="0"/>
              </w:rPr>
              <w:t xml:space="preserve">8,625.81 </w:t>
            </w:r>
          </w:p>
        </w:tc>
        <w:tc>
          <w:tcPr>
            <w:tcW w:w="621" w:type="pct"/>
            <w:tcBorders>
              <w:tl2br w:val="nil"/>
              <w:tr2bl w:val="nil"/>
            </w:tcBorders>
            <w:shd w:val="clear" w:color="auto" w:fill="FFFFFF" w:themeFill="background1"/>
            <w:noWrap/>
            <w:vAlign w:val="center"/>
          </w:tcPr>
          <w:p w14:paraId="2687078C">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25394121">
            <w:pPr>
              <w:pStyle w:val="15"/>
              <w:spacing w:line="480" w:lineRule="auto"/>
              <w:rPr>
                <w:rFonts w:ascii="Times New Roman" w:hAnsi="Times New Roman" w:cs="Times New Roman"/>
                <w:kern w:val="0"/>
              </w:rPr>
            </w:pPr>
            <w:r>
              <w:rPr>
                <w:rFonts w:ascii="Times New Roman" w:hAnsi="Times New Roman" w:cs="Times New Roman"/>
                <w:kern w:val="0"/>
              </w:rPr>
              <w:t xml:space="preserve">3.0000 </w:t>
            </w:r>
          </w:p>
        </w:tc>
      </w:tr>
      <w:tr w14:paraId="039775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10DC1408">
            <w:pPr>
              <w:pStyle w:val="15"/>
              <w:spacing w:line="480" w:lineRule="auto"/>
              <w:rPr>
                <w:rFonts w:ascii="Times New Roman" w:hAnsi="Times New Roman" w:cs="Times New Roman"/>
                <w:kern w:val="0"/>
              </w:rPr>
            </w:pPr>
            <w:r>
              <w:rPr>
                <w:rFonts w:ascii="Times New Roman" w:hAnsi="Times New Roman" w:cs="Times New Roman"/>
                <w:kern w:val="0"/>
              </w:rPr>
              <w:t>Coccidiosis</w:t>
            </w:r>
          </w:p>
        </w:tc>
        <w:tc>
          <w:tcPr>
            <w:tcW w:w="555" w:type="pct"/>
            <w:tcBorders>
              <w:tl2br w:val="nil"/>
              <w:tr2bl w:val="nil"/>
            </w:tcBorders>
            <w:shd w:val="clear" w:color="auto" w:fill="FFFFFF" w:themeFill="background1"/>
            <w:noWrap/>
            <w:vAlign w:val="center"/>
          </w:tcPr>
          <w:p w14:paraId="65F91F5E">
            <w:pPr>
              <w:pStyle w:val="15"/>
              <w:spacing w:line="480" w:lineRule="auto"/>
              <w:rPr>
                <w:rFonts w:ascii="Times New Roman" w:hAnsi="Times New Roman" w:cs="Times New Roman"/>
                <w:kern w:val="0"/>
              </w:rPr>
            </w:pPr>
            <w:r>
              <w:rPr>
                <w:rFonts w:ascii="Times New Roman" w:hAnsi="Times New Roman" w:cs="Times New Roman"/>
                <w:kern w:val="0"/>
              </w:rPr>
              <w:t xml:space="preserve">0.0020 </w:t>
            </w:r>
          </w:p>
        </w:tc>
        <w:tc>
          <w:tcPr>
            <w:tcW w:w="507" w:type="pct"/>
            <w:tcBorders>
              <w:tl2br w:val="nil"/>
              <w:tr2bl w:val="nil"/>
            </w:tcBorders>
            <w:shd w:val="clear" w:color="auto" w:fill="FFFFFF" w:themeFill="background1"/>
            <w:noWrap/>
            <w:vAlign w:val="center"/>
          </w:tcPr>
          <w:p w14:paraId="21353649">
            <w:pPr>
              <w:pStyle w:val="15"/>
              <w:spacing w:line="480" w:lineRule="auto"/>
              <w:rPr>
                <w:rFonts w:ascii="Times New Roman" w:hAnsi="Times New Roman" w:cs="Times New Roman"/>
                <w:kern w:val="0"/>
              </w:rPr>
            </w:pPr>
            <w:r>
              <w:rPr>
                <w:rFonts w:ascii="Times New Roman" w:hAnsi="Times New Roman" w:cs="Times New Roman"/>
                <w:kern w:val="0"/>
              </w:rPr>
              <w:t xml:space="preserve">0.0020 </w:t>
            </w:r>
          </w:p>
        </w:tc>
        <w:tc>
          <w:tcPr>
            <w:tcW w:w="992" w:type="dxa"/>
            <w:tcBorders>
              <w:tl2br w:val="nil"/>
              <w:tr2bl w:val="nil"/>
            </w:tcBorders>
            <w:shd w:val="clear" w:color="auto" w:fill="FFFFFF" w:themeFill="background1"/>
            <w:noWrap/>
            <w:vAlign w:val="center"/>
          </w:tcPr>
          <w:p w14:paraId="11705FE5">
            <w:pPr>
              <w:pStyle w:val="15"/>
              <w:spacing w:line="480" w:lineRule="auto"/>
              <w:rPr>
                <w:rFonts w:ascii="Times New Roman" w:hAnsi="Times New Roman" w:cs="Times New Roman"/>
                <w:kern w:val="0"/>
              </w:rPr>
            </w:pPr>
            <w:r>
              <w:rPr>
                <w:rFonts w:ascii="Times New Roman" w:hAnsi="Times New Roman" w:cs="Times New Roman"/>
                <w:kern w:val="0"/>
              </w:rPr>
              <w:t xml:space="preserve">3,441.69 </w:t>
            </w:r>
          </w:p>
        </w:tc>
        <w:tc>
          <w:tcPr>
            <w:tcW w:w="692" w:type="pct"/>
            <w:tcBorders>
              <w:tl2br w:val="nil"/>
              <w:tr2bl w:val="nil"/>
            </w:tcBorders>
            <w:shd w:val="clear" w:color="auto" w:fill="FFFFFF" w:themeFill="background1"/>
            <w:noWrap/>
            <w:vAlign w:val="center"/>
          </w:tcPr>
          <w:p w14:paraId="1F1B91B6">
            <w:pPr>
              <w:pStyle w:val="15"/>
              <w:spacing w:line="480" w:lineRule="auto"/>
              <w:rPr>
                <w:rFonts w:ascii="Times New Roman" w:hAnsi="Times New Roman" w:cs="Times New Roman"/>
                <w:kern w:val="0"/>
              </w:rPr>
            </w:pPr>
            <w:r>
              <w:rPr>
                <w:rFonts w:ascii="Times New Roman" w:hAnsi="Times New Roman" w:cs="Times New Roman"/>
                <w:kern w:val="0"/>
              </w:rPr>
              <w:t xml:space="preserve">8,625.81 </w:t>
            </w:r>
          </w:p>
        </w:tc>
        <w:tc>
          <w:tcPr>
            <w:tcW w:w="621" w:type="pct"/>
            <w:tcBorders>
              <w:tl2br w:val="nil"/>
              <w:tr2bl w:val="nil"/>
            </w:tcBorders>
            <w:shd w:val="clear" w:color="auto" w:fill="FFFFFF" w:themeFill="background1"/>
            <w:noWrap/>
            <w:vAlign w:val="center"/>
          </w:tcPr>
          <w:p w14:paraId="7FB1AB76">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5E0BBE7C">
            <w:pPr>
              <w:pStyle w:val="15"/>
              <w:spacing w:line="480" w:lineRule="auto"/>
              <w:rPr>
                <w:rFonts w:ascii="Times New Roman" w:hAnsi="Times New Roman" w:cs="Times New Roman"/>
                <w:kern w:val="0"/>
              </w:rPr>
            </w:pPr>
            <w:r>
              <w:rPr>
                <w:rFonts w:ascii="Times New Roman" w:hAnsi="Times New Roman" w:cs="Times New Roman"/>
                <w:kern w:val="0"/>
              </w:rPr>
              <w:t xml:space="preserve">3.0000 </w:t>
            </w:r>
          </w:p>
        </w:tc>
      </w:tr>
      <w:tr w14:paraId="58D63A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6477799E">
            <w:pPr>
              <w:pStyle w:val="15"/>
              <w:spacing w:line="480" w:lineRule="auto"/>
              <w:rPr>
                <w:rFonts w:ascii="Times New Roman" w:hAnsi="Times New Roman" w:cs="Times New Roman"/>
                <w:kern w:val="0"/>
              </w:rPr>
            </w:pPr>
            <w:r>
              <w:rPr>
                <w:rFonts w:ascii="Times New Roman" w:hAnsi="Times New Roman" w:cs="Times New Roman"/>
                <w:kern w:val="0"/>
              </w:rPr>
              <w:t>Oral esophageal candidiasis</w:t>
            </w:r>
          </w:p>
        </w:tc>
        <w:tc>
          <w:tcPr>
            <w:tcW w:w="555" w:type="pct"/>
            <w:tcBorders>
              <w:tl2br w:val="nil"/>
              <w:tr2bl w:val="nil"/>
            </w:tcBorders>
            <w:shd w:val="clear" w:color="auto" w:fill="FFFFFF" w:themeFill="background1"/>
            <w:noWrap/>
            <w:vAlign w:val="center"/>
          </w:tcPr>
          <w:p w14:paraId="568191AA">
            <w:pPr>
              <w:pStyle w:val="15"/>
              <w:spacing w:line="480" w:lineRule="auto"/>
              <w:rPr>
                <w:rFonts w:ascii="Times New Roman" w:hAnsi="Times New Roman" w:cs="Times New Roman"/>
                <w:kern w:val="0"/>
              </w:rPr>
            </w:pPr>
            <w:r>
              <w:rPr>
                <w:rFonts w:ascii="Times New Roman" w:hAnsi="Times New Roman" w:cs="Times New Roman"/>
                <w:kern w:val="0"/>
              </w:rPr>
              <w:t xml:space="preserve">0.0900 </w:t>
            </w:r>
          </w:p>
        </w:tc>
        <w:tc>
          <w:tcPr>
            <w:tcW w:w="507" w:type="pct"/>
            <w:tcBorders>
              <w:tl2br w:val="nil"/>
              <w:tr2bl w:val="nil"/>
            </w:tcBorders>
            <w:shd w:val="clear" w:color="auto" w:fill="FFFFFF" w:themeFill="background1"/>
            <w:noWrap/>
            <w:vAlign w:val="center"/>
          </w:tcPr>
          <w:p w14:paraId="43BE1CD8">
            <w:pPr>
              <w:pStyle w:val="15"/>
              <w:spacing w:line="480" w:lineRule="auto"/>
              <w:rPr>
                <w:rFonts w:ascii="Times New Roman" w:hAnsi="Times New Roman" w:cs="Times New Roman"/>
                <w:kern w:val="0"/>
              </w:rPr>
            </w:pPr>
            <w:r>
              <w:rPr>
                <w:rFonts w:ascii="Times New Roman" w:hAnsi="Times New Roman" w:cs="Times New Roman"/>
                <w:kern w:val="0"/>
              </w:rPr>
              <w:t xml:space="preserve">0.0903 </w:t>
            </w:r>
          </w:p>
        </w:tc>
        <w:tc>
          <w:tcPr>
            <w:tcW w:w="992" w:type="dxa"/>
            <w:tcBorders>
              <w:tl2br w:val="nil"/>
              <w:tr2bl w:val="nil"/>
            </w:tcBorders>
            <w:shd w:val="clear" w:color="auto" w:fill="FFFFFF" w:themeFill="background1"/>
            <w:noWrap/>
            <w:vAlign w:val="center"/>
          </w:tcPr>
          <w:p w14:paraId="6F656E7F">
            <w:pPr>
              <w:pStyle w:val="15"/>
              <w:spacing w:line="480" w:lineRule="auto"/>
              <w:rPr>
                <w:rFonts w:ascii="Times New Roman" w:hAnsi="Times New Roman" w:cs="Times New Roman"/>
                <w:kern w:val="0"/>
              </w:rPr>
            </w:pPr>
            <w:r>
              <w:rPr>
                <w:rFonts w:ascii="Times New Roman" w:hAnsi="Times New Roman" w:cs="Times New Roman"/>
                <w:kern w:val="0"/>
              </w:rPr>
              <w:t xml:space="preserve">3,781.49 </w:t>
            </w:r>
          </w:p>
        </w:tc>
        <w:tc>
          <w:tcPr>
            <w:tcW w:w="692" w:type="pct"/>
            <w:tcBorders>
              <w:tl2br w:val="nil"/>
              <w:tr2bl w:val="nil"/>
            </w:tcBorders>
            <w:shd w:val="clear" w:color="auto" w:fill="FFFFFF" w:themeFill="background1"/>
            <w:noWrap/>
            <w:vAlign w:val="center"/>
          </w:tcPr>
          <w:p w14:paraId="214CEAC9">
            <w:pPr>
              <w:pStyle w:val="15"/>
              <w:spacing w:line="480" w:lineRule="auto"/>
              <w:rPr>
                <w:rFonts w:ascii="Times New Roman" w:hAnsi="Times New Roman" w:cs="Times New Roman"/>
                <w:kern w:val="0"/>
              </w:rPr>
            </w:pPr>
            <w:r>
              <w:rPr>
                <w:rFonts w:ascii="Times New Roman" w:hAnsi="Times New Roman" w:cs="Times New Roman"/>
                <w:kern w:val="0"/>
              </w:rPr>
              <w:t xml:space="preserve">9,477.42 </w:t>
            </w:r>
          </w:p>
        </w:tc>
        <w:tc>
          <w:tcPr>
            <w:tcW w:w="621" w:type="pct"/>
            <w:tcBorders>
              <w:tl2br w:val="nil"/>
              <w:tr2bl w:val="nil"/>
            </w:tcBorders>
            <w:shd w:val="clear" w:color="auto" w:fill="FFFFFF" w:themeFill="background1"/>
            <w:noWrap/>
            <w:vAlign w:val="center"/>
          </w:tcPr>
          <w:p w14:paraId="1ED7E32F">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5B334476">
            <w:pPr>
              <w:pStyle w:val="15"/>
              <w:spacing w:line="480" w:lineRule="auto"/>
              <w:rPr>
                <w:rFonts w:ascii="Times New Roman" w:hAnsi="Times New Roman" w:cs="Times New Roman"/>
                <w:kern w:val="0"/>
              </w:rPr>
            </w:pPr>
            <w:r>
              <w:rPr>
                <w:rFonts w:ascii="Times New Roman" w:hAnsi="Times New Roman" w:cs="Times New Roman"/>
                <w:kern w:val="0"/>
              </w:rPr>
              <w:t xml:space="preserve">3.0000 </w:t>
            </w:r>
          </w:p>
        </w:tc>
      </w:tr>
      <w:tr w14:paraId="66D7D3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D8201D3">
            <w:pPr>
              <w:pStyle w:val="15"/>
              <w:spacing w:line="480" w:lineRule="auto"/>
              <w:rPr>
                <w:rFonts w:ascii="Times New Roman" w:hAnsi="Times New Roman" w:cs="Times New Roman"/>
                <w:kern w:val="0"/>
              </w:rPr>
            </w:pPr>
            <w:r>
              <w:rPr>
                <w:rFonts w:ascii="Times New Roman" w:hAnsi="Times New Roman" w:cs="Times New Roman"/>
                <w:kern w:val="0"/>
              </w:rPr>
              <w:t>Histoplasmosis</w:t>
            </w:r>
          </w:p>
        </w:tc>
        <w:tc>
          <w:tcPr>
            <w:tcW w:w="555" w:type="pct"/>
            <w:tcBorders>
              <w:tl2br w:val="nil"/>
              <w:tr2bl w:val="nil"/>
            </w:tcBorders>
            <w:shd w:val="clear" w:color="auto" w:fill="FFFFFF" w:themeFill="background1"/>
            <w:noWrap/>
            <w:vAlign w:val="center"/>
          </w:tcPr>
          <w:p w14:paraId="6F8CC7B4">
            <w:pPr>
              <w:pStyle w:val="15"/>
              <w:spacing w:line="480" w:lineRule="auto"/>
              <w:rPr>
                <w:rFonts w:ascii="Times New Roman" w:hAnsi="Times New Roman" w:cs="Times New Roman"/>
                <w:kern w:val="0"/>
              </w:rPr>
            </w:pPr>
            <w:r>
              <w:rPr>
                <w:rFonts w:ascii="Times New Roman" w:hAnsi="Times New Roman" w:cs="Times New Roman"/>
                <w:kern w:val="0"/>
              </w:rPr>
              <w:t xml:space="preserve">0.0030 </w:t>
            </w:r>
          </w:p>
        </w:tc>
        <w:tc>
          <w:tcPr>
            <w:tcW w:w="507" w:type="pct"/>
            <w:tcBorders>
              <w:tl2br w:val="nil"/>
              <w:tr2bl w:val="nil"/>
            </w:tcBorders>
            <w:shd w:val="clear" w:color="auto" w:fill="FFFFFF" w:themeFill="background1"/>
            <w:noWrap/>
            <w:vAlign w:val="center"/>
          </w:tcPr>
          <w:p w14:paraId="06D62C3F">
            <w:pPr>
              <w:pStyle w:val="15"/>
              <w:spacing w:line="480" w:lineRule="auto"/>
              <w:rPr>
                <w:rFonts w:ascii="Times New Roman" w:hAnsi="Times New Roman" w:cs="Times New Roman"/>
                <w:kern w:val="0"/>
              </w:rPr>
            </w:pPr>
            <w:r>
              <w:rPr>
                <w:rFonts w:ascii="Times New Roman" w:hAnsi="Times New Roman" w:cs="Times New Roman"/>
                <w:kern w:val="0"/>
              </w:rPr>
              <w:t xml:space="preserve">0.0030 </w:t>
            </w:r>
          </w:p>
        </w:tc>
        <w:tc>
          <w:tcPr>
            <w:tcW w:w="992" w:type="dxa"/>
            <w:tcBorders>
              <w:tl2br w:val="nil"/>
              <w:tr2bl w:val="nil"/>
            </w:tcBorders>
            <w:shd w:val="clear" w:color="auto" w:fill="FFFFFF" w:themeFill="background1"/>
            <w:noWrap/>
            <w:vAlign w:val="center"/>
          </w:tcPr>
          <w:p w14:paraId="616C1712">
            <w:pPr>
              <w:pStyle w:val="15"/>
              <w:spacing w:line="480" w:lineRule="auto"/>
              <w:rPr>
                <w:rFonts w:ascii="Times New Roman" w:hAnsi="Times New Roman" w:cs="Times New Roman"/>
                <w:kern w:val="0"/>
              </w:rPr>
            </w:pPr>
            <w:r>
              <w:rPr>
                <w:rFonts w:ascii="Times New Roman" w:hAnsi="Times New Roman" w:cs="Times New Roman"/>
                <w:kern w:val="0"/>
              </w:rPr>
              <w:t xml:space="preserve">26,061.12 </w:t>
            </w:r>
          </w:p>
        </w:tc>
        <w:tc>
          <w:tcPr>
            <w:tcW w:w="692" w:type="pct"/>
            <w:tcBorders>
              <w:tl2br w:val="nil"/>
              <w:tr2bl w:val="nil"/>
            </w:tcBorders>
            <w:shd w:val="clear" w:color="auto" w:fill="FFFFFF" w:themeFill="background1"/>
            <w:noWrap/>
            <w:vAlign w:val="center"/>
          </w:tcPr>
          <w:p w14:paraId="0ABDF17F">
            <w:pPr>
              <w:pStyle w:val="15"/>
              <w:spacing w:line="480" w:lineRule="auto"/>
              <w:rPr>
                <w:rFonts w:ascii="Times New Roman" w:hAnsi="Times New Roman" w:cs="Times New Roman"/>
                <w:kern w:val="0"/>
              </w:rPr>
            </w:pPr>
            <w:r>
              <w:rPr>
                <w:rFonts w:ascii="Times New Roman" w:hAnsi="Times New Roman" w:cs="Times New Roman"/>
                <w:kern w:val="0"/>
              </w:rPr>
              <w:t xml:space="preserve">65,316.13 </w:t>
            </w:r>
          </w:p>
        </w:tc>
        <w:tc>
          <w:tcPr>
            <w:tcW w:w="621" w:type="pct"/>
            <w:tcBorders>
              <w:tl2br w:val="nil"/>
              <w:tr2bl w:val="nil"/>
            </w:tcBorders>
            <w:shd w:val="clear" w:color="auto" w:fill="FFFFFF" w:themeFill="background1"/>
            <w:noWrap/>
            <w:vAlign w:val="center"/>
          </w:tcPr>
          <w:p w14:paraId="33E65474">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2642AC47">
            <w:pPr>
              <w:pStyle w:val="15"/>
              <w:spacing w:line="480" w:lineRule="auto"/>
              <w:rPr>
                <w:rFonts w:ascii="Times New Roman" w:hAnsi="Times New Roman" w:cs="Times New Roman"/>
                <w:kern w:val="0"/>
              </w:rPr>
            </w:pPr>
            <w:r>
              <w:rPr>
                <w:rFonts w:ascii="Times New Roman" w:hAnsi="Times New Roman" w:cs="Times New Roman"/>
                <w:kern w:val="0"/>
              </w:rPr>
              <w:t xml:space="preserve">3.0000 </w:t>
            </w:r>
          </w:p>
        </w:tc>
      </w:tr>
      <w:tr w14:paraId="3D1380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00E7CEB5">
            <w:pPr>
              <w:pStyle w:val="15"/>
              <w:spacing w:line="480" w:lineRule="auto"/>
              <w:rPr>
                <w:rFonts w:ascii="Times New Roman" w:hAnsi="Times New Roman" w:cs="Times New Roman"/>
                <w:kern w:val="0"/>
              </w:rPr>
            </w:pPr>
            <w:r>
              <w:rPr>
                <w:rFonts w:ascii="Times New Roman" w:hAnsi="Times New Roman" w:cs="Times New Roman"/>
                <w:kern w:val="0"/>
              </w:rPr>
              <w:t>PCP</w:t>
            </w:r>
          </w:p>
        </w:tc>
        <w:tc>
          <w:tcPr>
            <w:tcW w:w="555" w:type="pct"/>
            <w:tcBorders>
              <w:tl2br w:val="nil"/>
              <w:tr2bl w:val="nil"/>
            </w:tcBorders>
            <w:shd w:val="clear" w:color="auto" w:fill="FFFFFF" w:themeFill="background1"/>
            <w:noWrap/>
            <w:vAlign w:val="center"/>
          </w:tcPr>
          <w:p w14:paraId="57F1AE2C">
            <w:pPr>
              <w:pStyle w:val="15"/>
              <w:spacing w:line="480" w:lineRule="auto"/>
              <w:rPr>
                <w:rFonts w:ascii="Times New Roman" w:hAnsi="Times New Roman" w:cs="Times New Roman"/>
                <w:kern w:val="0"/>
              </w:rPr>
            </w:pPr>
            <w:r>
              <w:rPr>
                <w:rFonts w:ascii="Times New Roman" w:hAnsi="Times New Roman" w:cs="Times New Roman"/>
                <w:kern w:val="0"/>
              </w:rPr>
              <w:t xml:space="preserve">0.2010 </w:t>
            </w:r>
          </w:p>
        </w:tc>
        <w:tc>
          <w:tcPr>
            <w:tcW w:w="507" w:type="pct"/>
            <w:tcBorders>
              <w:tl2br w:val="nil"/>
              <w:tr2bl w:val="nil"/>
            </w:tcBorders>
            <w:shd w:val="clear" w:color="auto" w:fill="FFFFFF" w:themeFill="background1"/>
            <w:noWrap/>
            <w:vAlign w:val="center"/>
          </w:tcPr>
          <w:p w14:paraId="6DB3C592">
            <w:pPr>
              <w:pStyle w:val="15"/>
              <w:spacing w:line="480" w:lineRule="auto"/>
              <w:rPr>
                <w:rFonts w:ascii="Times New Roman" w:hAnsi="Times New Roman" w:cs="Times New Roman"/>
                <w:kern w:val="0"/>
              </w:rPr>
            </w:pPr>
            <w:r>
              <w:rPr>
                <w:rFonts w:ascii="Times New Roman" w:hAnsi="Times New Roman" w:cs="Times New Roman"/>
                <w:kern w:val="0"/>
              </w:rPr>
              <w:t xml:space="preserve">0.2016 </w:t>
            </w:r>
          </w:p>
        </w:tc>
        <w:tc>
          <w:tcPr>
            <w:tcW w:w="992" w:type="dxa"/>
            <w:tcBorders>
              <w:tl2br w:val="nil"/>
              <w:tr2bl w:val="nil"/>
            </w:tcBorders>
            <w:shd w:val="clear" w:color="auto" w:fill="FFFFFF" w:themeFill="background1"/>
            <w:noWrap/>
            <w:vAlign w:val="center"/>
          </w:tcPr>
          <w:p w14:paraId="24AF5373">
            <w:pPr>
              <w:pStyle w:val="15"/>
              <w:spacing w:line="480" w:lineRule="auto"/>
              <w:rPr>
                <w:rFonts w:ascii="Times New Roman" w:hAnsi="Times New Roman" w:cs="Times New Roman"/>
                <w:kern w:val="0"/>
              </w:rPr>
            </w:pPr>
            <w:r>
              <w:rPr>
                <w:rFonts w:ascii="Times New Roman" w:hAnsi="Times New Roman" w:cs="Times New Roman"/>
                <w:kern w:val="0"/>
              </w:rPr>
              <w:t xml:space="preserve">3,654.07 </w:t>
            </w:r>
          </w:p>
        </w:tc>
        <w:tc>
          <w:tcPr>
            <w:tcW w:w="692" w:type="pct"/>
            <w:tcBorders>
              <w:tl2br w:val="nil"/>
              <w:tr2bl w:val="nil"/>
            </w:tcBorders>
            <w:shd w:val="clear" w:color="auto" w:fill="FFFFFF" w:themeFill="background1"/>
            <w:noWrap/>
            <w:vAlign w:val="center"/>
          </w:tcPr>
          <w:p w14:paraId="75211B58">
            <w:pPr>
              <w:pStyle w:val="15"/>
              <w:spacing w:line="480" w:lineRule="auto"/>
              <w:rPr>
                <w:rFonts w:ascii="Times New Roman" w:hAnsi="Times New Roman" w:cs="Times New Roman"/>
                <w:kern w:val="0"/>
              </w:rPr>
            </w:pPr>
            <w:r>
              <w:rPr>
                <w:rFonts w:ascii="Times New Roman" w:hAnsi="Times New Roman" w:cs="Times New Roman"/>
                <w:kern w:val="0"/>
              </w:rPr>
              <w:t xml:space="preserve">9,158.06 </w:t>
            </w:r>
          </w:p>
        </w:tc>
        <w:tc>
          <w:tcPr>
            <w:tcW w:w="621" w:type="pct"/>
            <w:tcBorders>
              <w:tl2br w:val="nil"/>
              <w:tr2bl w:val="nil"/>
            </w:tcBorders>
            <w:shd w:val="clear" w:color="auto" w:fill="FFFFFF" w:themeFill="background1"/>
            <w:noWrap/>
            <w:vAlign w:val="center"/>
          </w:tcPr>
          <w:p w14:paraId="1223047E">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6470239F">
            <w:pPr>
              <w:pStyle w:val="15"/>
              <w:spacing w:line="480" w:lineRule="auto"/>
              <w:rPr>
                <w:rFonts w:ascii="Times New Roman" w:hAnsi="Times New Roman" w:cs="Times New Roman"/>
                <w:kern w:val="0"/>
              </w:rPr>
            </w:pPr>
            <w:r>
              <w:rPr>
                <w:rFonts w:ascii="Times New Roman" w:hAnsi="Times New Roman" w:cs="Times New Roman"/>
                <w:kern w:val="0"/>
              </w:rPr>
              <w:t xml:space="preserve">1.0000 </w:t>
            </w:r>
          </w:p>
        </w:tc>
      </w:tr>
      <w:tr w14:paraId="28EAD7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3031A9A3">
            <w:pPr>
              <w:pStyle w:val="15"/>
              <w:spacing w:line="480" w:lineRule="auto"/>
              <w:rPr>
                <w:rFonts w:ascii="Times New Roman" w:hAnsi="Times New Roman" w:cs="Times New Roman"/>
                <w:kern w:val="0"/>
              </w:rPr>
            </w:pPr>
            <w:r>
              <w:rPr>
                <w:rFonts w:ascii="Times New Roman" w:hAnsi="Times New Roman" w:cs="Times New Roman"/>
                <w:kern w:val="0"/>
              </w:rPr>
              <w:t>Pneumonia</w:t>
            </w:r>
          </w:p>
        </w:tc>
        <w:tc>
          <w:tcPr>
            <w:tcW w:w="555" w:type="pct"/>
            <w:tcBorders>
              <w:tl2br w:val="nil"/>
              <w:tr2bl w:val="nil"/>
            </w:tcBorders>
            <w:shd w:val="clear" w:color="auto" w:fill="FFFFFF" w:themeFill="background1"/>
            <w:noWrap/>
            <w:vAlign w:val="center"/>
          </w:tcPr>
          <w:p w14:paraId="7C45B138">
            <w:pPr>
              <w:pStyle w:val="15"/>
              <w:spacing w:line="480" w:lineRule="auto"/>
              <w:rPr>
                <w:rFonts w:ascii="Times New Roman" w:hAnsi="Times New Roman" w:cs="Times New Roman"/>
                <w:kern w:val="0"/>
              </w:rPr>
            </w:pPr>
            <w:r>
              <w:rPr>
                <w:rFonts w:ascii="Times New Roman" w:hAnsi="Times New Roman" w:cs="Times New Roman"/>
                <w:kern w:val="0"/>
              </w:rPr>
              <w:t xml:space="preserve">0.1300 </w:t>
            </w:r>
          </w:p>
        </w:tc>
        <w:tc>
          <w:tcPr>
            <w:tcW w:w="507" w:type="pct"/>
            <w:tcBorders>
              <w:tl2br w:val="nil"/>
              <w:tr2bl w:val="nil"/>
            </w:tcBorders>
            <w:shd w:val="clear" w:color="auto" w:fill="FFFFFF" w:themeFill="background1"/>
            <w:noWrap/>
            <w:vAlign w:val="center"/>
          </w:tcPr>
          <w:p w14:paraId="18ACBDD6">
            <w:pPr>
              <w:pStyle w:val="15"/>
              <w:spacing w:line="480" w:lineRule="auto"/>
              <w:rPr>
                <w:rFonts w:ascii="Times New Roman" w:hAnsi="Times New Roman" w:cs="Times New Roman"/>
                <w:kern w:val="0"/>
              </w:rPr>
            </w:pPr>
            <w:r>
              <w:rPr>
                <w:rFonts w:ascii="Times New Roman" w:hAnsi="Times New Roman" w:cs="Times New Roman"/>
                <w:kern w:val="0"/>
              </w:rPr>
              <w:t xml:space="preserve">0.1304 </w:t>
            </w:r>
          </w:p>
        </w:tc>
        <w:tc>
          <w:tcPr>
            <w:tcW w:w="992" w:type="dxa"/>
            <w:tcBorders>
              <w:tl2br w:val="nil"/>
              <w:tr2bl w:val="nil"/>
            </w:tcBorders>
            <w:shd w:val="clear" w:color="auto" w:fill="FFFFFF" w:themeFill="background1"/>
            <w:noWrap/>
            <w:vAlign w:val="center"/>
          </w:tcPr>
          <w:p w14:paraId="35FB8466">
            <w:pPr>
              <w:pStyle w:val="15"/>
              <w:spacing w:line="480" w:lineRule="auto"/>
              <w:rPr>
                <w:rFonts w:ascii="Times New Roman" w:hAnsi="Times New Roman" w:cs="Times New Roman"/>
                <w:kern w:val="0"/>
              </w:rPr>
            </w:pPr>
            <w:r>
              <w:rPr>
                <w:rFonts w:ascii="Times New Roman" w:hAnsi="Times New Roman" w:cs="Times New Roman"/>
                <w:kern w:val="0"/>
              </w:rPr>
              <w:t xml:space="preserve">8,097.12 </w:t>
            </w:r>
          </w:p>
        </w:tc>
        <w:tc>
          <w:tcPr>
            <w:tcW w:w="692" w:type="pct"/>
            <w:tcBorders>
              <w:tl2br w:val="nil"/>
              <w:tr2bl w:val="nil"/>
            </w:tcBorders>
            <w:shd w:val="clear" w:color="auto" w:fill="FFFFFF" w:themeFill="background1"/>
            <w:noWrap/>
            <w:vAlign w:val="center"/>
          </w:tcPr>
          <w:p w14:paraId="0D1305BD">
            <w:pPr>
              <w:pStyle w:val="15"/>
              <w:spacing w:line="480" w:lineRule="auto"/>
              <w:rPr>
                <w:rFonts w:ascii="Times New Roman" w:hAnsi="Times New Roman" w:cs="Times New Roman"/>
                <w:kern w:val="0"/>
              </w:rPr>
            </w:pPr>
            <w:r>
              <w:rPr>
                <w:rFonts w:ascii="Times New Roman" w:hAnsi="Times New Roman" w:cs="Times New Roman"/>
                <w:kern w:val="0"/>
              </w:rPr>
              <w:t xml:space="preserve">20,293.55 </w:t>
            </w:r>
          </w:p>
        </w:tc>
        <w:tc>
          <w:tcPr>
            <w:tcW w:w="621" w:type="pct"/>
            <w:tcBorders>
              <w:tl2br w:val="nil"/>
              <w:tr2bl w:val="nil"/>
            </w:tcBorders>
            <w:shd w:val="clear" w:color="auto" w:fill="FFFFFF" w:themeFill="background1"/>
            <w:noWrap/>
            <w:vAlign w:val="center"/>
          </w:tcPr>
          <w:p w14:paraId="2DCFDE7B">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1A96DEB7">
            <w:pPr>
              <w:pStyle w:val="15"/>
              <w:spacing w:line="480" w:lineRule="auto"/>
              <w:rPr>
                <w:rFonts w:ascii="Times New Roman" w:hAnsi="Times New Roman" w:cs="Times New Roman"/>
                <w:kern w:val="0"/>
              </w:rPr>
            </w:pPr>
            <w:r>
              <w:rPr>
                <w:rFonts w:ascii="Times New Roman" w:hAnsi="Times New Roman" w:cs="Times New Roman"/>
                <w:kern w:val="0"/>
              </w:rPr>
              <w:t xml:space="preserve">1.0000 </w:t>
            </w:r>
          </w:p>
        </w:tc>
      </w:tr>
      <w:tr w14:paraId="3388D3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545F7B27">
            <w:pPr>
              <w:pStyle w:val="15"/>
              <w:spacing w:line="480" w:lineRule="auto"/>
              <w:rPr>
                <w:rFonts w:ascii="Times New Roman" w:hAnsi="Times New Roman" w:cs="Times New Roman"/>
                <w:kern w:val="0"/>
              </w:rPr>
            </w:pPr>
            <w:r>
              <w:rPr>
                <w:rFonts w:ascii="Times New Roman" w:hAnsi="Times New Roman" w:cs="Times New Roman"/>
                <w:kern w:val="0"/>
              </w:rPr>
              <w:t>Salmonella sepsis</w:t>
            </w:r>
          </w:p>
        </w:tc>
        <w:tc>
          <w:tcPr>
            <w:tcW w:w="555" w:type="pct"/>
            <w:tcBorders>
              <w:tl2br w:val="nil"/>
              <w:tr2bl w:val="nil"/>
            </w:tcBorders>
            <w:shd w:val="clear" w:color="auto" w:fill="FFFFFF" w:themeFill="background1"/>
            <w:noWrap/>
            <w:vAlign w:val="center"/>
          </w:tcPr>
          <w:p w14:paraId="6E04796E">
            <w:pPr>
              <w:pStyle w:val="15"/>
              <w:spacing w:line="480" w:lineRule="auto"/>
              <w:rPr>
                <w:rFonts w:ascii="Times New Roman" w:hAnsi="Times New Roman" w:cs="Times New Roman"/>
                <w:kern w:val="0"/>
              </w:rPr>
            </w:pPr>
            <w:r>
              <w:rPr>
                <w:rFonts w:ascii="Times New Roman" w:hAnsi="Times New Roman" w:cs="Times New Roman"/>
                <w:kern w:val="0"/>
              </w:rPr>
              <w:t xml:space="preserve">0.0020 </w:t>
            </w:r>
          </w:p>
        </w:tc>
        <w:tc>
          <w:tcPr>
            <w:tcW w:w="507" w:type="pct"/>
            <w:tcBorders>
              <w:tl2br w:val="nil"/>
              <w:tr2bl w:val="nil"/>
            </w:tcBorders>
            <w:shd w:val="clear" w:color="auto" w:fill="FFFFFF" w:themeFill="background1"/>
            <w:noWrap/>
            <w:vAlign w:val="center"/>
          </w:tcPr>
          <w:p w14:paraId="3CB3713D">
            <w:pPr>
              <w:pStyle w:val="15"/>
              <w:spacing w:line="480" w:lineRule="auto"/>
              <w:rPr>
                <w:rFonts w:ascii="Times New Roman" w:hAnsi="Times New Roman" w:cs="Times New Roman"/>
                <w:kern w:val="0"/>
              </w:rPr>
            </w:pPr>
            <w:r>
              <w:rPr>
                <w:rFonts w:ascii="Times New Roman" w:hAnsi="Times New Roman" w:cs="Times New Roman"/>
                <w:kern w:val="0"/>
              </w:rPr>
              <w:t xml:space="preserve">0.0020 </w:t>
            </w:r>
          </w:p>
        </w:tc>
        <w:tc>
          <w:tcPr>
            <w:tcW w:w="992" w:type="dxa"/>
            <w:tcBorders>
              <w:tl2br w:val="nil"/>
              <w:tr2bl w:val="nil"/>
            </w:tcBorders>
            <w:shd w:val="clear" w:color="auto" w:fill="FFFFFF" w:themeFill="background1"/>
            <w:noWrap/>
            <w:vAlign w:val="center"/>
          </w:tcPr>
          <w:p w14:paraId="4B0C09CD">
            <w:pPr>
              <w:pStyle w:val="15"/>
              <w:spacing w:line="480" w:lineRule="auto"/>
              <w:rPr>
                <w:rFonts w:ascii="Times New Roman" w:hAnsi="Times New Roman" w:cs="Times New Roman"/>
                <w:kern w:val="0"/>
              </w:rPr>
            </w:pPr>
            <w:r>
              <w:rPr>
                <w:rFonts w:ascii="Times New Roman" w:hAnsi="Times New Roman" w:cs="Times New Roman"/>
                <w:kern w:val="0"/>
              </w:rPr>
              <w:t xml:space="preserve">5,208.88 </w:t>
            </w:r>
          </w:p>
        </w:tc>
        <w:tc>
          <w:tcPr>
            <w:tcW w:w="692" w:type="pct"/>
            <w:tcBorders>
              <w:tl2br w:val="nil"/>
              <w:tr2bl w:val="nil"/>
            </w:tcBorders>
            <w:shd w:val="clear" w:color="auto" w:fill="FFFFFF" w:themeFill="background1"/>
            <w:noWrap/>
            <w:vAlign w:val="center"/>
          </w:tcPr>
          <w:p w14:paraId="27E0D2BE">
            <w:pPr>
              <w:pStyle w:val="15"/>
              <w:spacing w:line="480" w:lineRule="auto"/>
              <w:rPr>
                <w:rFonts w:ascii="Times New Roman" w:hAnsi="Times New Roman" w:cs="Times New Roman"/>
                <w:kern w:val="0"/>
              </w:rPr>
            </w:pPr>
            <w:r>
              <w:rPr>
                <w:rFonts w:ascii="Times New Roman" w:hAnsi="Times New Roman" w:cs="Times New Roman"/>
                <w:kern w:val="0"/>
              </w:rPr>
              <w:t xml:space="preserve">13,054.84 </w:t>
            </w:r>
          </w:p>
        </w:tc>
        <w:tc>
          <w:tcPr>
            <w:tcW w:w="621" w:type="pct"/>
            <w:tcBorders>
              <w:tl2br w:val="nil"/>
              <w:tr2bl w:val="nil"/>
            </w:tcBorders>
            <w:shd w:val="clear" w:color="auto" w:fill="FFFFFF" w:themeFill="background1"/>
            <w:noWrap/>
            <w:vAlign w:val="center"/>
          </w:tcPr>
          <w:p w14:paraId="7701919F">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123C6F5C">
            <w:pPr>
              <w:pStyle w:val="15"/>
              <w:spacing w:line="480" w:lineRule="auto"/>
              <w:rPr>
                <w:rFonts w:ascii="Times New Roman" w:hAnsi="Times New Roman" w:cs="Times New Roman"/>
                <w:kern w:val="0"/>
              </w:rPr>
            </w:pPr>
            <w:r>
              <w:rPr>
                <w:rFonts w:ascii="Times New Roman" w:hAnsi="Times New Roman" w:cs="Times New Roman"/>
                <w:kern w:val="0"/>
              </w:rPr>
              <w:t xml:space="preserve">4.0000 </w:t>
            </w:r>
          </w:p>
        </w:tc>
      </w:tr>
      <w:tr w14:paraId="5A5721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331F581">
            <w:pPr>
              <w:pStyle w:val="15"/>
              <w:spacing w:line="480" w:lineRule="auto"/>
              <w:rPr>
                <w:rFonts w:ascii="Times New Roman" w:hAnsi="Times New Roman" w:cs="Times New Roman"/>
                <w:kern w:val="0"/>
              </w:rPr>
            </w:pPr>
            <w:r>
              <w:rPr>
                <w:rFonts w:ascii="Times New Roman" w:hAnsi="Times New Roman" w:cs="Times New Roman"/>
                <w:kern w:val="0"/>
              </w:rPr>
              <w:t>Tuberculosis</w:t>
            </w:r>
          </w:p>
        </w:tc>
        <w:tc>
          <w:tcPr>
            <w:tcW w:w="555" w:type="pct"/>
            <w:tcBorders>
              <w:tl2br w:val="nil"/>
              <w:tr2bl w:val="nil"/>
            </w:tcBorders>
            <w:shd w:val="clear" w:color="auto" w:fill="FFFFFF" w:themeFill="background1"/>
            <w:noWrap/>
            <w:vAlign w:val="center"/>
          </w:tcPr>
          <w:p w14:paraId="4EA418C6">
            <w:pPr>
              <w:pStyle w:val="15"/>
              <w:spacing w:line="480" w:lineRule="auto"/>
              <w:rPr>
                <w:rFonts w:ascii="Times New Roman" w:hAnsi="Times New Roman" w:cs="Times New Roman"/>
                <w:kern w:val="0"/>
              </w:rPr>
            </w:pPr>
            <w:r>
              <w:rPr>
                <w:rFonts w:ascii="Times New Roman" w:hAnsi="Times New Roman" w:cs="Times New Roman"/>
                <w:kern w:val="0"/>
              </w:rPr>
              <w:t xml:space="preserve">0.0490 </w:t>
            </w:r>
          </w:p>
        </w:tc>
        <w:tc>
          <w:tcPr>
            <w:tcW w:w="507" w:type="pct"/>
            <w:tcBorders>
              <w:tl2br w:val="nil"/>
              <w:tr2bl w:val="nil"/>
            </w:tcBorders>
            <w:shd w:val="clear" w:color="auto" w:fill="FFFFFF" w:themeFill="background1"/>
            <w:noWrap/>
            <w:vAlign w:val="center"/>
          </w:tcPr>
          <w:p w14:paraId="085745A4">
            <w:pPr>
              <w:pStyle w:val="15"/>
              <w:spacing w:line="480" w:lineRule="auto"/>
              <w:rPr>
                <w:rFonts w:ascii="Times New Roman" w:hAnsi="Times New Roman" w:cs="Times New Roman"/>
                <w:kern w:val="0"/>
              </w:rPr>
            </w:pPr>
            <w:r>
              <w:rPr>
                <w:rFonts w:ascii="Times New Roman" w:hAnsi="Times New Roman" w:cs="Times New Roman"/>
                <w:kern w:val="0"/>
              </w:rPr>
              <w:t xml:space="preserve">0.0491 </w:t>
            </w:r>
          </w:p>
        </w:tc>
        <w:tc>
          <w:tcPr>
            <w:tcW w:w="992" w:type="dxa"/>
            <w:tcBorders>
              <w:tl2br w:val="nil"/>
              <w:tr2bl w:val="nil"/>
            </w:tcBorders>
            <w:shd w:val="clear" w:color="auto" w:fill="FFFFFF" w:themeFill="background1"/>
            <w:noWrap/>
            <w:vAlign w:val="center"/>
          </w:tcPr>
          <w:p w14:paraId="171752A9">
            <w:pPr>
              <w:pStyle w:val="15"/>
              <w:spacing w:line="480" w:lineRule="auto"/>
              <w:rPr>
                <w:rFonts w:ascii="Times New Roman" w:hAnsi="Times New Roman" w:cs="Times New Roman"/>
                <w:kern w:val="0"/>
              </w:rPr>
            </w:pPr>
            <w:r>
              <w:rPr>
                <w:rFonts w:ascii="Times New Roman" w:hAnsi="Times New Roman" w:cs="Times New Roman"/>
                <w:kern w:val="0"/>
              </w:rPr>
              <w:t xml:space="preserve">32,446.40 </w:t>
            </w:r>
          </w:p>
        </w:tc>
        <w:tc>
          <w:tcPr>
            <w:tcW w:w="692" w:type="pct"/>
            <w:tcBorders>
              <w:tl2br w:val="nil"/>
              <w:tr2bl w:val="nil"/>
            </w:tcBorders>
            <w:shd w:val="clear" w:color="auto" w:fill="FFFFFF" w:themeFill="background1"/>
            <w:noWrap/>
            <w:vAlign w:val="center"/>
          </w:tcPr>
          <w:p w14:paraId="74CAEC11">
            <w:pPr>
              <w:pStyle w:val="15"/>
              <w:spacing w:line="480" w:lineRule="auto"/>
              <w:rPr>
                <w:rFonts w:ascii="Times New Roman" w:hAnsi="Times New Roman" w:cs="Times New Roman"/>
                <w:kern w:val="0"/>
              </w:rPr>
            </w:pPr>
            <w:r>
              <w:rPr>
                <w:rFonts w:ascii="Times New Roman" w:hAnsi="Times New Roman" w:cs="Times New Roman"/>
                <w:kern w:val="0"/>
              </w:rPr>
              <w:t xml:space="preserve">81,319.35 </w:t>
            </w:r>
          </w:p>
        </w:tc>
        <w:tc>
          <w:tcPr>
            <w:tcW w:w="621" w:type="pct"/>
            <w:tcBorders>
              <w:tl2br w:val="nil"/>
              <w:tr2bl w:val="nil"/>
            </w:tcBorders>
            <w:shd w:val="clear" w:color="auto" w:fill="FFFFFF" w:themeFill="background1"/>
            <w:noWrap/>
            <w:vAlign w:val="center"/>
          </w:tcPr>
          <w:p w14:paraId="27CF3DBD">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507" w:type="pct"/>
            <w:tcBorders>
              <w:tl2br w:val="nil"/>
              <w:tr2bl w:val="nil"/>
            </w:tcBorders>
            <w:shd w:val="clear" w:color="auto" w:fill="FFFFFF" w:themeFill="background1"/>
            <w:noWrap/>
            <w:vAlign w:val="center"/>
          </w:tcPr>
          <w:p w14:paraId="54805559">
            <w:pPr>
              <w:pStyle w:val="15"/>
              <w:spacing w:line="480" w:lineRule="auto"/>
              <w:rPr>
                <w:rFonts w:ascii="Times New Roman" w:hAnsi="Times New Roman" w:cs="Times New Roman"/>
                <w:kern w:val="0"/>
              </w:rPr>
            </w:pPr>
            <w:r>
              <w:rPr>
                <w:rFonts w:ascii="Times New Roman" w:hAnsi="Times New Roman" w:cs="Times New Roman"/>
                <w:kern w:val="0"/>
              </w:rPr>
              <w:t xml:space="preserve">4.0000 </w:t>
            </w:r>
          </w:p>
        </w:tc>
      </w:tr>
      <w:tr w14:paraId="28547B3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76" w:type="pct"/>
            <w:tcBorders>
              <w:tl2br w:val="nil"/>
              <w:tr2bl w:val="nil"/>
            </w:tcBorders>
            <w:shd w:val="clear" w:color="auto" w:fill="FFFFFF" w:themeFill="background1"/>
            <w:noWrap/>
            <w:vAlign w:val="center"/>
          </w:tcPr>
          <w:p w14:paraId="5BAA5A97">
            <w:pPr>
              <w:pStyle w:val="15"/>
              <w:spacing w:line="480" w:lineRule="auto"/>
              <w:rPr>
                <w:rFonts w:ascii="Times New Roman" w:hAnsi="Times New Roman" w:cs="Times New Roman"/>
                <w:kern w:val="0"/>
              </w:rPr>
            </w:pPr>
            <w:r>
              <w:rPr>
                <w:rFonts w:ascii="Times New Roman" w:hAnsi="Times New Roman" w:cs="Times New Roman"/>
                <w:kern w:val="0"/>
              </w:rPr>
              <w:t>Chronic AIDS-related events</w:t>
            </w:r>
          </w:p>
        </w:tc>
        <w:tc>
          <w:tcPr>
            <w:tcW w:w="555" w:type="pct"/>
            <w:tcBorders>
              <w:tl2br w:val="nil"/>
              <w:tr2bl w:val="nil"/>
            </w:tcBorders>
            <w:shd w:val="clear" w:color="auto" w:fill="FFFFFF" w:themeFill="background1"/>
            <w:noWrap/>
            <w:vAlign w:val="center"/>
          </w:tcPr>
          <w:p w14:paraId="316246B2">
            <w:pPr>
              <w:pStyle w:val="15"/>
              <w:spacing w:line="480" w:lineRule="auto"/>
              <w:rPr>
                <w:rFonts w:ascii="Times New Roman" w:hAnsi="Times New Roman" w:cs="Times New Roman"/>
                <w:kern w:val="0"/>
              </w:rPr>
            </w:pPr>
          </w:p>
        </w:tc>
        <w:tc>
          <w:tcPr>
            <w:tcW w:w="507" w:type="pct"/>
            <w:tcBorders>
              <w:tl2br w:val="nil"/>
              <w:tr2bl w:val="nil"/>
            </w:tcBorders>
            <w:shd w:val="clear" w:color="auto" w:fill="FFFFFF" w:themeFill="background1"/>
            <w:noWrap/>
            <w:vAlign w:val="center"/>
          </w:tcPr>
          <w:p w14:paraId="223EED76">
            <w:pPr>
              <w:pStyle w:val="15"/>
              <w:spacing w:line="480" w:lineRule="auto"/>
              <w:rPr>
                <w:rFonts w:ascii="Times New Roman" w:hAnsi="Times New Roman" w:cs="Times New Roman"/>
                <w:kern w:val="0"/>
              </w:rPr>
            </w:pPr>
          </w:p>
        </w:tc>
        <w:tc>
          <w:tcPr>
            <w:tcW w:w="992" w:type="dxa"/>
            <w:tcBorders>
              <w:tl2br w:val="nil"/>
              <w:tr2bl w:val="nil"/>
            </w:tcBorders>
            <w:shd w:val="clear" w:color="auto" w:fill="FFFFFF" w:themeFill="background1"/>
            <w:noWrap/>
            <w:vAlign w:val="center"/>
          </w:tcPr>
          <w:p w14:paraId="632896B1">
            <w:pPr>
              <w:pStyle w:val="15"/>
              <w:spacing w:line="480" w:lineRule="auto"/>
              <w:rPr>
                <w:rFonts w:ascii="Times New Roman" w:hAnsi="Times New Roman" w:cs="Times New Roman"/>
                <w:kern w:val="0"/>
              </w:rPr>
            </w:pPr>
          </w:p>
        </w:tc>
        <w:tc>
          <w:tcPr>
            <w:tcW w:w="692" w:type="pct"/>
            <w:tcBorders>
              <w:tl2br w:val="nil"/>
              <w:tr2bl w:val="nil"/>
            </w:tcBorders>
            <w:shd w:val="clear" w:color="auto" w:fill="FFFFFF" w:themeFill="background1"/>
            <w:noWrap/>
            <w:vAlign w:val="center"/>
          </w:tcPr>
          <w:p w14:paraId="2729E170">
            <w:pPr>
              <w:pStyle w:val="15"/>
              <w:spacing w:line="480" w:lineRule="auto"/>
              <w:rPr>
                <w:rFonts w:ascii="Times New Roman" w:hAnsi="Times New Roman" w:cs="Times New Roman"/>
                <w:kern w:val="0"/>
              </w:rPr>
            </w:pPr>
          </w:p>
        </w:tc>
        <w:tc>
          <w:tcPr>
            <w:tcW w:w="621" w:type="pct"/>
            <w:tcBorders>
              <w:tl2br w:val="nil"/>
              <w:tr2bl w:val="nil"/>
            </w:tcBorders>
            <w:shd w:val="clear" w:color="auto" w:fill="FFFFFF" w:themeFill="background1"/>
            <w:noWrap/>
            <w:vAlign w:val="center"/>
          </w:tcPr>
          <w:p w14:paraId="0CBA5710">
            <w:pPr>
              <w:pStyle w:val="15"/>
              <w:spacing w:line="480" w:lineRule="auto"/>
              <w:rPr>
                <w:rFonts w:ascii="Times New Roman" w:hAnsi="Times New Roman" w:cs="Times New Roman"/>
                <w:kern w:val="0"/>
              </w:rPr>
            </w:pPr>
          </w:p>
        </w:tc>
        <w:tc>
          <w:tcPr>
            <w:tcW w:w="507" w:type="pct"/>
            <w:tcBorders>
              <w:tl2br w:val="nil"/>
              <w:tr2bl w:val="nil"/>
            </w:tcBorders>
            <w:shd w:val="clear" w:color="auto" w:fill="FFFFFF" w:themeFill="background1"/>
            <w:noWrap/>
            <w:vAlign w:val="center"/>
          </w:tcPr>
          <w:p w14:paraId="63AABE54">
            <w:pPr>
              <w:pStyle w:val="15"/>
              <w:spacing w:line="480" w:lineRule="auto"/>
              <w:rPr>
                <w:rFonts w:ascii="Times New Roman" w:hAnsi="Times New Roman" w:cs="Times New Roman"/>
                <w:kern w:val="0"/>
              </w:rPr>
            </w:pPr>
          </w:p>
        </w:tc>
      </w:tr>
      <w:tr w14:paraId="6FE02C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FFFFFF" w:themeFill="background1"/>
        </w:tblPrEx>
        <w:trPr>
          <w:trHeight w:val="288" w:hRule="atLeast"/>
        </w:trPr>
        <w:tc>
          <w:tcPr>
            <w:tcW w:w="2501" w:type="dxa"/>
            <w:tcBorders>
              <w:tl2br w:val="nil"/>
              <w:tr2bl w:val="nil"/>
            </w:tcBorders>
            <w:shd w:val="clear" w:color="auto" w:fill="FFFFFF" w:themeFill="background1"/>
            <w:noWrap/>
          </w:tcPr>
          <w:p w14:paraId="4C082A53">
            <w:pPr>
              <w:pStyle w:val="15"/>
              <w:spacing w:line="480" w:lineRule="auto"/>
              <w:rPr>
                <w:rFonts w:ascii="Times New Roman" w:hAnsi="Times New Roman" w:cs="Times New Roman"/>
                <w:kern w:val="0"/>
              </w:rPr>
            </w:pPr>
            <w:r>
              <w:rPr>
                <w:rFonts w:ascii="Times New Roman" w:hAnsi="Times New Roman" w:cs="Times New Roman"/>
                <w:kern w:val="0"/>
              </w:rPr>
              <w:t>AIDS dementia</w:t>
            </w:r>
          </w:p>
        </w:tc>
        <w:tc>
          <w:tcPr>
            <w:tcW w:w="555" w:type="pct"/>
            <w:tcBorders>
              <w:tl2br w:val="nil"/>
              <w:tr2bl w:val="nil"/>
            </w:tcBorders>
            <w:shd w:val="clear" w:color="auto" w:fill="FFFFFF" w:themeFill="background1"/>
            <w:noWrap/>
            <w:vAlign w:val="center"/>
          </w:tcPr>
          <w:p w14:paraId="704C8C37">
            <w:pPr>
              <w:pStyle w:val="15"/>
              <w:spacing w:line="480" w:lineRule="auto"/>
              <w:rPr>
                <w:rFonts w:ascii="Times New Roman" w:hAnsi="Times New Roman" w:cs="Times New Roman"/>
                <w:kern w:val="0"/>
              </w:rPr>
            </w:pPr>
            <w:r>
              <w:rPr>
                <w:rFonts w:ascii="Times New Roman" w:hAnsi="Times New Roman" w:cs="Times New Roman"/>
                <w:kern w:val="0"/>
              </w:rPr>
              <w:t xml:space="preserve">0.0320 </w:t>
            </w:r>
          </w:p>
        </w:tc>
        <w:tc>
          <w:tcPr>
            <w:tcW w:w="507" w:type="pct"/>
            <w:tcBorders>
              <w:tl2br w:val="nil"/>
              <w:tr2bl w:val="nil"/>
            </w:tcBorders>
            <w:shd w:val="clear" w:color="auto" w:fill="FFFFFF" w:themeFill="background1"/>
            <w:noWrap/>
            <w:vAlign w:val="center"/>
          </w:tcPr>
          <w:p w14:paraId="43AC008F">
            <w:pPr>
              <w:pStyle w:val="15"/>
              <w:spacing w:line="480" w:lineRule="auto"/>
              <w:rPr>
                <w:rFonts w:ascii="Times New Roman" w:hAnsi="Times New Roman" w:cs="Times New Roman"/>
                <w:kern w:val="0"/>
              </w:rPr>
            </w:pPr>
            <w:r>
              <w:rPr>
                <w:rFonts w:ascii="Times New Roman" w:hAnsi="Times New Roman" w:cs="Times New Roman"/>
                <w:kern w:val="0"/>
              </w:rPr>
              <w:t xml:space="preserve">0.0321 </w:t>
            </w:r>
          </w:p>
        </w:tc>
        <w:tc>
          <w:tcPr>
            <w:tcW w:w="992" w:type="dxa"/>
            <w:tcBorders>
              <w:tl2br w:val="nil"/>
              <w:tr2bl w:val="nil"/>
            </w:tcBorders>
            <w:shd w:val="clear" w:color="auto" w:fill="FFFFFF" w:themeFill="background1"/>
            <w:noWrap/>
            <w:vAlign w:val="center"/>
          </w:tcPr>
          <w:p w14:paraId="389E3B0D">
            <w:pPr>
              <w:pStyle w:val="15"/>
              <w:spacing w:line="480" w:lineRule="auto"/>
              <w:rPr>
                <w:rFonts w:ascii="Times New Roman" w:hAnsi="Times New Roman" w:cs="Times New Roman"/>
                <w:kern w:val="0"/>
              </w:rPr>
            </w:pPr>
            <w:r>
              <w:rPr>
                <w:rFonts w:ascii="Times New Roman" w:hAnsi="Times New Roman" w:cs="Times New Roman"/>
                <w:kern w:val="0"/>
              </w:rPr>
              <w:t xml:space="preserve">29,330.34 </w:t>
            </w:r>
          </w:p>
        </w:tc>
        <w:tc>
          <w:tcPr>
            <w:tcW w:w="692" w:type="pct"/>
            <w:tcBorders>
              <w:tl2br w:val="nil"/>
              <w:tr2bl w:val="nil"/>
            </w:tcBorders>
            <w:shd w:val="clear" w:color="auto" w:fill="FFFFFF" w:themeFill="background1"/>
            <w:noWrap/>
            <w:vAlign w:val="center"/>
          </w:tcPr>
          <w:p w14:paraId="294C380B">
            <w:pPr>
              <w:pStyle w:val="15"/>
              <w:spacing w:line="480" w:lineRule="auto"/>
              <w:rPr>
                <w:rFonts w:ascii="Times New Roman" w:hAnsi="Times New Roman" w:cs="Times New Roman"/>
                <w:kern w:val="0"/>
              </w:rPr>
            </w:pPr>
            <w:r>
              <w:rPr>
                <w:rFonts w:ascii="Times New Roman" w:hAnsi="Times New Roman" w:cs="Times New Roman"/>
                <w:kern w:val="0"/>
              </w:rPr>
              <w:t xml:space="preserve">73,509.68 </w:t>
            </w:r>
          </w:p>
        </w:tc>
        <w:tc>
          <w:tcPr>
            <w:tcW w:w="621" w:type="pct"/>
            <w:tcBorders>
              <w:tl2br w:val="nil"/>
              <w:tr2bl w:val="nil"/>
            </w:tcBorders>
            <w:shd w:val="clear" w:color="auto" w:fill="FFFFFF" w:themeFill="background1"/>
            <w:noWrap/>
            <w:vAlign w:val="center"/>
          </w:tcPr>
          <w:p w14:paraId="6C0EBB0F">
            <w:pPr>
              <w:pStyle w:val="15"/>
              <w:spacing w:line="480" w:lineRule="auto"/>
              <w:rPr>
                <w:rFonts w:ascii="Times New Roman" w:hAnsi="Times New Roman" w:cs="Times New Roman"/>
                <w:kern w:val="0"/>
              </w:rPr>
            </w:pPr>
            <w:r>
              <w:rPr>
                <w:rFonts w:ascii="Times New Roman" w:hAnsi="Times New Roman" w:cs="Times New Roman"/>
                <w:kern w:val="0"/>
              </w:rPr>
              <w:t xml:space="preserve">0.3900 </w:t>
            </w:r>
          </w:p>
        </w:tc>
        <w:tc>
          <w:tcPr>
            <w:tcW w:w="622" w:type="dxa"/>
            <w:tcBorders>
              <w:tl2br w:val="nil"/>
              <w:tr2bl w:val="nil"/>
            </w:tcBorders>
            <w:shd w:val="clear" w:color="auto" w:fill="FFFFFF" w:themeFill="background1"/>
            <w:noWrap/>
          </w:tcPr>
          <w:p w14:paraId="0C2B3014">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408A9D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060614AA">
            <w:pPr>
              <w:pStyle w:val="15"/>
              <w:spacing w:line="480" w:lineRule="auto"/>
              <w:rPr>
                <w:rFonts w:ascii="Times New Roman" w:hAnsi="Times New Roman" w:cs="Times New Roman"/>
                <w:kern w:val="0"/>
              </w:rPr>
            </w:pPr>
            <w:r>
              <w:rPr>
                <w:rFonts w:ascii="Times New Roman" w:hAnsi="Times New Roman" w:cs="Times New Roman"/>
                <w:kern w:val="0"/>
              </w:rPr>
              <w:t>CMV retinitis</w:t>
            </w:r>
          </w:p>
        </w:tc>
        <w:tc>
          <w:tcPr>
            <w:tcW w:w="555" w:type="pct"/>
            <w:tcBorders>
              <w:tl2br w:val="nil"/>
              <w:tr2bl w:val="nil"/>
            </w:tcBorders>
            <w:shd w:val="clear" w:color="auto" w:fill="FFFFFF" w:themeFill="background1"/>
            <w:noWrap/>
            <w:vAlign w:val="center"/>
          </w:tcPr>
          <w:p w14:paraId="325364A6">
            <w:pPr>
              <w:pStyle w:val="15"/>
              <w:spacing w:line="480" w:lineRule="auto"/>
              <w:rPr>
                <w:rFonts w:ascii="Times New Roman" w:hAnsi="Times New Roman" w:cs="Times New Roman"/>
                <w:kern w:val="0"/>
              </w:rPr>
            </w:pPr>
            <w:r>
              <w:rPr>
                <w:rFonts w:ascii="Times New Roman" w:hAnsi="Times New Roman" w:cs="Times New Roman"/>
                <w:kern w:val="0"/>
              </w:rPr>
              <w:t xml:space="preserve">0.0450 </w:t>
            </w:r>
          </w:p>
        </w:tc>
        <w:tc>
          <w:tcPr>
            <w:tcW w:w="507" w:type="pct"/>
            <w:tcBorders>
              <w:tl2br w:val="nil"/>
              <w:tr2bl w:val="nil"/>
            </w:tcBorders>
            <w:shd w:val="clear" w:color="auto" w:fill="FFFFFF" w:themeFill="background1"/>
            <w:noWrap/>
            <w:vAlign w:val="center"/>
          </w:tcPr>
          <w:p w14:paraId="4448F232">
            <w:pPr>
              <w:pStyle w:val="15"/>
              <w:spacing w:line="480" w:lineRule="auto"/>
              <w:rPr>
                <w:rFonts w:ascii="Times New Roman" w:hAnsi="Times New Roman" w:cs="Times New Roman"/>
                <w:kern w:val="0"/>
              </w:rPr>
            </w:pPr>
            <w:r>
              <w:rPr>
                <w:rFonts w:ascii="Times New Roman" w:hAnsi="Times New Roman" w:cs="Times New Roman"/>
                <w:kern w:val="0"/>
              </w:rPr>
              <w:t xml:space="preserve">0.0451 </w:t>
            </w:r>
          </w:p>
        </w:tc>
        <w:tc>
          <w:tcPr>
            <w:tcW w:w="992" w:type="dxa"/>
            <w:tcBorders>
              <w:tl2br w:val="nil"/>
              <w:tr2bl w:val="nil"/>
            </w:tcBorders>
            <w:shd w:val="clear" w:color="auto" w:fill="FFFFFF" w:themeFill="background1"/>
            <w:noWrap/>
            <w:vAlign w:val="center"/>
          </w:tcPr>
          <w:p w14:paraId="3D80435A">
            <w:pPr>
              <w:pStyle w:val="15"/>
              <w:spacing w:line="480" w:lineRule="auto"/>
              <w:rPr>
                <w:rFonts w:ascii="Times New Roman" w:hAnsi="Times New Roman" w:cs="Times New Roman"/>
                <w:kern w:val="0"/>
              </w:rPr>
            </w:pPr>
            <w:r>
              <w:rPr>
                <w:rFonts w:ascii="Times New Roman" w:hAnsi="Times New Roman" w:cs="Times New Roman"/>
                <w:kern w:val="0"/>
              </w:rPr>
              <w:t xml:space="preserve">154,451.51 </w:t>
            </w:r>
          </w:p>
        </w:tc>
        <w:tc>
          <w:tcPr>
            <w:tcW w:w="692" w:type="pct"/>
            <w:tcBorders>
              <w:tl2br w:val="nil"/>
              <w:tr2bl w:val="nil"/>
            </w:tcBorders>
            <w:shd w:val="clear" w:color="auto" w:fill="FFFFFF" w:themeFill="background1"/>
            <w:noWrap/>
            <w:vAlign w:val="center"/>
          </w:tcPr>
          <w:p w14:paraId="7CA4AFB4">
            <w:pPr>
              <w:pStyle w:val="15"/>
              <w:spacing w:line="480" w:lineRule="auto"/>
              <w:rPr>
                <w:rFonts w:ascii="Times New Roman" w:hAnsi="Times New Roman" w:cs="Times New Roman"/>
                <w:kern w:val="0"/>
              </w:rPr>
            </w:pPr>
            <w:r>
              <w:rPr>
                <w:rFonts w:ascii="Times New Roman" w:hAnsi="Times New Roman" w:cs="Times New Roman"/>
                <w:kern w:val="0"/>
              </w:rPr>
              <w:t xml:space="preserve">387,096.77 </w:t>
            </w:r>
          </w:p>
        </w:tc>
        <w:tc>
          <w:tcPr>
            <w:tcW w:w="621" w:type="pct"/>
            <w:tcBorders>
              <w:tl2br w:val="nil"/>
              <w:tr2bl w:val="nil"/>
            </w:tcBorders>
            <w:shd w:val="clear" w:color="auto" w:fill="FFFFFF" w:themeFill="background1"/>
            <w:noWrap/>
            <w:vAlign w:val="center"/>
          </w:tcPr>
          <w:p w14:paraId="54F58EB1">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6B6FF158">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6FACDF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0B6EA4A">
            <w:pPr>
              <w:pStyle w:val="15"/>
              <w:spacing w:line="480" w:lineRule="auto"/>
              <w:rPr>
                <w:rFonts w:ascii="Times New Roman" w:hAnsi="Times New Roman" w:cs="Times New Roman"/>
                <w:kern w:val="0"/>
              </w:rPr>
            </w:pPr>
            <w:r>
              <w:rPr>
                <w:rFonts w:ascii="Times New Roman" w:hAnsi="Times New Roman" w:cs="Times New Roman"/>
                <w:kern w:val="0"/>
              </w:rPr>
              <w:t>CMV colitis/other</w:t>
            </w:r>
          </w:p>
        </w:tc>
        <w:tc>
          <w:tcPr>
            <w:tcW w:w="555" w:type="pct"/>
            <w:tcBorders>
              <w:tl2br w:val="nil"/>
              <w:tr2bl w:val="nil"/>
            </w:tcBorders>
            <w:shd w:val="clear" w:color="auto" w:fill="FFFFFF" w:themeFill="background1"/>
            <w:noWrap/>
            <w:vAlign w:val="center"/>
          </w:tcPr>
          <w:p w14:paraId="2446DD12">
            <w:pPr>
              <w:pStyle w:val="15"/>
              <w:spacing w:line="480" w:lineRule="auto"/>
              <w:rPr>
                <w:rFonts w:ascii="Times New Roman" w:hAnsi="Times New Roman" w:cs="Times New Roman"/>
                <w:kern w:val="0"/>
              </w:rPr>
            </w:pPr>
            <w:r>
              <w:rPr>
                <w:rFonts w:ascii="Times New Roman" w:hAnsi="Times New Roman" w:cs="Times New Roman"/>
                <w:kern w:val="0"/>
              </w:rPr>
              <w:t xml:space="preserve">0.0090 </w:t>
            </w:r>
          </w:p>
        </w:tc>
        <w:tc>
          <w:tcPr>
            <w:tcW w:w="507" w:type="pct"/>
            <w:tcBorders>
              <w:tl2br w:val="nil"/>
              <w:tr2bl w:val="nil"/>
            </w:tcBorders>
            <w:shd w:val="clear" w:color="auto" w:fill="FFFFFF" w:themeFill="background1"/>
            <w:noWrap/>
            <w:vAlign w:val="center"/>
          </w:tcPr>
          <w:p w14:paraId="4D9BBA41">
            <w:pPr>
              <w:pStyle w:val="15"/>
              <w:spacing w:line="480" w:lineRule="auto"/>
              <w:rPr>
                <w:rFonts w:ascii="Times New Roman" w:hAnsi="Times New Roman" w:cs="Times New Roman"/>
                <w:kern w:val="0"/>
              </w:rPr>
            </w:pPr>
            <w:r>
              <w:rPr>
                <w:rFonts w:ascii="Times New Roman" w:hAnsi="Times New Roman" w:cs="Times New Roman"/>
                <w:kern w:val="0"/>
              </w:rPr>
              <w:t xml:space="preserve">0.0090 </w:t>
            </w:r>
          </w:p>
        </w:tc>
        <w:tc>
          <w:tcPr>
            <w:tcW w:w="992" w:type="dxa"/>
            <w:tcBorders>
              <w:tl2br w:val="nil"/>
              <w:tr2bl w:val="nil"/>
            </w:tcBorders>
            <w:shd w:val="clear" w:color="auto" w:fill="FFFFFF" w:themeFill="background1"/>
            <w:noWrap/>
            <w:vAlign w:val="center"/>
          </w:tcPr>
          <w:p w14:paraId="6A452AB9">
            <w:pPr>
              <w:pStyle w:val="15"/>
              <w:spacing w:line="480" w:lineRule="auto"/>
              <w:rPr>
                <w:rFonts w:ascii="Times New Roman" w:hAnsi="Times New Roman" w:cs="Times New Roman"/>
                <w:kern w:val="0"/>
              </w:rPr>
            </w:pPr>
            <w:r>
              <w:rPr>
                <w:rFonts w:ascii="Times New Roman" w:hAnsi="Times New Roman" w:cs="Times New Roman"/>
                <w:kern w:val="0"/>
              </w:rPr>
              <w:t xml:space="preserve">6,502.41 </w:t>
            </w:r>
          </w:p>
        </w:tc>
        <w:tc>
          <w:tcPr>
            <w:tcW w:w="692" w:type="pct"/>
            <w:tcBorders>
              <w:tl2br w:val="nil"/>
              <w:tr2bl w:val="nil"/>
            </w:tcBorders>
            <w:shd w:val="clear" w:color="auto" w:fill="FFFFFF" w:themeFill="background1"/>
            <w:noWrap/>
            <w:vAlign w:val="center"/>
          </w:tcPr>
          <w:p w14:paraId="7A84F69C">
            <w:pPr>
              <w:pStyle w:val="15"/>
              <w:spacing w:line="480" w:lineRule="auto"/>
              <w:rPr>
                <w:rFonts w:ascii="Times New Roman" w:hAnsi="Times New Roman" w:cs="Times New Roman"/>
                <w:kern w:val="0"/>
              </w:rPr>
            </w:pPr>
            <w:r>
              <w:rPr>
                <w:rFonts w:ascii="Times New Roman" w:hAnsi="Times New Roman" w:cs="Times New Roman"/>
                <w:kern w:val="0"/>
              </w:rPr>
              <w:t xml:space="preserve">16,296.77 </w:t>
            </w:r>
          </w:p>
        </w:tc>
        <w:tc>
          <w:tcPr>
            <w:tcW w:w="621" w:type="pct"/>
            <w:tcBorders>
              <w:tl2br w:val="nil"/>
              <w:tr2bl w:val="nil"/>
            </w:tcBorders>
            <w:shd w:val="clear" w:color="auto" w:fill="FFFFFF" w:themeFill="background1"/>
            <w:noWrap/>
            <w:vAlign w:val="center"/>
          </w:tcPr>
          <w:p w14:paraId="59F5C518">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4496FE76">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740F69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5603CA96">
            <w:pPr>
              <w:pStyle w:val="15"/>
              <w:spacing w:line="480" w:lineRule="auto"/>
              <w:rPr>
                <w:rFonts w:ascii="Times New Roman" w:hAnsi="Times New Roman" w:cs="Times New Roman"/>
                <w:kern w:val="0"/>
              </w:rPr>
            </w:pPr>
            <w:r>
              <w:rPr>
                <w:rFonts w:ascii="Times New Roman" w:hAnsi="Times New Roman" w:cs="Times New Roman"/>
                <w:kern w:val="0"/>
              </w:rPr>
              <w:t>Cryptococcal meningitis</w:t>
            </w:r>
          </w:p>
        </w:tc>
        <w:tc>
          <w:tcPr>
            <w:tcW w:w="555" w:type="pct"/>
            <w:tcBorders>
              <w:tl2br w:val="nil"/>
              <w:tr2bl w:val="nil"/>
            </w:tcBorders>
            <w:shd w:val="clear" w:color="auto" w:fill="FFFFFF" w:themeFill="background1"/>
            <w:noWrap/>
            <w:vAlign w:val="center"/>
          </w:tcPr>
          <w:p w14:paraId="6A7FB7AD">
            <w:pPr>
              <w:pStyle w:val="15"/>
              <w:spacing w:line="480" w:lineRule="auto"/>
              <w:rPr>
                <w:rFonts w:ascii="Times New Roman" w:hAnsi="Times New Roman" w:cs="Times New Roman"/>
                <w:kern w:val="0"/>
              </w:rPr>
            </w:pPr>
            <w:r>
              <w:rPr>
                <w:rFonts w:ascii="Times New Roman" w:hAnsi="Times New Roman" w:cs="Times New Roman"/>
                <w:kern w:val="0"/>
              </w:rPr>
              <w:t xml:space="preserve">0.0120 </w:t>
            </w:r>
          </w:p>
        </w:tc>
        <w:tc>
          <w:tcPr>
            <w:tcW w:w="507" w:type="pct"/>
            <w:tcBorders>
              <w:tl2br w:val="nil"/>
              <w:tr2bl w:val="nil"/>
            </w:tcBorders>
            <w:shd w:val="clear" w:color="auto" w:fill="FFFFFF" w:themeFill="background1"/>
            <w:noWrap/>
            <w:vAlign w:val="center"/>
          </w:tcPr>
          <w:p w14:paraId="40B66A39">
            <w:pPr>
              <w:pStyle w:val="15"/>
              <w:spacing w:line="480" w:lineRule="auto"/>
              <w:rPr>
                <w:rFonts w:ascii="Times New Roman" w:hAnsi="Times New Roman" w:cs="Times New Roman"/>
                <w:kern w:val="0"/>
              </w:rPr>
            </w:pPr>
            <w:r>
              <w:rPr>
                <w:rFonts w:ascii="Times New Roman" w:hAnsi="Times New Roman" w:cs="Times New Roman"/>
                <w:kern w:val="0"/>
              </w:rPr>
              <w:t xml:space="preserve">0.0120 </w:t>
            </w:r>
          </w:p>
        </w:tc>
        <w:tc>
          <w:tcPr>
            <w:tcW w:w="992" w:type="dxa"/>
            <w:tcBorders>
              <w:tl2br w:val="nil"/>
              <w:tr2bl w:val="nil"/>
            </w:tcBorders>
            <w:shd w:val="clear" w:color="auto" w:fill="FFFFFF" w:themeFill="background1"/>
            <w:noWrap/>
            <w:vAlign w:val="center"/>
          </w:tcPr>
          <w:p w14:paraId="3115E8A5">
            <w:pPr>
              <w:pStyle w:val="15"/>
              <w:spacing w:line="480" w:lineRule="auto"/>
              <w:rPr>
                <w:rFonts w:ascii="Times New Roman" w:hAnsi="Times New Roman" w:cs="Times New Roman"/>
                <w:kern w:val="0"/>
              </w:rPr>
            </w:pPr>
            <w:r>
              <w:rPr>
                <w:rFonts w:ascii="Times New Roman" w:hAnsi="Times New Roman" w:cs="Times New Roman"/>
                <w:kern w:val="0"/>
              </w:rPr>
              <w:t xml:space="preserve">16,217.41 </w:t>
            </w:r>
          </w:p>
        </w:tc>
        <w:tc>
          <w:tcPr>
            <w:tcW w:w="692" w:type="pct"/>
            <w:tcBorders>
              <w:tl2br w:val="nil"/>
              <w:tr2bl w:val="nil"/>
            </w:tcBorders>
            <w:shd w:val="clear" w:color="auto" w:fill="FFFFFF" w:themeFill="background1"/>
            <w:noWrap/>
            <w:vAlign w:val="center"/>
          </w:tcPr>
          <w:p w14:paraId="308AD6E9">
            <w:pPr>
              <w:pStyle w:val="15"/>
              <w:spacing w:line="480" w:lineRule="auto"/>
              <w:rPr>
                <w:rFonts w:ascii="Times New Roman" w:hAnsi="Times New Roman" w:cs="Times New Roman"/>
                <w:kern w:val="0"/>
              </w:rPr>
            </w:pPr>
            <w:r>
              <w:rPr>
                <w:rFonts w:ascii="Times New Roman" w:hAnsi="Times New Roman" w:cs="Times New Roman"/>
                <w:kern w:val="0"/>
              </w:rPr>
              <w:t xml:space="preserve">40,645.16 </w:t>
            </w:r>
          </w:p>
        </w:tc>
        <w:tc>
          <w:tcPr>
            <w:tcW w:w="621" w:type="pct"/>
            <w:tcBorders>
              <w:tl2br w:val="nil"/>
              <w:tr2bl w:val="nil"/>
            </w:tcBorders>
            <w:shd w:val="clear" w:color="auto" w:fill="FFFFFF" w:themeFill="background1"/>
            <w:noWrap/>
            <w:vAlign w:val="center"/>
          </w:tcPr>
          <w:p w14:paraId="596381BC">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5974E203">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071789F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0E4885FF">
            <w:pPr>
              <w:pStyle w:val="15"/>
              <w:spacing w:line="480" w:lineRule="auto"/>
              <w:rPr>
                <w:rFonts w:ascii="Times New Roman" w:hAnsi="Times New Roman" w:cs="Times New Roman"/>
                <w:kern w:val="0"/>
              </w:rPr>
            </w:pPr>
            <w:r>
              <w:rPr>
                <w:rFonts w:ascii="Times New Roman" w:hAnsi="Times New Roman" w:cs="Times New Roman"/>
                <w:kern w:val="0"/>
              </w:rPr>
              <w:t>Kaposi’s sarcoma cutaneous</w:t>
            </w:r>
          </w:p>
        </w:tc>
        <w:tc>
          <w:tcPr>
            <w:tcW w:w="555" w:type="pct"/>
            <w:tcBorders>
              <w:tl2br w:val="nil"/>
              <w:tr2bl w:val="nil"/>
            </w:tcBorders>
            <w:shd w:val="clear" w:color="auto" w:fill="FFFFFF" w:themeFill="background1"/>
            <w:noWrap/>
            <w:vAlign w:val="center"/>
          </w:tcPr>
          <w:p w14:paraId="0F495065">
            <w:pPr>
              <w:pStyle w:val="15"/>
              <w:spacing w:line="480" w:lineRule="auto"/>
              <w:rPr>
                <w:rFonts w:ascii="Times New Roman" w:hAnsi="Times New Roman" w:cs="Times New Roman"/>
                <w:kern w:val="0"/>
              </w:rPr>
            </w:pPr>
            <w:r>
              <w:rPr>
                <w:rFonts w:ascii="Times New Roman" w:hAnsi="Times New Roman" w:cs="Times New Roman"/>
                <w:kern w:val="0"/>
              </w:rPr>
              <w:t xml:space="preserve">0.0380 </w:t>
            </w:r>
          </w:p>
        </w:tc>
        <w:tc>
          <w:tcPr>
            <w:tcW w:w="507" w:type="pct"/>
            <w:tcBorders>
              <w:tl2br w:val="nil"/>
              <w:tr2bl w:val="nil"/>
            </w:tcBorders>
            <w:shd w:val="clear" w:color="auto" w:fill="FFFFFF" w:themeFill="background1"/>
            <w:noWrap/>
            <w:vAlign w:val="center"/>
          </w:tcPr>
          <w:p w14:paraId="0A9DF47B">
            <w:pPr>
              <w:pStyle w:val="15"/>
              <w:spacing w:line="480" w:lineRule="auto"/>
              <w:rPr>
                <w:rFonts w:ascii="Times New Roman" w:hAnsi="Times New Roman" w:cs="Times New Roman"/>
                <w:kern w:val="0"/>
              </w:rPr>
            </w:pPr>
            <w:r>
              <w:rPr>
                <w:rFonts w:ascii="Times New Roman" w:hAnsi="Times New Roman" w:cs="Times New Roman"/>
                <w:kern w:val="0"/>
              </w:rPr>
              <w:t xml:space="preserve">0.0381 </w:t>
            </w:r>
          </w:p>
        </w:tc>
        <w:tc>
          <w:tcPr>
            <w:tcW w:w="992" w:type="dxa"/>
            <w:tcBorders>
              <w:tl2br w:val="nil"/>
              <w:tr2bl w:val="nil"/>
            </w:tcBorders>
            <w:shd w:val="clear" w:color="auto" w:fill="FFFFFF" w:themeFill="background1"/>
            <w:noWrap/>
            <w:vAlign w:val="center"/>
          </w:tcPr>
          <w:p w14:paraId="68B8D897">
            <w:pPr>
              <w:pStyle w:val="15"/>
              <w:spacing w:line="480" w:lineRule="auto"/>
              <w:rPr>
                <w:rFonts w:ascii="Times New Roman" w:hAnsi="Times New Roman" w:cs="Times New Roman"/>
                <w:kern w:val="0"/>
              </w:rPr>
            </w:pPr>
            <w:r>
              <w:rPr>
                <w:rFonts w:ascii="Times New Roman" w:hAnsi="Times New Roman" w:cs="Times New Roman"/>
                <w:kern w:val="0"/>
              </w:rPr>
              <w:t xml:space="preserve">8,649.28 </w:t>
            </w:r>
          </w:p>
        </w:tc>
        <w:tc>
          <w:tcPr>
            <w:tcW w:w="692" w:type="pct"/>
            <w:tcBorders>
              <w:tl2br w:val="nil"/>
              <w:tr2bl w:val="nil"/>
            </w:tcBorders>
            <w:shd w:val="clear" w:color="auto" w:fill="FFFFFF" w:themeFill="background1"/>
            <w:noWrap/>
            <w:vAlign w:val="center"/>
          </w:tcPr>
          <w:p w14:paraId="165A04C1">
            <w:pPr>
              <w:pStyle w:val="15"/>
              <w:spacing w:line="480" w:lineRule="auto"/>
              <w:rPr>
                <w:rFonts w:ascii="Times New Roman" w:hAnsi="Times New Roman" w:cs="Times New Roman"/>
                <w:kern w:val="0"/>
              </w:rPr>
            </w:pPr>
            <w:r>
              <w:rPr>
                <w:rFonts w:ascii="Times New Roman" w:hAnsi="Times New Roman" w:cs="Times New Roman"/>
                <w:kern w:val="0"/>
              </w:rPr>
              <w:t xml:space="preserve">21,677.42 </w:t>
            </w:r>
          </w:p>
        </w:tc>
        <w:tc>
          <w:tcPr>
            <w:tcW w:w="621" w:type="pct"/>
            <w:tcBorders>
              <w:tl2br w:val="nil"/>
              <w:tr2bl w:val="nil"/>
            </w:tcBorders>
            <w:shd w:val="clear" w:color="auto" w:fill="FFFFFF" w:themeFill="background1"/>
            <w:noWrap/>
            <w:vAlign w:val="center"/>
          </w:tcPr>
          <w:p w14:paraId="1675292C">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27B93449">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4A7B4D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D13CFF3">
            <w:pPr>
              <w:pStyle w:val="15"/>
              <w:spacing w:line="480" w:lineRule="auto"/>
              <w:rPr>
                <w:rFonts w:ascii="Times New Roman" w:hAnsi="Times New Roman" w:cs="Times New Roman"/>
                <w:kern w:val="0"/>
              </w:rPr>
            </w:pPr>
            <w:r>
              <w:rPr>
                <w:rFonts w:ascii="Times New Roman" w:hAnsi="Times New Roman" w:cs="Times New Roman"/>
                <w:kern w:val="0"/>
              </w:rPr>
              <w:t>Kaposi’s sarcoma visceral</w:t>
            </w:r>
          </w:p>
        </w:tc>
        <w:tc>
          <w:tcPr>
            <w:tcW w:w="555" w:type="pct"/>
            <w:tcBorders>
              <w:tl2br w:val="nil"/>
              <w:tr2bl w:val="nil"/>
            </w:tcBorders>
            <w:shd w:val="clear" w:color="auto" w:fill="FFFFFF" w:themeFill="background1"/>
            <w:noWrap/>
            <w:vAlign w:val="center"/>
          </w:tcPr>
          <w:p w14:paraId="6C1D583E">
            <w:pPr>
              <w:pStyle w:val="15"/>
              <w:spacing w:line="480" w:lineRule="auto"/>
              <w:rPr>
                <w:rFonts w:ascii="Times New Roman" w:hAnsi="Times New Roman" w:cs="Times New Roman"/>
                <w:kern w:val="0"/>
              </w:rPr>
            </w:pPr>
            <w:r>
              <w:rPr>
                <w:rFonts w:ascii="Times New Roman" w:hAnsi="Times New Roman" w:cs="Times New Roman"/>
                <w:kern w:val="0"/>
              </w:rPr>
              <w:t xml:space="preserve">0.0090 </w:t>
            </w:r>
          </w:p>
        </w:tc>
        <w:tc>
          <w:tcPr>
            <w:tcW w:w="507" w:type="pct"/>
            <w:tcBorders>
              <w:tl2br w:val="nil"/>
              <w:tr2bl w:val="nil"/>
            </w:tcBorders>
            <w:shd w:val="clear" w:color="auto" w:fill="FFFFFF" w:themeFill="background1"/>
            <w:noWrap/>
            <w:vAlign w:val="center"/>
          </w:tcPr>
          <w:p w14:paraId="3CCF40DA">
            <w:pPr>
              <w:pStyle w:val="15"/>
              <w:spacing w:line="480" w:lineRule="auto"/>
              <w:rPr>
                <w:rFonts w:ascii="Times New Roman" w:hAnsi="Times New Roman" w:cs="Times New Roman"/>
                <w:kern w:val="0"/>
              </w:rPr>
            </w:pPr>
            <w:r>
              <w:rPr>
                <w:rFonts w:ascii="Times New Roman" w:hAnsi="Times New Roman" w:cs="Times New Roman"/>
                <w:kern w:val="0"/>
              </w:rPr>
              <w:t xml:space="preserve">0.0090 </w:t>
            </w:r>
          </w:p>
        </w:tc>
        <w:tc>
          <w:tcPr>
            <w:tcW w:w="992" w:type="dxa"/>
            <w:tcBorders>
              <w:tl2br w:val="nil"/>
              <w:tr2bl w:val="nil"/>
            </w:tcBorders>
            <w:shd w:val="clear" w:color="auto" w:fill="FFFFFF" w:themeFill="background1"/>
            <w:noWrap/>
            <w:vAlign w:val="center"/>
          </w:tcPr>
          <w:p w14:paraId="75F7CE9F">
            <w:pPr>
              <w:pStyle w:val="15"/>
              <w:spacing w:line="480" w:lineRule="auto"/>
              <w:rPr>
                <w:rFonts w:ascii="Times New Roman" w:hAnsi="Times New Roman" w:cs="Times New Roman"/>
                <w:kern w:val="0"/>
              </w:rPr>
            </w:pPr>
            <w:r>
              <w:rPr>
                <w:rFonts w:ascii="Times New Roman" w:hAnsi="Times New Roman" w:cs="Times New Roman"/>
                <w:kern w:val="0"/>
              </w:rPr>
              <w:t xml:space="preserve">61,811.49 </w:t>
            </w:r>
          </w:p>
        </w:tc>
        <w:tc>
          <w:tcPr>
            <w:tcW w:w="692" w:type="pct"/>
            <w:tcBorders>
              <w:tl2br w:val="nil"/>
              <w:tr2bl w:val="nil"/>
            </w:tcBorders>
            <w:shd w:val="clear" w:color="auto" w:fill="FFFFFF" w:themeFill="background1"/>
            <w:noWrap/>
            <w:vAlign w:val="center"/>
          </w:tcPr>
          <w:p w14:paraId="3EBEAB63">
            <w:pPr>
              <w:pStyle w:val="15"/>
              <w:spacing w:line="480" w:lineRule="auto"/>
              <w:rPr>
                <w:rFonts w:ascii="Times New Roman" w:hAnsi="Times New Roman" w:cs="Times New Roman"/>
                <w:kern w:val="0"/>
              </w:rPr>
            </w:pPr>
            <w:r>
              <w:rPr>
                <w:rFonts w:ascii="Times New Roman" w:hAnsi="Times New Roman" w:cs="Times New Roman"/>
                <w:kern w:val="0"/>
              </w:rPr>
              <w:t xml:space="preserve">154,916.13 </w:t>
            </w:r>
          </w:p>
        </w:tc>
        <w:tc>
          <w:tcPr>
            <w:tcW w:w="621" w:type="pct"/>
            <w:tcBorders>
              <w:tl2br w:val="nil"/>
              <w:tr2bl w:val="nil"/>
            </w:tcBorders>
            <w:shd w:val="clear" w:color="auto" w:fill="FFFFFF" w:themeFill="background1"/>
            <w:noWrap/>
            <w:vAlign w:val="center"/>
          </w:tcPr>
          <w:p w14:paraId="33C1D819">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2E8BF679">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600406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77480EC3">
            <w:pPr>
              <w:pStyle w:val="15"/>
              <w:spacing w:line="480" w:lineRule="auto"/>
              <w:rPr>
                <w:rFonts w:ascii="Times New Roman" w:hAnsi="Times New Roman" w:cs="Times New Roman"/>
                <w:kern w:val="0"/>
              </w:rPr>
            </w:pPr>
            <w:r>
              <w:rPr>
                <w:rFonts w:ascii="Times New Roman" w:hAnsi="Times New Roman" w:cs="Times New Roman"/>
                <w:kern w:val="0"/>
              </w:rPr>
              <w:t>Lymphoma, central nervous system</w:t>
            </w:r>
          </w:p>
        </w:tc>
        <w:tc>
          <w:tcPr>
            <w:tcW w:w="555" w:type="pct"/>
            <w:tcBorders>
              <w:tl2br w:val="nil"/>
              <w:tr2bl w:val="nil"/>
            </w:tcBorders>
            <w:shd w:val="clear" w:color="auto" w:fill="FFFFFF" w:themeFill="background1"/>
            <w:noWrap/>
            <w:vAlign w:val="center"/>
          </w:tcPr>
          <w:p w14:paraId="226B58A3">
            <w:pPr>
              <w:pStyle w:val="15"/>
              <w:spacing w:line="480" w:lineRule="auto"/>
              <w:rPr>
                <w:rFonts w:ascii="Times New Roman" w:hAnsi="Times New Roman" w:cs="Times New Roman"/>
                <w:kern w:val="0"/>
              </w:rPr>
            </w:pPr>
            <w:r>
              <w:rPr>
                <w:rFonts w:ascii="Times New Roman" w:hAnsi="Times New Roman" w:cs="Times New Roman"/>
                <w:kern w:val="0"/>
              </w:rPr>
              <w:t xml:space="preserve">0.0240 </w:t>
            </w:r>
          </w:p>
        </w:tc>
        <w:tc>
          <w:tcPr>
            <w:tcW w:w="507" w:type="pct"/>
            <w:tcBorders>
              <w:tl2br w:val="nil"/>
              <w:tr2bl w:val="nil"/>
            </w:tcBorders>
            <w:shd w:val="clear" w:color="auto" w:fill="FFFFFF" w:themeFill="background1"/>
            <w:noWrap/>
            <w:vAlign w:val="center"/>
          </w:tcPr>
          <w:p w14:paraId="0B341A31">
            <w:pPr>
              <w:pStyle w:val="15"/>
              <w:spacing w:line="480" w:lineRule="auto"/>
              <w:rPr>
                <w:rFonts w:ascii="Times New Roman" w:hAnsi="Times New Roman" w:cs="Times New Roman"/>
                <w:kern w:val="0"/>
              </w:rPr>
            </w:pPr>
            <w:r>
              <w:rPr>
                <w:rFonts w:ascii="Times New Roman" w:hAnsi="Times New Roman" w:cs="Times New Roman"/>
                <w:kern w:val="0"/>
              </w:rPr>
              <w:t xml:space="preserve">0.0241 </w:t>
            </w:r>
          </w:p>
        </w:tc>
        <w:tc>
          <w:tcPr>
            <w:tcW w:w="992" w:type="dxa"/>
            <w:tcBorders>
              <w:tl2br w:val="nil"/>
              <w:tr2bl w:val="nil"/>
            </w:tcBorders>
            <w:shd w:val="clear" w:color="auto" w:fill="FFFFFF" w:themeFill="background1"/>
            <w:noWrap/>
            <w:vAlign w:val="center"/>
          </w:tcPr>
          <w:p w14:paraId="68DD8D62">
            <w:pPr>
              <w:pStyle w:val="15"/>
              <w:spacing w:line="480" w:lineRule="auto"/>
              <w:rPr>
                <w:rFonts w:ascii="Times New Roman" w:hAnsi="Times New Roman" w:cs="Times New Roman"/>
                <w:kern w:val="0"/>
              </w:rPr>
            </w:pPr>
            <w:r>
              <w:rPr>
                <w:rFonts w:ascii="Times New Roman" w:hAnsi="Times New Roman" w:cs="Times New Roman"/>
                <w:kern w:val="0"/>
              </w:rPr>
              <w:t xml:space="preserve">98,308.38 </w:t>
            </w:r>
          </w:p>
        </w:tc>
        <w:tc>
          <w:tcPr>
            <w:tcW w:w="692" w:type="pct"/>
            <w:tcBorders>
              <w:tl2br w:val="nil"/>
              <w:tr2bl w:val="nil"/>
            </w:tcBorders>
            <w:shd w:val="clear" w:color="auto" w:fill="FFFFFF" w:themeFill="background1"/>
            <w:noWrap/>
            <w:vAlign w:val="center"/>
          </w:tcPr>
          <w:p w14:paraId="1685E2AA">
            <w:pPr>
              <w:pStyle w:val="15"/>
              <w:spacing w:line="480" w:lineRule="auto"/>
              <w:rPr>
                <w:rFonts w:ascii="Times New Roman" w:hAnsi="Times New Roman" w:cs="Times New Roman"/>
                <w:kern w:val="0"/>
              </w:rPr>
            </w:pPr>
            <w:r>
              <w:rPr>
                <w:rFonts w:ascii="Times New Roman" w:hAnsi="Times New Roman" w:cs="Times New Roman"/>
                <w:kern w:val="0"/>
              </w:rPr>
              <w:t xml:space="preserve">246,387.10 </w:t>
            </w:r>
          </w:p>
        </w:tc>
        <w:tc>
          <w:tcPr>
            <w:tcW w:w="621" w:type="pct"/>
            <w:tcBorders>
              <w:tl2br w:val="nil"/>
              <w:tr2bl w:val="nil"/>
            </w:tcBorders>
            <w:shd w:val="clear" w:color="auto" w:fill="FFFFFF" w:themeFill="background1"/>
            <w:noWrap/>
            <w:vAlign w:val="center"/>
          </w:tcPr>
          <w:p w14:paraId="2955431D">
            <w:pPr>
              <w:pStyle w:val="15"/>
              <w:spacing w:line="480" w:lineRule="auto"/>
              <w:rPr>
                <w:rFonts w:ascii="Times New Roman" w:hAnsi="Times New Roman" w:cs="Times New Roman"/>
                <w:kern w:val="0"/>
              </w:rPr>
            </w:pPr>
            <w:r>
              <w:rPr>
                <w:rFonts w:ascii="Times New Roman" w:hAnsi="Times New Roman" w:cs="Times New Roman"/>
                <w:kern w:val="0"/>
              </w:rPr>
              <w:t xml:space="preserve">0.3900 </w:t>
            </w:r>
          </w:p>
        </w:tc>
        <w:tc>
          <w:tcPr>
            <w:tcW w:w="622" w:type="dxa"/>
            <w:tcBorders>
              <w:tl2br w:val="nil"/>
              <w:tr2bl w:val="nil"/>
            </w:tcBorders>
            <w:shd w:val="clear" w:color="auto" w:fill="FFFFFF" w:themeFill="background1"/>
            <w:noWrap/>
          </w:tcPr>
          <w:p w14:paraId="46FC8195">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06D357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158D449F">
            <w:pPr>
              <w:pStyle w:val="15"/>
              <w:spacing w:line="480" w:lineRule="auto"/>
              <w:rPr>
                <w:rFonts w:ascii="Times New Roman" w:hAnsi="Times New Roman" w:cs="Times New Roman"/>
                <w:kern w:val="0"/>
              </w:rPr>
            </w:pPr>
            <w:r>
              <w:rPr>
                <w:rFonts w:ascii="Times New Roman" w:hAnsi="Times New Roman" w:cs="Times New Roman"/>
                <w:kern w:val="0"/>
              </w:rPr>
              <w:t>Lymphoma, other</w:t>
            </w:r>
          </w:p>
        </w:tc>
        <w:tc>
          <w:tcPr>
            <w:tcW w:w="555" w:type="pct"/>
            <w:tcBorders>
              <w:tl2br w:val="nil"/>
              <w:tr2bl w:val="nil"/>
            </w:tcBorders>
            <w:shd w:val="clear" w:color="auto" w:fill="FFFFFF" w:themeFill="background1"/>
            <w:noWrap/>
            <w:vAlign w:val="center"/>
          </w:tcPr>
          <w:p w14:paraId="678E5563">
            <w:pPr>
              <w:pStyle w:val="15"/>
              <w:spacing w:line="480" w:lineRule="auto"/>
              <w:rPr>
                <w:rFonts w:ascii="Times New Roman" w:hAnsi="Times New Roman" w:cs="Times New Roman"/>
                <w:kern w:val="0"/>
              </w:rPr>
            </w:pPr>
            <w:r>
              <w:rPr>
                <w:rFonts w:ascii="Times New Roman" w:hAnsi="Times New Roman" w:cs="Times New Roman"/>
                <w:kern w:val="0"/>
              </w:rPr>
              <w:t xml:space="preserve">0.0060 </w:t>
            </w:r>
          </w:p>
        </w:tc>
        <w:tc>
          <w:tcPr>
            <w:tcW w:w="507" w:type="pct"/>
            <w:tcBorders>
              <w:tl2br w:val="nil"/>
              <w:tr2bl w:val="nil"/>
            </w:tcBorders>
            <w:shd w:val="clear" w:color="auto" w:fill="FFFFFF" w:themeFill="background1"/>
            <w:noWrap/>
            <w:vAlign w:val="center"/>
          </w:tcPr>
          <w:p w14:paraId="5A6E97B2">
            <w:pPr>
              <w:pStyle w:val="15"/>
              <w:spacing w:line="480" w:lineRule="auto"/>
              <w:rPr>
                <w:rFonts w:ascii="Times New Roman" w:hAnsi="Times New Roman" w:cs="Times New Roman"/>
                <w:kern w:val="0"/>
              </w:rPr>
            </w:pPr>
            <w:r>
              <w:rPr>
                <w:rFonts w:ascii="Times New Roman" w:hAnsi="Times New Roman" w:cs="Times New Roman"/>
                <w:kern w:val="0"/>
              </w:rPr>
              <w:t xml:space="preserve">0.0060 </w:t>
            </w:r>
          </w:p>
        </w:tc>
        <w:tc>
          <w:tcPr>
            <w:tcW w:w="992" w:type="dxa"/>
            <w:tcBorders>
              <w:tl2br w:val="nil"/>
              <w:tr2bl w:val="nil"/>
            </w:tcBorders>
            <w:shd w:val="clear" w:color="auto" w:fill="FFFFFF" w:themeFill="background1"/>
            <w:noWrap/>
            <w:vAlign w:val="center"/>
          </w:tcPr>
          <w:p w14:paraId="5FBE749C">
            <w:pPr>
              <w:pStyle w:val="15"/>
              <w:spacing w:line="480" w:lineRule="auto"/>
              <w:rPr>
                <w:rFonts w:ascii="Times New Roman" w:hAnsi="Times New Roman" w:cs="Times New Roman"/>
                <w:kern w:val="0"/>
              </w:rPr>
            </w:pPr>
            <w:r>
              <w:rPr>
                <w:rFonts w:ascii="Times New Roman" w:hAnsi="Times New Roman" w:cs="Times New Roman"/>
                <w:kern w:val="0"/>
              </w:rPr>
              <w:t xml:space="preserve">24,665.91 </w:t>
            </w:r>
          </w:p>
        </w:tc>
        <w:tc>
          <w:tcPr>
            <w:tcW w:w="692" w:type="pct"/>
            <w:tcBorders>
              <w:tl2br w:val="nil"/>
              <w:tr2bl w:val="nil"/>
            </w:tcBorders>
            <w:shd w:val="clear" w:color="auto" w:fill="FFFFFF" w:themeFill="background1"/>
            <w:noWrap/>
            <w:vAlign w:val="center"/>
          </w:tcPr>
          <w:p w14:paraId="288C628F">
            <w:pPr>
              <w:pStyle w:val="15"/>
              <w:spacing w:line="480" w:lineRule="auto"/>
              <w:rPr>
                <w:rFonts w:ascii="Times New Roman" w:hAnsi="Times New Roman" w:cs="Times New Roman"/>
                <w:kern w:val="0"/>
              </w:rPr>
            </w:pPr>
            <w:r>
              <w:rPr>
                <w:rFonts w:ascii="Times New Roman" w:hAnsi="Times New Roman" w:cs="Times New Roman"/>
                <w:kern w:val="0"/>
              </w:rPr>
              <w:t xml:space="preserve">61,819.35 </w:t>
            </w:r>
          </w:p>
        </w:tc>
        <w:tc>
          <w:tcPr>
            <w:tcW w:w="621" w:type="pct"/>
            <w:tcBorders>
              <w:tl2br w:val="nil"/>
              <w:tr2bl w:val="nil"/>
            </w:tcBorders>
            <w:shd w:val="clear" w:color="auto" w:fill="FFFFFF" w:themeFill="background1"/>
            <w:noWrap/>
            <w:vAlign w:val="center"/>
          </w:tcPr>
          <w:p w14:paraId="2CADD248">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2368CED4">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00B2AC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74C19A92">
            <w:pPr>
              <w:pStyle w:val="15"/>
              <w:spacing w:line="480" w:lineRule="auto"/>
              <w:rPr>
                <w:rFonts w:ascii="Times New Roman" w:hAnsi="Times New Roman" w:cs="Times New Roman"/>
                <w:kern w:val="0"/>
              </w:rPr>
            </w:pPr>
            <w:r>
              <w:rPr>
                <w:rFonts w:ascii="Times New Roman" w:hAnsi="Times New Roman" w:cs="Times New Roman"/>
                <w:kern w:val="0"/>
              </w:rPr>
              <w:t>MAC</w:t>
            </w:r>
          </w:p>
        </w:tc>
        <w:tc>
          <w:tcPr>
            <w:tcW w:w="555" w:type="pct"/>
            <w:tcBorders>
              <w:tl2br w:val="nil"/>
              <w:tr2bl w:val="nil"/>
            </w:tcBorders>
            <w:shd w:val="clear" w:color="auto" w:fill="FFFFFF" w:themeFill="background1"/>
            <w:noWrap/>
            <w:vAlign w:val="center"/>
          </w:tcPr>
          <w:p w14:paraId="4253C53B">
            <w:pPr>
              <w:pStyle w:val="15"/>
              <w:spacing w:line="480" w:lineRule="auto"/>
              <w:rPr>
                <w:rFonts w:ascii="Times New Roman" w:hAnsi="Times New Roman" w:cs="Times New Roman"/>
                <w:kern w:val="0"/>
              </w:rPr>
            </w:pPr>
            <w:r>
              <w:rPr>
                <w:rFonts w:ascii="Times New Roman" w:hAnsi="Times New Roman" w:cs="Times New Roman"/>
                <w:kern w:val="0"/>
              </w:rPr>
              <w:t xml:space="preserve">0.0580 </w:t>
            </w:r>
          </w:p>
        </w:tc>
        <w:tc>
          <w:tcPr>
            <w:tcW w:w="507" w:type="pct"/>
            <w:tcBorders>
              <w:tl2br w:val="nil"/>
              <w:tr2bl w:val="nil"/>
            </w:tcBorders>
            <w:shd w:val="clear" w:color="auto" w:fill="FFFFFF" w:themeFill="background1"/>
            <w:noWrap/>
            <w:vAlign w:val="center"/>
          </w:tcPr>
          <w:p w14:paraId="22C23B62">
            <w:pPr>
              <w:pStyle w:val="15"/>
              <w:spacing w:line="480" w:lineRule="auto"/>
              <w:rPr>
                <w:rFonts w:ascii="Times New Roman" w:hAnsi="Times New Roman" w:cs="Times New Roman"/>
                <w:kern w:val="0"/>
              </w:rPr>
            </w:pPr>
            <w:r>
              <w:rPr>
                <w:rFonts w:ascii="Times New Roman" w:hAnsi="Times New Roman" w:cs="Times New Roman"/>
                <w:kern w:val="0"/>
              </w:rPr>
              <w:t xml:space="preserve">0.0582 </w:t>
            </w:r>
          </w:p>
        </w:tc>
        <w:tc>
          <w:tcPr>
            <w:tcW w:w="992" w:type="dxa"/>
            <w:tcBorders>
              <w:tl2br w:val="nil"/>
              <w:tr2bl w:val="nil"/>
            </w:tcBorders>
            <w:shd w:val="clear" w:color="auto" w:fill="FFFFFF" w:themeFill="background1"/>
            <w:noWrap/>
            <w:vAlign w:val="center"/>
          </w:tcPr>
          <w:p w14:paraId="106CD501">
            <w:pPr>
              <w:pStyle w:val="15"/>
              <w:spacing w:line="480" w:lineRule="auto"/>
              <w:rPr>
                <w:rFonts w:ascii="Times New Roman" w:hAnsi="Times New Roman" w:cs="Times New Roman"/>
                <w:kern w:val="0"/>
              </w:rPr>
            </w:pPr>
            <w:r>
              <w:rPr>
                <w:rFonts w:ascii="Times New Roman" w:hAnsi="Times New Roman" w:cs="Times New Roman"/>
                <w:kern w:val="0"/>
              </w:rPr>
              <w:t xml:space="preserve">105,181.48 </w:t>
            </w:r>
          </w:p>
        </w:tc>
        <w:tc>
          <w:tcPr>
            <w:tcW w:w="692" w:type="pct"/>
            <w:tcBorders>
              <w:tl2br w:val="nil"/>
              <w:tr2bl w:val="nil"/>
            </w:tcBorders>
            <w:shd w:val="clear" w:color="auto" w:fill="FFFFFF" w:themeFill="background1"/>
            <w:noWrap/>
            <w:vAlign w:val="center"/>
          </w:tcPr>
          <w:p w14:paraId="3A3435E5">
            <w:pPr>
              <w:pStyle w:val="15"/>
              <w:spacing w:line="480" w:lineRule="auto"/>
              <w:rPr>
                <w:rFonts w:ascii="Times New Roman" w:hAnsi="Times New Roman" w:cs="Times New Roman"/>
                <w:kern w:val="0"/>
              </w:rPr>
            </w:pPr>
            <w:r>
              <w:rPr>
                <w:rFonts w:ascii="Times New Roman" w:hAnsi="Times New Roman" w:cs="Times New Roman"/>
                <w:kern w:val="0"/>
              </w:rPr>
              <w:t xml:space="preserve">263,612.90 </w:t>
            </w:r>
          </w:p>
        </w:tc>
        <w:tc>
          <w:tcPr>
            <w:tcW w:w="621" w:type="pct"/>
            <w:tcBorders>
              <w:tl2br w:val="nil"/>
              <w:tr2bl w:val="nil"/>
            </w:tcBorders>
            <w:shd w:val="clear" w:color="auto" w:fill="FFFFFF" w:themeFill="background1"/>
            <w:noWrap/>
            <w:vAlign w:val="center"/>
          </w:tcPr>
          <w:p w14:paraId="00046451">
            <w:pPr>
              <w:pStyle w:val="15"/>
              <w:spacing w:line="480" w:lineRule="auto"/>
              <w:rPr>
                <w:rFonts w:ascii="Times New Roman" w:hAnsi="Times New Roman" w:cs="Times New Roman"/>
                <w:kern w:val="0"/>
              </w:rPr>
            </w:pPr>
            <w:r>
              <w:rPr>
                <w:rFonts w:ascii="Times New Roman" w:hAnsi="Times New Roman" w:cs="Times New Roman"/>
                <w:kern w:val="0"/>
              </w:rPr>
              <w:t xml:space="preserve">0.3900 </w:t>
            </w:r>
          </w:p>
        </w:tc>
        <w:tc>
          <w:tcPr>
            <w:tcW w:w="622" w:type="dxa"/>
            <w:tcBorders>
              <w:tl2br w:val="nil"/>
              <w:tr2bl w:val="nil"/>
            </w:tcBorders>
            <w:shd w:val="clear" w:color="auto" w:fill="FFFFFF" w:themeFill="background1"/>
            <w:noWrap/>
          </w:tcPr>
          <w:p w14:paraId="43892DE6">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2B886C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618D60BB">
            <w:pPr>
              <w:pStyle w:val="15"/>
              <w:spacing w:line="480" w:lineRule="auto"/>
              <w:rPr>
                <w:rFonts w:ascii="Times New Roman" w:hAnsi="Times New Roman" w:cs="Times New Roman"/>
                <w:kern w:val="0"/>
              </w:rPr>
            </w:pPr>
            <w:r>
              <w:rPr>
                <w:rFonts w:ascii="Times New Roman" w:hAnsi="Times New Roman" w:cs="Times New Roman"/>
                <w:kern w:val="0"/>
              </w:rPr>
              <w:t>PML</w:t>
            </w:r>
          </w:p>
        </w:tc>
        <w:tc>
          <w:tcPr>
            <w:tcW w:w="555" w:type="pct"/>
            <w:tcBorders>
              <w:tl2br w:val="nil"/>
              <w:tr2bl w:val="nil"/>
            </w:tcBorders>
            <w:shd w:val="clear" w:color="auto" w:fill="FFFFFF" w:themeFill="background1"/>
            <w:noWrap/>
            <w:vAlign w:val="center"/>
          </w:tcPr>
          <w:p w14:paraId="07C4DA4D">
            <w:pPr>
              <w:pStyle w:val="15"/>
              <w:spacing w:line="480" w:lineRule="auto"/>
              <w:rPr>
                <w:rFonts w:ascii="Times New Roman" w:hAnsi="Times New Roman" w:cs="Times New Roman"/>
                <w:kern w:val="0"/>
              </w:rPr>
            </w:pPr>
            <w:r>
              <w:rPr>
                <w:rFonts w:ascii="Times New Roman" w:hAnsi="Times New Roman" w:cs="Times New Roman"/>
                <w:kern w:val="0"/>
              </w:rPr>
              <w:t xml:space="preserve">0.0140 </w:t>
            </w:r>
          </w:p>
        </w:tc>
        <w:tc>
          <w:tcPr>
            <w:tcW w:w="507" w:type="pct"/>
            <w:tcBorders>
              <w:tl2br w:val="nil"/>
              <w:tr2bl w:val="nil"/>
            </w:tcBorders>
            <w:shd w:val="clear" w:color="auto" w:fill="FFFFFF" w:themeFill="background1"/>
            <w:noWrap/>
            <w:vAlign w:val="center"/>
          </w:tcPr>
          <w:p w14:paraId="25F77E49">
            <w:pPr>
              <w:pStyle w:val="15"/>
              <w:spacing w:line="480" w:lineRule="auto"/>
              <w:rPr>
                <w:rFonts w:ascii="Times New Roman" w:hAnsi="Times New Roman" w:cs="Times New Roman"/>
                <w:kern w:val="0"/>
              </w:rPr>
            </w:pPr>
            <w:r>
              <w:rPr>
                <w:rFonts w:ascii="Times New Roman" w:hAnsi="Times New Roman" w:cs="Times New Roman"/>
                <w:kern w:val="0"/>
              </w:rPr>
              <w:t xml:space="preserve">0.0140 </w:t>
            </w:r>
          </w:p>
        </w:tc>
        <w:tc>
          <w:tcPr>
            <w:tcW w:w="992" w:type="dxa"/>
            <w:tcBorders>
              <w:tl2br w:val="nil"/>
              <w:tr2bl w:val="nil"/>
            </w:tcBorders>
            <w:shd w:val="clear" w:color="auto" w:fill="FFFFFF" w:themeFill="background1"/>
            <w:noWrap/>
            <w:vAlign w:val="center"/>
          </w:tcPr>
          <w:p w14:paraId="22B486D8">
            <w:pPr>
              <w:pStyle w:val="15"/>
              <w:spacing w:line="480" w:lineRule="auto"/>
              <w:rPr>
                <w:rFonts w:ascii="Times New Roman" w:hAnsi="Times New Roman" w:cs="Times New Roman"/>
                <w:kern w:val="0"/>
              </w:rPr>
            </w:pPr>
            <w:r>
              <w:rPr>
                <w:rFonts w:ascii="Times New Roman" w:hAnsi="Times New Roman" w:cs="Times New Roman"/>
                <w:kern w:val="0"/>
              </w:rPr>
              <w:t xml:space="preserve">58,073.77 </w:t>
            </w:r>
          </w:p>
        </w:tc>
        <w:tc>
          <w:tcPr>
            <w:tcW w:w="692" w:type="pct"/>
            <w:tcBorders>
              <w:tl2br w:val="nil"/>
              <w:tr2bl w:val="nil"/>
            </w:tcBorders>
            <w:shd w:val="clear" w:color="auto" w:fill="FFFFFF" w:themeFill="background1"/>
            <w:noWrap/>
            <w:vAlign w:val="center"/>
          </w:tcPr>
          <w:p w14:paraId="02A5DB86">
            <w:pPr>
              <w:pStyle w:val="15"/>
              <w:spacing w:line="480" w:lineRule="auto"/>
              <w:rPr>
                <w:rFonts w:ascii="Times New Roman" w:hAnsi="Times New Roman" w:cs="Times New Roman"/>
                <w:kern w:val="0"/>
              </w:rPr>
            </w:pPr>
            <w:r>
              <w:rPr>
                <w:rFonts w:ascii="Times New Roman" w:hAnsi="Times New Roman" w:cs="Times New Roman"/>
                <w:kern w:val="0"/>
              </w:rPr>
              <w:t xml:space="preserve">145,548.39 </w:t>
            </w:r>
          </w:p>
        </w:tc>
        <w:tc>
          <w:tcPr>
            <w:tcW w:w="621" w:type="pct"/>
            <w:tcBorders>
              <w:tl2br w:val="nil"/>
              <w:tr2bl w:val="nil"/>
            </w:tcBorders>
            <w:shd w:val="clear" w:color="auto" w:fill="FFFFFF" w:themeFill="background1"/>
            <w:noWrap/>
            <w:vAlign w:val="center"/>
          </w:tcPr>
          <w:p w14:paraId="2FE348FF">
            <w:pPr>
              <w:pStyle w:val="15"/>
              <w:spacing w:line="480" w:lineRule="auto"/>
              <w:rPr>
                <w:rFonts w:ascii="Times New Roman" w:hAnsi="Times New Roman" w:cs="Times New Roman"/>
                <w:kern w:val="0"/>
              </w:rPr>
            </w:pPr>
            <w:r>
              <w:rPr>
                <w:rFonts w:ascii="Times New Roman" w:hAnsi="Times New Roman" w:cs="Times New Roman"/>
                <w:kern w:val="0"/>
              </w:rPr>
              <w:t xml:space="preserve">0.3900 </w:t>
            </w:r>
          </w:p>
        </w:tc>
        <w:tc>
          <w:tcPr>
            <w:tcW w:w="622" w:type="dxa"/>
            <w:tcBorders>
              <w:tl2br w:val="nil"/>
              <w:tr2bl w:val="nil"/>
            </w:tcBorders>
            <w:shd w:val="clear" w:color="auto" w:fill="FFFFFF" w:themeFill="background1"/>
            <w:noWrap/>
          </w:tcPr>
          <w:p w14:paraId="3D7423A6">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6ADBE0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BC8715B">
            <w:pPr>
              <w:pStyle w:val="15"/>
              <w:spacing w:line="480" w:lineRule="auto"/>
              <w:rPr>
                <w:rFonts w:ascii="Times New Roman" w:hAnsi="Times New Roman" w:cs="Times New Roman"/>
                <w:kern w:val="0"/>
              </w:rPr>
            </w:pPr>
            <w:r>
              <w:rPr>
                <w:rFonts w:ascii="Times New Roman" w:hAnsi="Times New Roman" w:cs="Times New Roman"/>
                <w:kern w:val="0"/>
              </w:rPr>
              <w:t>Toxoplasmas’ encephalitis</w:t>
            </w:r>
          </w:p>
        </w:tc>
        <w:tc>
          <w:tcPr>
            <w:tcW w:w="555" w:type="pct"/>
            <w:tcBorders>
              <w:tl2br w:val="nil"/>
              <w:tr2bl w:val="nil"/>
            </w:tcBorders>
            <w:shd w:val="clear" w:color="auto" w:fill="FFFFFF" w:themeFill="background1"/>
            <w:noWrap/>
            <w:vAlign w:val="center"/>
          </w:tcPr>
          <w:p w14:paraId="43B18A0C">
            <w:pPr>
              <w:pStyle w:val="15"/>
              <w:spacing w:line="480" w:lineRule="auto"/>
              <w:rPr>
                <w:rFonts w:ascii="Times New Roman" w:hAnsi="Times New Roman" w:cs="Times New Roman"/>
                <w:kern w:val="0"/>
              </w:rPr>
            </w:pPr>
            <w:r>
              <w:rPr>
                <w:rFonts w:ascii="Times New Roman" w:hAnsi="Times New Roman" w:cs="Times New Roman"/>
                <w:kern w:val="0"/>
              </w:rPr>
              <w:t xml:space="preserve">0.0190 </w:t>
            </w:r>
          </w:p>
        </w:tc>
        <w:tc>
          <w:tcPr>
            <w:tcW w:w="507" w:type="pct"/>
            <w:tcBorders>
              <w:tl2br w:val="nil"/>
              <w:tr2bl w:val="nil"/>
            </w:tcBorders>
            <w:shd w:val="clear" w:color="auto" w:fill="FFFFFF" w:themeFill="background1"/>
            <w:noWrap/>
            <w:vAlign w:val="center"/>
          </w:tcPr>
          <w:p w14:paraId="0D09CDF9">
            <w:pPr>
              <w:pStyle w:val="15"/>
              <w:spacing w:line="480" w:lineRule="auto"/>
              <w:rPr>
                <w:rFonts w:ascii="Times New Roman" w:hAnsi="Times New Roman" w:cs="Times New Roman"/>
                <w:kern w:val="0"/>
              </w:rPr>
            </w:pPr>
            <w:r>
              <w:rPr>
                <w:rFonts w:ascii="Times New Roman" w:hAnsi="Times New Roman" w:cs="Times New Roman"/>
                <w:kern w:val="0"/>
              </w:rPr>
              <w:t xml:space="preserve">0.0191 </w:t>
            </w:r>
          </w:p>
        </w:tc>
        <w:tc>
          <w:tcPr>
            <w:tcW w:w="992" w:type="dxa"/>
            <w:tcBorders>
              <w:tl2br w:val="nil"/>
              <w:tr2bl w:val="nil"/>
            </w:tcBorders>
            <w:shd w:val="clear" w:color="auto" w:fill="FFFFFF" w:themeFill="background1"/>
            <w:noWrap/>
            <w:vAlign w:val="center"/>
          </w:tcPr>
          <w:p w14:paraId="4C2F743E">
            <w:pPr>
              <w:pStyle w:val="15"/>
              <w:spacing w:line="480" w:lineRule="auto"/>
              <w:rPr>
                <w:rFonts w:ascii="Times New Roman" w:hAnsi="Times New Roman" w:cs="Times New Roman"/>
                <w:kern w:val="0"/>
              </w:rPr>
            </w:pPr>
            <w:r>
              <w:rPr>
                <w:rFonts w:ascii="Times New Roman" w:hAnsi="Times New Roman" w:cs="Times New Roman"/>
                <w:kern w:val="0"/>
              </w:rPr>
              <w:t xml:space="preserve">21,638.66 </w:t>
            </w:r>
          </w:p>
        </w:tc>
        <w:tc>
          <w:tcPr>
            <w:tcW w:w="692" w:type="pct"/>
            <w:tcBorders>
              <w:tl2br w:val="nil"/>
              <w:tr2bl w:val="nil"/>
            </w:tcBorders>
            <w:shd w:val="clear" w:color="auto" w:fill="FFFFFF" w:themeFill="background1"/>
            <w:noWrap/>
            <w:vAlign w:val="center"/>
          </w:tcPr>
          <w:p w14:paraId="538B3D7F">
            <w:pPr>
              <w:pStyle w:val="15"/>
              <w:spacing w:line="480" w:lineRule="auto"/>
              <w:rPr>
                <w:rFonts w:ascii="Times New Roman" w:hAnsi="Times New Roman" w:cs="Times New Roman"/>
                <w:kern w:val="0"/>
              </w:rPr>
            </w:pPr>
            <w:r>
              <w:rPr>
                <w:rFonts w:ascii="Times New Roman" w:hAnsi="Times New Roman" w:cs="Times New Roman"/>
                <w:kern w:val="0"/>
              </w:rPr>
              <w:t xml:space="preserve">54,232.26 </w:t>
            </w:r>
          </w:p>
        </w:tc>
        <w:tc>
          <w:tcPr>
            <w:tcW w:w="621" w:type="pct"/>
            <w:tcBorders>
              <w:tl2br w:val="nil"/>
              <w:tr2bl w:val="nil"/>
            </w:tcBorders>
            <w:shd w:val="clear" w:color="auto" w:fill="FFFFFF" w:themeFill="background1"/>
            <w:noWrap/>
            <w:vAlign w:val="center"/>
          </w:tcPr>
          <w:p w14:paraId="1FC31C36">
            <w:pPr>
              <w:pStyle w:val="15"/>
              <w:spacing w:line="480" w:lineRule="auto"/>
              <w:rPr>
                <w:rFonts w:ascii="Times New Roman" w:hAnsi="Times New Roman" w:cs="Times New Roman"/>
                <w:kern w:val="0"/>
              </w:rPr>
            </w:pPr>
            <w:r>
              <w:rPr>
                <w:rFonts w:ascii="Times New Roman" w:hAnsi="Times New Roman" w:cs="Times New Roman"/>
                <w:kern w:val="0"/>
              </w:rPr>
              <w:t xml:space="preserve">0.1500 </w:t>
            </w:r>
          </w:p>
        </w:tc>
        <w:tc>
          <w:tcPr>
            <w:tcW w:w="622" w:type="dxa"/>
            <w:tcBorders>
              <w:tl2br w:val="nil"/>
              <w:tr2bl w:val="nil"/>
            </w:tcBorders>
            <w:shd w:val="clear" w:color="auto" w:fill="FFFFFF" w:themeFill="background1"/>
            <w:noWrap/>
          </w:tcPr>
          <w:p w14:paraId="1B1E0CC0">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7315E1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102DD11F">
            <w:pPr>
              <w:pStyle w:val="15"/>
              <w:spacing w:line="480" w:lineRule="auto"/>
              <w:rPr>
                <w:rFonts w:ascii="Times New Roman" w:hAnsi="Times New Roman" w:cs="Times New Roman"/>
                <w:kern w:val="0"/>
              </w:rPr>
            </w:pPr>
            <w:r>
              <w:rPr>
                <w:rFonts w:ascii="Times New Roman" w:hAnsi="Times New Roman" w:cs="Times New Roman"/>
                <w:kern w:val="0"/>
              </w:rPr>
              <w:t>Wasting syndrome</w:t>
            </w:r>
          </w:p>
        </w:tc>
        <w:tc>
          <w:tcPr>
            <w:tcW w:w="555" w:type="pct"/>
            <w:tcBorders>
              <w:tl2br w:val="nil"/>
              <w:tr2bl w:val="nil"/>
            </w:tcBorders>
            <w:shd w:val="clear" w:color="auto" w:fill="FFFFFF" w:themeFill="background1"/>
            <w:noWrap/>
            <w:vAlign w:val="center"/>
          </w:tcPr>
          <w:p w14:paraId="48BC59D1">
            <w:pPr>
              <w:pStyle w:val="15"/>
              <w:spacing w:line="480" w:lineRule="auto"/>
              <w:rPr>
                <w:rFonts w:ascii="Times New Roman" w:hAnsi="Times New Roman" w:cs="Times New Roman"/>
                <w:kern w:val="0"/>
              </w:rPr>
            </w:pPr>
            <w:r>
              <w:rPr>
                <w:rFonts w:ascii="Times New Roman" w:hAnsi="Times New Roman" w:cs="Times New Roman"/>
                <w:kern w:val="0"/>
              </w:rPr>
              <w:t xml:space="preserve">0.2310 </w:t>
            </w:r>
          </w:p>
        </w:tc>
        <w:tc>
          <w:tcPr>
            <w:tcW w:w="507" w:type="pct"/>
            <w:tcBorders>
              <w:tl2br w:val="nil"/>
              <w:tr2bl w:val="nil"/>
            </w:tcBorders>
            <w:shd w:val="clear" w:color="auto" w:fill="FFFFFF" w:themeFill="background1"/>
            <w:noWrap/>
            <w:vAlign w:val="center"/>
          </w:tcPr>
          <w:p w14:paraId="7CCE92AB">
            <w:pPr>
              <w:pStyle w:val="15"/>
              <w:spacing w:line="480" w:lineRule="auto"/>
              <w:rPr>
                <w:rFonts w:ascii="Times New Roman" w:hAnsi="Times New Roman" w:cs="Times New Roman"/>
                <w:kern w:val="0"/>
              </w:rPr>
            </w:pPr>
            <w:r>
              <w:rPr>
                <w:rFonts w:ascii="Times New Roman" w:hAnsi="Times New Roman" w:cs="Times New Roman"/>
                <w:kern w:val="0"/>
              </w:rPr>
              <w:t xml:space="preserve">0.2317 </w:t>
            </w:r>
          </w:p>
        </w:tc>
        <w:tc>
          <w:tcPr>
            <w:tcW w:w="992" w:type="dxa"/>
            <w:tcBorders>
              <w:tl2br w:val="nil"/>
              <w:tr2bl w:val="nil"/>
            </w:tcBorders>
            <w:shd w:val="clear" w:color="auto" w:fill="FFFFFF" w:themeFill="background1"/>
            <w:noWrap/>
            <w:vAlign w:val="center"/>
          </w:tcPr>
          <w:p w14:paraId="1BDDB1F8">
            <w:pPr>
              <w:pStyle w:val="15"/>
              <w:spacing w:line="480" w:lineRule="auto"/>
              <w:rPr>
                <w:rFonts w:ascii="Times New Roman" w:hAnsi="Times New Roman" w:cs="Times New Roman"/>
                <w:kern w:val="0"/>
              </w:rPr>
            </w:pPr>
            <w:r>
              <w:rPr>
                <w:rFonts w:ascii="Times New Roman" w:hAnsi="Times New Roman" w:cs="Times New Roman"/>
                <w:kern w:val="0"/>
              </w:rPr>
              <w:t xml:space="preserve">112,965.83 </w:t>
            </w:r>
          </w:p>
        </w:tc>
        <w:tc>
          <w:tcPr>
            <w:tcW w:w="692" w:type="pct"/>
            <w:tcBorders>
              <w:tl2br w:val="nil"/>
              <w:tr2bl w:val="nil"/>
            </w:tcBorders>
            <w:shd w:val="clear" w:color="auto" w:fill="FFFFFF" w:themeFill="background1"/>
            <w:noWrap/>
            <w:vAlign w:val="center"/>
          </w:tcPr>
          <w:p w14:paraId="230136B6">
            <w:pPr>
              <w:pStyle w:val="15"/>
              <w:spacing w:line="480" w:lineRule="auto"/>
              <w:rPr>
                <w:rFonts w:ascii="Times New Roman" w:hAnsi="Times New Roman" w:cs="Times New Roman"/>
                <w:kern w:val="0"/>
              </w:rPr>
            </w:pPr>
            <w:r>
              <w:rPr>
                <w:rFonts w:ascii="Times New Roman" w:hAnsi="Times New Roman" w:cs="Times New Roman"/>
                <w:kern w:val="0"/>
              </w:rPr>
              <w:t xml:space="preserve">283,122.58 </w:t>
            </w:r>
          </w:p>
        </w:tc>
        <w:tc>
          <w:tcPr>
            <w:tcW w:w="621" w:type="pct"/>
            <w:tcBorders>
              <w:tl2br w:val="nil"/>
              <w:tr2bl w:val="nil"/>
            </w:tcBorders>
            <w:shd w:val="clear" w:color="auto" w:fill="FFFFFF" w:themeFill="background1"/>
            <w:noWrap/>
            <w:vAlign w:val="center"/>
          </w:tcPr>
          <w:p w14:paraId="009C9FC4">
            <w:pPr>
              <w:pStyle w:val="15"/>
              <w:spacing w:line="480" w:lineRule="auto"/>
              <w:rPr>
                <w:rFonts w:ascii="Times New Roman" w:hAnsi="Times New Roman" w:cs="Times New Roman"/>
                <w:kern w:val="0"/>
              </w:rPr>
            </w:pPr>
            <w:r>
              <w:rPr>
                <w:rFonts w:ascii="Times New Roman" w:hAnsi="Times New Roman" w:cs="Times New Roman"/>
                <w:kern w:val="0"/>
              </w:rPr>
              <w:t xml:space="preserve">0.3900 </w:t>
            </w:r>
          </w:p>
        </w:tc>
        <w:tc>
          <w:tcPr>
            <w:tcW w:w="622" w:type="dxa"/>
            <w:tcBorders>
              <w:tl2br w:val="nil"/>
              <w:tr2bl w:val="nil"/>
            </w:tcBorders>
            <w:shd w:val="clear" w:color="auto" w:fill="FFFFFF" w:themeFill="background1"/>
            <w:noWrap/>
          </w:tcPr>
          <w:p w14:paraId="13A9C5CC">
            <w:pPr>
              <w:pStyle w:val="15"/>
              <w:spacing w:line="480" w:lineRule="auto"/>
              <w:rPr>
                <w:rFonts w:ascii="Times New Roman" w:hAnsi="Times New Roman" w:cs="Times New Roman"/>
                <w:kern w:val="0"/>
              </w:rPr>
            </w:pPr>
            <w:r>
              <w:rPr>
                <w:rFonts w:ascii="Times New Roman" w:hAnsi="Times New Roman" w:cs="Times New Roman"/>
                <w:kern w:val="0"/>
              </w:rPr>
              <w:t>Lifelong</w:t>
            </w:r>
          </w:p>
        </w:tc>
      </w:tr>
      <w:tr w14:paraId="54D5F2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1" w:type="dxa"/>
            <w:tcBorders>
              <w:tl2br w:val="nil"/>
              <w:tr2bl w:val="nil"/>
            </w:tcBorders>
            <w:shd w:val="clear" w:color="auto" w:fill="FFFFFF" w:themeFill="background1"/>
            <w:noWrap/>
          </w:tcPr>
          <w:p w14:paraId="2971232C">
            <w:pPr>
              <w:pStyle w:val="15"/>
              <w:spacing w:line="480" w:lineRule="auto"/>
              <w:rPr>
                <w:rFonts w:ascii="Times New Roman" w:hAnsi="Times New Roman" w:cs="Times New Roman"/>
                <w:kern w:val="0"/>
              </w:rPr>
            </w:pPr>
            <w:r>
              <w:rPr>
                <w:rFonts w:ascii="Times New Roman" w:hAnsi="Times New Roman" w:cs="Times New Roman"/>
                <w:kern w:val="0"/>
              </w:rPr>
              <w:t>Total</w:t>
            </w:r>
          </w:p>
        </w:tc>
        <w:tc>
          <w:tcPr>
            <w:tcW w:w="555" w:type="pct"/>
            <w:tcBorders>
              <w:tl2br w:val="nil"/>
              <w:tr2bl w:val="nil"/>
            </w:tcBorders>
            <w:shd w:val="clear" w:color="auto" w:fill="FFFFFF" w:themeFill="background1"/>
            <w:noWrap/>
            <w:vAlign w:val="center"/>
          </w:tcPr>
          <w:p w14:paraId="745F2945">
            <w:pPr>
              <w:pStyle w:val="15"/>
              <w:spacing w:line="480" w:lineRule="auto"/>
              <w:rPr>
                <w:rFonts w:ascii="Times New Roman" w:hAnsi="Times New Roman" w:cs="Times New Roman"/>
                <w:kern w:val="0"/>
              </w:rPr>
            </w:pPr>
            <w:r>
              <w:rPr>
                <w:rFonts w:ascii="Times New Roman" w:hAnsi="Times New Roman" w:cs="Times New Roman"/>
                <w:kern w:val="0"/>
              </w:rPr>
              <w:t xml:space="preserve">0.9970 </w:t>
            </w:r>
          </w:p>
        </w:tc>
        <w:tc>
          <w:tcPr>
            <w:tcW w:w="507" w:type="pct"/>
            <w:tcBorders>
              <w:tl2br w:val="nil"/>
              <w:tr2bl w:val="nil"/>
            </w:tcBorders>
            <w:shd w:val="clear" w:color="auto" w:fill="FFFFFF" w:themeFill="background1"/>
            <w:noWrap/>
            <w:vAlign w:val="center"/>
          </w:tcPr>
          <w:p w14:paraId="01BF378D">
            <w:pPr>
              <w:pStyle w:val="15"/>
              <w:spacing w:line="480" w:lineRule="auto"/>
              <w:rPr>
                <w:rFonts w:ascii="Times New Roman" w:hAnsi="Times New Roman" w:cs="Times New Roman"/>
                <w:kern w:val="0"/>
              </w:rPr>
            </w:pPr>
            <w:r>
              <w:rPr>
                <w:rFonts w:ascii="Times New Roman" w:hAnsi="Times New Roman" w:cs="Times New Roman"/>
                <w:kern w:val="0"/>
              </w:rPr>
              <w:t xml:space="preserve">1.0000 </w:t>
            </w:r>
          </w:p>
        </w:tc>
        <w:tc>
          <w:tcPr>
            <w:tcW w:w="639" w:type="pct"/>
            <w:tcBorders>
              <w:tl2br w:val="nil"/>
              <w:tr2bl w:val="nil"/>
            </w:tcBorders>
            <w:shd w:val="clear" w:color="auto" w:fill="FFFFFF" w:themeFill="background1"/>
            <w:noWrap/>
            <w:vAlign w:val="center"/>
          </w:tcPr>
          <w:p w14:paraId="1FC2DCE3">
            <w:pPr>
              <w:pStyle w:val="15"/>
              <w:spacing w:line="480" w:lineRule="auto"/>
              <w:rPr>
                <w:rFonts w:ascii="Times New Roman" w:hAnsi="Times New Roman" w:cs="Times New Roman"/>
                <w:kern w:val="0"/>
              </w:rPr>
            </w:pPr>
          </w:p>
        </w:tc>
        <w:tc>
          <w:tcPr>
            <w:tcW w:w="692" w:type="pct"/>
            <w:tcBorders>
              <w:tl2br w:val="nil"/>
              <w:tr2bl w:val="nil"/>
            </w:tcBorders>
            <w:shd w:val="clear" w:color="auto" w:fill="FFFFFF" w:themeFill="background1"/>
            <w:noWrap/>
            <w:vAlign w:val="center"/>
          </w:tcPr>
          <w:p w14:paraId="11A0C0F1">
            <w:pPr>
              <w:pStyle w:val="15"/>
              <w:spacing w:line="480" w:lineRule="auto"/>
              <w:rPr>
                <w:rFonts w:ascii="Times New Roman" w:hAnsi="Times New Roman" w:cs="Times New Roman"/>
                <w:kern w:val="0"/>
              </w:rPr>
            </w:pPr>
          </w:p>
        </w:tc>
        <w:tc>
          <w:tcPr>
            <w:tcW w:w="621" w:type="pct"/>
            <w:tcBorders>
              <w:tl2br w:val="nil"/>
              <w:tr2bl w:val="nil"/>
            </w:tcBorders>
            <w:shd w:val="clear" w:color="auto" w:fill="FFFFFF" w:themeFill="background1"/>
            <w:noWrap/>
            <w:vAlign w:val="center"/>
          </w:tcPr>
          <w:p w14:paraId="5F16AB2D">
            <w:pPr>
              <w:pStyle w:val="15"/>
              <w:spacing w:line="480" w:lineRule="auto"/>
              <w:rPr>
                <w:rFonts w:ascii="Times New Roman" w:hAnsi="Times New Roman" w:cs="Times New Roman"/>
                <w:kern w:val="0"/>
              </w:rPr>
            </w:pPr>
          </w:p>
        </w:tc>
        <w:tc>
          <w:tcPr>
            <w:tcW w:w="507" w:type="pct"/>
            <w:tcBorders>
              <w:tl2br w:val="nil"/>
              <w:tr2bl w:val="nil"/>
            </w:tcBorders>
            <w:shd w:val="clear" w:color="auto" w:fill="FFFFFF" w:themeFill="background1"/>
            <w:noWrap/>
            <w:vAlign w:val="center"/>
          </w:tcPr>
          <w:p w14:paraId="03B1BE16">
            <w:pPr>
              <w:pStyle w:val="15"/>
              <w:spacing w:line="480" w:lineRule="auto"/>
              <w:rPr>
                <w:rFonts w:ascii="Times New Roman" w:hAnsi="Times New Roman" w:cs="Times New Roman"/>
                <w:kern w:val="0"/>
              </w:rPr>
            </w:pPr>
          </w:p>
        </w:tc>
      </w:tr>
      <w:tr w14:paraId="04EC92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476" w:type="pct"/>
            <w:tcBorders>
              <w:tl2br w:val="nil"/>
              <w:tr2bl w:val="nil"/>
            </w:tcBorders>
            <w:shd w:val="clear" w:color="auto" w:fill="FFFFFF" w:themeFill="background1"/>
            <w:noWrap/>
            <w:vAlign w:val="center"/>
          </w:tcPr>
          <w:p w14:paraId="2EB9DF81">
            <w:pPr>
              <w:pStyle w:val="15"/>
              <w:spacing w:line="480" w:lineRule="auto"/>
              <w:rPr>
                <w:rFonts w:ascii="Times New Roman" w:hAnsi="Times New Roman" w:cs="Times New Roman"/>
                <w:kern w:val="0"/>
              </w:rPr>
            </w:pPr>
          </w:p>
        </w:tc>
        <w:tc>
          <w:tcPr>
            <w:tcW w:w="3523" w:type="pct"/>
            <w:gridSpan w:val="6"/>
            <w:tcBorders>
              <w:tl2br w:val="nil"/>
              <w:tr2bl w:val="nil"/>
            </w:tcBorders>
            <w:shd w:val="clear" w:color="auto" w:fill="FFFFFF" w:themeFill="background1"/>
            <w:vAlign w:val="center"/>
          </w:tcPr>
          <w:p w14:paraId="2BC02232">
            <w:pPr>
              <w:pStyle w:val="15"/>
              <w:spacing w:line="480" w:lineRule="auto"/>
              <w:rPr>
                <w:rFonts w:ascii="Times New Roman" w:hAnsi="Times New Roman" w:cs="Times New Roman"/>
                <w:kern w:val="0"/>
              </w:rPr>
            </w:pPr>
            <w:r>
              <w:rPr>
                <w:rFonts w:ascii="Times New Roman" w:hAnsi="Times New Roman" w:eastAsia="宋体" w:cs="Times New Roman"/>
                <w:b/>
                <w:bCs/>
                <w:kern w:val="0"/>
              </w:rPr>
              <w:t>Annual cost and utility</w:t>
            </w:r>
          </w:p>
        </w:tc>
      </w:tr>
      <w:tr w14:paraId="40AE29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76" w:type="pct"/>
            <w:tcBorders>
              <w:tl2br w:val="nil"/>
              <w:tr2bl w:val="nil"/>
            </w:tcBorders>
            <w:shd w:val="clear" w:color="auto" w:fill="FFFFFF" w:themeFill="background1"/>
            <w:noWrap/>
            <w:vAlign w:val="center"/>
          </w:tcPr>
          <w:p w14:paraId="02C9D7D7">
            <w:pPr>
              <w:pStyle w:val="15"/>
              <w:spacing w:line="480" w:lineRule="auto"/>
              <w:rPr>
                <w:rFonts w:ascii="Times New Roman" w:hAnsi="Times New Roman" w:cs="Times New Roman"/>
                <w:kern w:val="0"/>
              </w:rPr>
            </w:pPr>
            <w:r>
              <w:rPr>
                <w:rFonts w:ascii="Times New Roman" w:hAnsi="Times New Roman" w:cs="Times New Roman"/>
                <w:kern w:val="0"/>
              </w:rPr>
              <w:t>Cost, $</w:t>
            </w:r>
          </w:p>
        </w:tc>
        <w:tc>
          <w:tcPr>
            <w:tcW w:w="3523" w:type="pct"/>
            <w:gridSpan w:val="6"/>
            <w:tcBorders>
              <w:tl2br w:val="nil"/>
              <w:tr2bl w:val="nil"/>
            </w:tcBorders>
            <w:shd w:val="clear" w:color="auto" w:fill="FFFFFF" w:themeFill="background1"/>
            <w:noWrap/>
            <w:vAlign w:val="center"/>
          </w:tcPr>
          <w:p w14:paraId="1469FA25">
            <w:pPr>
              <w:pStyle w:val="15"/>
              <w:spacing w:line="480" w:lineRule="auto"/>
              <w:rPr>
                <w:rFonts w:ascii="Times New Roman" w:hAnsi="Times New Roman" w:cs="Times New Roman"/>
                <w:kern w:val="0"/>
              </w:rPr>
            </w:pPr>
            <w:r>
              <w:rPr>
                <w:rFonts w:ascii="Times New Roman" w:hAnsi="Times New Roman" w:cs="Times New Roman"/>
                <w:kern w:val="0"/>
              </w:rPr>
              <w:t>48,993.02</w:t>
            </w:r>
          </w:p>
        </w:tc>
      </w:tr>
      <w:tr w14:paraId="7ACEF69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76" w:type="pct"/>
            <w:tcBorders>
              <w:tl2br w:val="nil"/>
              <w:tr2bl w:val="nil"/>
            </w:tcBorders>
            <w:shd w:val="clear" w:color="auto" w:fill="FFFFFF" w:themeFill="background1"/>
            <w:noWrap/>
            <w:vAlign w:val="center"/>
          </w:tcPr>
          <w:p w14:paraId="74722603">
            <w:pPr>
              <w:pStyle w:val="15"/>
              <w:spacing w:line="480" w:lineRule="auto"/>
              <w:rPr>
                <w:rFonts w:ascii="Times New Roman" w:hAnsi="Times New Roman" w:cs="Times New Roman"/>
                <w:kern w:val="0"/>
              </w:rPr>
            </w:pPr>
            <w:r>
              <w:rPr>
                <w:rFonts w:ascii="Times New Roman" w:hAnsi="Times New Roman" w:cs="Times New Roman"/>
                <w:kern w:val="0"/>
              </w:rPr>
              <w:t>Utility, QALY</w:t>
            </w:r>
          </w:p>
        </w:tc>
        <w:tc>
          <w:tcPr>
            <w:tcW w:w="3523" w:type="pct"/>
            <w:gridSpan w:val="6"/>
            <w:tcBorders>
              <w:tl2br w:val="nil"/>
              <w:tr2bl w:val="nil"/>
            </w:tcBorders>
            <w:shd w:val="clear" w:color="auto" w:fill="FFFFFF" w:themeFill="background1"/>
            <w:noWrap/>
            <w:vAlign w:val="center"/>
          </w:tcPr>
          <w:p w14:paraId="5A293B26">
            <w:pPr>
              <w:pStyle w:val="15"/>
              <w:spacing w:line="480" w:lineRule="auto"/>
              <w:rPr>
                <w:rFonts w:ascii="Times New Roman" w:hAnsi="Times New Roman" w:cs="Times New Roman"/>
                <w:kern w:val="0"/>
              </w:rPr>
            </w:pPr>
            <w:r>
              <w:rPr>
                <w:rFonts w:ascii="Times New Roman" w:hAnsi="Times New Roman" w:cs="Times New Roman"/>
                <w:kern w:val="0"/>
              </w:rPr>
              <w:t>0.2364</w:t>
            </w:r>
          </w:p>
        </w:tc>
      </w:tr>
    </w:tbl>
    <w:p w14:paraId="70D72498">
      <w:pPr>
        <w:spacing w:line="480" w:lineRule="auto"/>
        <w:rPr>
          <w:rFonts w:ascii="Times New Roman" w:hAnsi="Times New Roman" w:cs="Times New Roman"/>
          <w:sz w:val="24"/>
          <w:szCs w:val="24"/>
        </w:rPr>
      </w:pPr>
    </w:p>
    <w:p w14:paraId="08A3D355">
      <w:pPr>
        <w:pStyle w:val="7"/>
        <w:spacing w:line="480" w:lineRule="auto"/>
        <w:jc w:val="center"/>
        <w:rPr>
          <w:rFonts w:ascii="Times New Roman" w:hAnsi="Times New Roman" w:cs="Times New Roman"/>
          <w:b/>
          <w:bCs/>
          <w:sz w:val="24"/>
          <w:szCs w:val="24"/>
        </w:rPr>
      </w:pPr>
      <w:bookmarkStart w:id="40" w:name="_Toc183682237"/>
      <w:bookmarkStart w:id="41" w:name="_Toc216103922"/>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12</w:t>
      </w:r>
      <w:r>
        <w:rPr>
          <w:rFonts w:ascii="Times New Roman" w:hAnsi="Times New Roman" w:cs="Times New Roman"/>
          <w:b/>
          <w:bCs/>
          <w:sz w:val="24"/>
          <w:szCs w:val="24"/>
        </w:rPr>
        <w:fldChar w:fldCharType="end"/>
      </w:r>
      <w:r>
        <w:rPr>
          <w:rFonts w:ascii="Times New Roman" w:hAnsi="Times New Roman" w:cs="Times New Roman"/>
          <w:b/>
          <w:bCs/>
          <w:sz w:val="24"/>
          <w:szCs w:val="24"/>
        </w:rPr>
        <w:t>. AEs Incidence Rates, Costs, and Utilities for ART Regimens</w:t>
      </w:r>
      <w:bookmarkEnd w:id="40"/>
      <w:bookmarkEnd w:id="41"/>
    </w:p>
    <w:tbl>
      <w:tblPr>
        <w:tblStyle w:val="17"/>
        <w:tblW w:w="5000"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1"/>
        <w:gridCol w:w="743"/>
        <w:gridCol w:w="743"/>
        <w:gridCol w:w="811"/>
        <w:gridCol w:w="1113"/>
        <w:gridCol w:w="1224"/>
        <w:gridCol w:w="1113"/>
        <w:gridCol w:w="1224"/>
      </w:tblGrid>
      <w:tr w14:paraId="10DC6805">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tcBorders>
              <w:top w:val="single" w:color="auto" w:sz="12" w:space="0"/>
              <w:left w:val="nil"/>
              <w:bottom w:val="nil"/>
              <w:right w:val="nil"/>
              <w:insideV w:val="nil"/>
              <w:tl2br w:val="nil"/>
              <w:tr2bl w:val="nil"/>
            </w:tcBorders>
            <w:noWrap/>
            <w:vAlign w:val="center"/>
          </w:tcPr>
          <w:p w14:paraId="0FEF1DF4">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Types of AEs</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NE.Ref.{8B5E9F1B-FDD4-4548-A787-5964AF425DD9}</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[9, 17]</w:t>
            </w:r>
            <w:r>
              <w:rPr>
                <w:rFonts w:ascii="Times New Roman" w:hAnsi="Times New Roman" w:eastAsia="宋体" w:cs="Times New Roman"/>
                <w:b/>
                <w:bCs/>
                <w:kern w:val="0"/>
              </w:rPr>
              <w:fldChar w:fldCharType="end"/>
            </w:r>
          </w:p>
        </w:tc>
        <w:tc>
          <w:tcPr>
            <w:tcW w:w="1239" w:type="pct"/>
            <w:gridSpan w:val="2"/>
            <w:tcBorders>
              <w:top w:val="single" w:color="auto" w:sz="12" w:space="0"/>
              <w:bottom w:val="nil"/>
              <w:right w:val="nil"/>
              <w:insideV w:val="nil"/>
              <w:tl2br w:val="nil"/>
              <w:tr2bl w:val="nil"/>
            </w:tcBorders>
            <w:noWrap/>
            <w:vAlign w:val="center"/>
          </w:tcPr>
          <w:p w14:paraId="635CC45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Annual cost</w:t>
            </w:r>
          </w:p>
        </w:tc>
        <w:tc>
          <w:tcPr>
            <w:tcW w:w="543" w:type="pct"/>
            <w:tcBorders>
              <w:top w:val="single" w:color="auto" w:sz="12" w:space="0"/>
              <w:bottom w:val="nil"/>
              <w:right w:val="nil"/>
              <w:insideV w:val="nil"/>
              <w:tl2br w:val="nil"/>
              <w:tr2bl w:val="nil"/>
            </w:tcBorders>
            <w:noWrap/>
            <w:vAlign w:val="center"/>
          </w:tcPr>
          <w:p w14:paraId="78E578B3">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Disutility</w:t>
            </w:r>
          </w:p>
        </w:tc>
        <w:tc>
          <w:tcPr>
            <w:tcW w:w="1135" w:type="pct"/>
            <w:gridSpan w:val="2"/>
            <w:tcBorders>
              <w:top w:val="single" w:color="auto" w:sz="12" w:space="0"/>
              <w:bottom w:val="nil"/>
              <w:right w:val="nil"/>
              <w:insideV w:val="nil"/>
              <w:tl2br w:val="nil"/>
              <w:tr2bl w:val="nil"/>
            </w:tcBorders>
            <w:noWrap/>
            <w:vAlign w:val="center"/>
          </w:tcPr>
          <w:p w14:paraId="16545A3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Annual incidence, %</w:t>
            </w:r>
          </w:p>
        </w:tc>
        <w:tc>
          <w:tcPr>
            <w:tcW w:w="1377" w:type="pct"/>
            <w:gridSpan w:val="2"/>
            <w:tcBorders>
              <w:top w:val="single" w:color="auto" w:sz="12" w:space="0"/>
              <w:bottom w:val="nil"/>
              <w:right w:val="nil"/>
              <w:insideV w:val="nil"/>
              <w:tl2br w:val="nil"/>
              <w:tr2bl w:val="nil"/>
            </w:tcBorders>
            <w:noWrap/>
            <w:vAlign w:val="center"/>
          </w:tcPr>
          <w:p w14:paraId="3D160577">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Proportion, %</w:t>
            </w:r>
          </w:p>
        </w:tc>
      </w:tr>
      <w:tr w14:paraId="37E46BC4">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04" w:type="pct"/>
            <w:tcBorders>
              <w:top w:val="nil"/>
              <w:bottom w:val="single" w:color="auto" w:sz="4" w:space="0"/>
            </w:tcBorders>
            <w:noWrap/>
            <w:vAlign w:val="center"/>
          </w:tcPr>
          <w:p w14:paraId="728F4DB9">
            <w:pPr>
              <w:pStyle w:val="15"/>
              <w:spacing w:line="480" w:lineRule="auto"/>
              <w:rPr>
                <w:rFonts w:ascii="Times New Roman" w:hAnsi="Times New Roman" w:eastAsia="宋体" w:cs="Times New Roman"/>
                <w:b/>
                <w:bCs/>
                <w:kern w:val="0"/>
              </w:rPr>
            </w:pPr>
          </w:p>
        </w:tc>
        <w:tc>
          <w:tcPr>
            <w:tcW w:w="626" w:type="pct"/>
            <w:tcBorders>
              <w:top w:val="nil"/>
              <w:bottom w:val="single" w:color="auto" w:sz="4" w:space="0"/>
            </w:tcBorders>
            <w:noWrap/>
            <w:vAlign w:val="center"/>
          </w:tcPr>
          <w:p w14:paraId="7EA59E1A">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Value, €</w:t>
            </w:r>
          </w:p>
        </w:tc>
        <w:tc>
          <w:tcPr>
            <w:tcW w:w="612" w:type="pct"/>
            <w:tcBorders>
              <w:top w:val="nil"/>
              <w:bottom w:val="single" w:color="auto" w:sz="4" w:space="0"/>
            </w:tcBorders>
            <w:noWrap/>
            <w:vAlign w:val="center"/>
          </w:tcPr>
          <w:p w14:paraId="32AF3ADD">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Value, $</w:t>
            </w:r>
          </w:p>
        </w:tc>
        <w:tc>
          <w:tcPr>
            <w:tcW w:w="543" w:type="pct"/>
            <w:tcBorders>
              <w:top w:val="nil"/>
              <w:bottom w:val="single" w:color="auto" w:sz="4" w:space="0"/>
            </w:tcBorders>
            <w:noWrap/>
            <w:vAlign w:val="center"/>
          </w:tcPr>
          <w:p w14:paraId="07720E06">
            <w:pPr>
              <w:pStyle w:val="15"/>
              <w:spacing w:line="480" w:lineRule="auto"/>
              <w:rPr>
                <w:rFonts w:ascii="Times New Roman" w:hAnsi="Times New Roman" w:eastAsia="宋体" w:cs="Times New Roman"/>
                <w:b/>
                <w:bCs/>
                <w:kern w:val="0"/>
              </w:rPr>
            </w:pPr>
          </w:p>
        </w:tc>
        <w:tc>
          <w:tcPr>
            <w:tcW w:w="665" w:type="pct"/>
            <w:tcBorders>
              <w:top w:val="nil"/>
              <w:bottom w:val="single" w:color="auto" w:sz="4" w:space="0"/>
            </w:tcBorders>
            <w:noWrap/>
            <w:vAlign w:val="center"/>
          </w:tcPr>
          <w:p w14:paraId="3D90B893">
            <w:pPr>
              <w:pStyle w:val="15"/>
              <w:spacing w:line="480" w:lineRule="auto"/>
              <w:rPr>
                <w:rFonts w:ascii="Times New Roman" w:hAnsi="Times New Roman" w:eastAsia="宋体" w:cs="Times New Roman"/>
                <w:b/>
                <w:bCs/>
                <w:kern w:val="0"/>
              </w:rPr>
            </w:pPr>
            <w:r>
              <w:rPr>
                <w:rFonts w:ascii="Times New Roman" w:hAnsi="Times New Roman" w:cs="Times New Roman"/>
                <w:kern w:val="0"/>
              </w:rPr>
              <w:t>BIC/FTC/TAF</w:t>
            </w:r>
          </w:p>
        </w:tc>
        <w:tc>
          <w:tcPr>
            <w:tcW w:w="470" w:type="pct"/>
            <w:tcBorders>
              <w:top w:val="nil"/>
              <w:bottom w:val="single" w:color="auto" w:sz="4" w:space="0"/>
            </w:tcBorders>
            <w:noWrap/>
            <w:vAlign w:val="center"/>
          </w:tcPr>
          <w:p w14:paraId="7405A24F">
            <w:pPr>
              <w:pStyle w:val="15"/>
              <w:spacing w:line="480" w:lineRule="auto"/>
              <w:rPr>
                <w:rFonts w:ascii="Times New Roman" w:hAnsi="Times New Roman" w:eastAsia="宋体" w:cs="Times New Roman"/>
                <w:b/>
                <w:bCs/>
                <w:kern w:val="0"/>
              </w:rPr>
            </w:pPr>
            <w:r>
              <w:rPr>
                <w:rFonts w:ascii="Times New Roman" w:hAnsi="Times New Roman" w:cs="Times New Roman"/>
                <w:kern w:val="0"/>
              </w:rPr>
              <w:t>EFV+3TC+TDF</w:t>
            </w:r>
          </w:p>
        </w:tc>
        <w:tc>
          <w:tcPr>
            <w:tcW w:w="688" w:type="pct"/>
            <w:tcBorders>
              <w:top w:val="nil"/>
              <w:bottom w:val="single" w:color="auto" w:sz="4" w:space="0"/>
            </w:tcBorders>
            <w:noWrap/>
            <w:vAlign w:val="center"/>
          </w:tcPr>
          <w:p w14:paraId="1730B8C6">
            <w:pPr>
              <w:pStyle w:val="15"/>
              <w:spacing w:line="480" w:lineRule="auto"/>
              <w:rPr>
                <w:rFonts w:ascii="Times New Roman" w:hAnsi="Times New Roman" w:eastAsia="宋体" w:cs="Times New Roman"/>
                <w:b/>
                <w:bCs/>
                <w:kern w:val="0"/>
              </w:rPr>
            </w:pPr>
            <w:r>
              <w:rPr>
                <w:rFonts w:ascii="Times New Roman" w:hAnsi="Times New Roman" w:cs="Times New Roman"/>
                <w:kern w:val="0"/>
              </w:rPr>
              <w:t>BIC/FTC/TAF</w:t>
            </w:r>
          </w:p>
        </w:tc>
        <w:tc>
          <w:tcPr>
            <w:tcW w:w="689" w:type="pct"/>
            <w:tcBorders>
              <w:top w:val="nil"/>
              <w:bottom w:val="single" w:color="auto" w:sz="4" w:space="0"/>
            </w:tcBorders>
            <w:noWrap/>
            <w:vAlign w:val="center"/>
          </w:tcPr>
          <w:p w14:paraId="432D3203">
            <w:pPr>
              <w:pStyle w:val="15"/>
              <w:spacing w:line="480" w:lineRule="auto"/>
              <w:rPr>
                <w:rFonts w:ascii="Times New Roman" w:hAnsi="Times New Roman" w:eastAsia="宋体" w:cs="Times New Roman"/>
                <w:b/>
                <w:bCs/>
                <w:kern w:val="0"/>
              </w:rPr>
            </w:pPr>
            <w:r>
              <w:rPr>
                <w:rFonts w:ascii="Times New Roman" w:hAnsi="Times New Roman" w:cs="Times New Roman"/>
                <w:kern w:val="0"/>
              </w:rPr>
              <w:t>EFV+3TC+TDF</w:t>
            </w:r>
          </w:p>
        </w:tc>
      </w:tr>
      <w:tr w14:paraId="10620442">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tcBorders>
              <w:top w:val="single" w:color="auto" w:sz="4" w:space="0"/>
            </w:tcBorders>
            <w:noWrap/>
            <w:vAlign w:val="center"/>
          </w:tcPr>
          <w:p w14:paraId="51070D67">
            <w:pPr>
              <w:pStyle w:val="15"/>
              <w:spacing w:line="480" w:lineRule="auto"/>
              <w:rPr>
                <w:rFonts w:ascii="Times New Roman" w:hAnsi="Times New Roman" w:cs="Times New Roman"/>
                <w:kern w:val="0"/>
              </w:rPr>
            </w:pPr>
            <w:r>
              <w:rPr>
                <w:rFonts w:hint="eastAsia" w:ascii="Times New Roman" w:hAnsi="Times New Roman" w:cs="Times New Roman"/>
                <w:kern w:val="0"/>
              </w:rPr>
              <w:t>N</w:t>
            </w:r>
            <w:r>
              <w:rPr>
                <w:rFonts w:ascii="Times New Roman" w:hAnsi="Times New Roman" w:cs="Times New Roman"/>
                <w:kern w:val="0"/>
              </w:rPr>
              <w:t>ausea</w:t>
            </w:r>
          </w:p>
        </w:tc>
        <w:tc>
          <w:tcPr>
            <w:tcW w:w="626" w:type="pct"/>
            <w:tcBorders>
              <w:top w:val="single" w:color="auto" w:sz="4" w:space="0"/>
            </w:tcBorders>
            <w:noWrap/>
            <w:vAlign w:val="center"/>
          </w:tcPr>
          <w:p w14:paraId="169A0209">
            <w:pPr>
              <w:pStyle w:val="15"/>
              <w:spacing w:line="480" w:lineRule="auto"/>
              <w:rPr>
                <w:rFonts w:ascii="Times New Roman" w:hAnsi="Times New Roman" w:cs="Times New Roman"/>
                <w:kern w:val="0"/>
              </w:rPr>
            </w:pPr>
            <w:r>
              <w:rPr>
                <w:rFonts w:ascii="Times New Roman" w:hAnsi="Times New Roman" w:cs="Times New Roman"/>
                <w:kern w:val="0"/>
              </w:rPr>
              <w:t>26.9</w:t>
            </w:r>
          </w:p>
        </w:tc>
        <w:tc>
          <w:tcPr>
            <w:tcW w:w="612" w:type="pct"/>
            <w:tcBorders>
              <w:top w:val="single" w:color="auto" w:sz="4" w:space="0"/>
            </w:tcBorders>
            <w:noWrap/>
            <w:vAlign w:val="center"/>
          </w:tcPr>
          <w:p w14:paraId="2D4CD00A">
            <w:pPr>
              <w:pStyle w:val="15"/>
              <w:spacing w:line="480" w:lineRule="auto"/>
              <w:rPr>
                <w:rFonts w:ascii="Times New Roman" w:hAnsi="Times New Roman" w:cs="Times New Roman"/>
                <w:kern w:val="0"/>
              </w:rPr>
            </w:pPr>
            <w:r>
              <w:rPr>
                <w:rFonts w:ascii="Times New Roman" w:hAnsi="Times New Roman" w:cs="Times New Roman"/>
                <w:kern w:val="0"/>
              </w:rPr>
              <w:t>149.44</w:t>
            </w:r>
          </w:p>
        </w:tc>
        <w:tc>
          <w:tcPr>
            <w:tcW w:w="543" w:type="pct"/>
            <w:tcBorders>
              <w:top w:val="single" w:color="auto" w:sz="4" w:space="0"/>
            </w:tcBorders>
            <w:noWrap/>
            <w:vAlign w:val="center"/>
          </w:tcPr>
          <w:p w14:paraId="76D5CF05">
            <w:pPr>
              <w:pStyle w:val="15"/>
              <w:spacing w:line="480" w:lineRule="auto"/>
              <w:rPr>
                <w:rFonts w:ascii="Times New Roman" w:hAnsi="Times New Roman" w:cs="Times New Roman"/>
                <w:kern w:val="0"/>
              </w:rPr>
            </w:pPr>
            <w:r>
              <w:rPr>
                <w:rFonts w:ascii="Times New Roman" w:hAnsi="Times New Roman" w:cs="Times New Roman"/>
                <w:kern w:val="0"/>
              </w:rPr>
              <w:t>0.008</w:t>
            </w:r>
          </w:p>
        </w:tc>
        <w:tc>
          <w:tcPr>
            <w:tcW w:w="665" w:type="pct"/>
            <w:tcBorders>
              <w:top w:val="single" w:color="auto" w:sz="4" w:space="0"/>
            </w:tcBorders>
            <w:noWrap/>
            <w:vAlign w:val="center"/>
          </w:tcPr>
          <w:p w14:paraId="0373E649">
            <w:pPr>
              <w:pStyle w:val="15"/>
              <w:spacing w:line="480" w:lineRule="auto"/>
              <w:rPr>
                <w:rFonts w:ascii="Times New Roman" w:hAnsi="Times New Roman" w:cs="Times New Roman"/>
                <w:kern w:val="0"/>
              </w:rPr>
            </w:pPr>
            <w:r>
              <w:rPr>
                <w:rFonts w:ascii="Times New Roman" w:hAnsi="Times New Roman" w:cs="Times New Roman"/>
                <w:kern w:val="0"/>
              </w:rPr>
              <w:t>2.54%</w:t>
            </w:r>
          </w:p>
        </w:tc>
        <w:tc>
          <w:tcPr>
            <w:tcW w:w="470" w:type="pct"/>
            <w:tcBorders>
              <w:top w:val="single" w:color="auto" w:sz="4" w:space="0"/>
            </w:tcBorders>
            <w:noWrap/>
            <w:vAlign w:val="center"/>
          </w:tcPr>
          <w:p w14:paraId="10562E8D">
            <w:pPr>
              <w:pStyle w:val="15"/>
              <w:spacing w:line="480" w:lineRule="auto"/>
              <w:rPr>
                <w:rFonts w:ascii="Times New Roman" w:hAnsi="Times New Roman" w:cs="Times New Roman"/>
                <w:kern w:val="0"/>
              </w:rPr>
            </w:pPr>
            <w:r>
              <w:rPr>
                <w:rFonts w:ascii="Times New Roman" w:hAnsi="Times New Roman" w:cs="Times New Roman"/>
                <w:kern w:val="0"/>
              </w:rPr>
              <w:t>2.04%</w:t>
            </w:r>
          </w:p>
        </w:tc>
        <w:tc>
          <w:tcPr>
            <w:tcW w:w="688" w:type="pct"/>
            <w:tcBorders>
              <w:top w:val="single" w:color="auto" w:sz="4" w:space="0"/>
            </w:tcBorders>
            <w:noWrap/>
            <w:vAlign w:val="center"/>
          </w:tcPr>
          <w:p w14:paraId="55449B42">
            <w:pPr>
              <w:pStyle w:val="15"/>
              <w:spacing w:line="480" w:lineRule="auto"/>
              <w:rPr>
                <w:rFonts w:ascii="Times New Roman" w:hAnsi="Times New Roman" w:cs="Times New Roman"/>
                <w:kern w:val="0"/>
              </w:rPr>
            </w:pPr>
            <w:r>
              <w:rPr>
                <w:rFonts w:ascii="Times New Roman" w:hAnsi="Times New Roman" w:cs="Times New Roman"/>
                <w:kern w:val="0"/>
              </w:rPr>
              <w:t>6.00%</w:t>
            </w:r>
          </w:p>
        </w:tc>
        <w:tc>
          <w:tcPr>
            <w:tcW w:w="689" w:type="pct"/>
            <w:tcBorders>
              <w:top w:val="single" w:color="auto" w:sz="4" w:space="0"/>
            </w:tcBorders>
            <w:noWrap/>
            <w:vAlign w:val="center"/>
          </w:tcPr>
          <w:p w14:paraId="44050A1E">
            <w:pPr>
              <w:pStyle w:val="15"/>
              <w:spacing w:line="480" w:lineRule="auto"/>
              <w:rPr>
                <w:rFonts w:ascii="Times New Roman" w:hAnsi="Times New Roman" w:cs="Times New Roman"/>
                <w:kern w:val="0"/>
              </w:rPr>
            </w:pPr>
            <w:r>
              <w:rPr>
                <w:rFonts w:ascii="Times New Roman" w:hAnsi="Times New Roman" w:cs="Times New Roman"/>
                <w:kern w:val="0"/>
              </w:rPr>
              <w:t>4.12%</w:t>
            </w:r>
          </w:p>
        </w:tc>
      </w:tr>
      <w:tr w14:paraId="00A1B1A0">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1B4A05E9">
            <w:pPr>
              <w:pStyle w:val="15"/>
              <w:spacing w:line="480" w:lineRule="auto"/>
              <w:rPr>
                <w:rFonts w:ascii="Times New Roman" w:hAnsi="Times New Roman" w:cs="Times New Roman"/>
                <w:kern w:val="0"/>
              </w:rPr>
            </w:pPr>
            <w:r>
              <w:rPr>
                <w:rFonts w:hint="eastAsia" w:ascii="Times New Roman" w:hAnsi="Times New Roman" w:cs="Times New Roman"/>
                <w:kern w:val="0"/>
              </w:rPr>
              <w:t>V</w:t>
            </w:r>
            <w:r>
              <w:rPr>
                <w:rFonts w:ascii="Times New Roman" w:hAnsi="Times New Roman" w:cs="Times New Roman"/>
                <w:kern w:val="0"/>
              </w:rPr>
              <w:t>omiting</w:t>
            </w:r>
          </w:p>
        </w:tc>
        <w:tc>
          <w:tcPr>
            <w:tcW w:w="626" w:type="pct"/>
            <w:noWrap/>
            <w:vAlign w:val="center"/>
          </w:tcPr>
          <w:p w14:paraId="01D17C63">
            <w:pPr>
              <w:pStyle w:val="15"/>
              <w:spacing w:line="480" w:lineRule="auto"/>
              <w:rPr>
                <w:rFonts w:ascii="Times New Roman" w:hAnsi="Times New Roman" w:cs="Times New Roman"/>
                <w:kern w:val="0"/>
              </w:rPr>
            </w:pPr>
            <w:r>
              <w:rPr>
                <w:rFonts w:ascii="Times New Roman" w:hAnsi="Times New Roman" w:cs="Times New Roman"/>
                <w:kern w:val="0"/>
              </w:rPr>
              <w:t>26.9</w:t>
            </w:r>
          </w:p>
        </w:tc>
        <w:tc>
          <w:tcPr>
            <w:tcW w:w="612" w:type="pct"/>
            <w:noWrap/>
            <w:vAlign w:val="center"/>
          </w:tcPr>
          <w:p w14:paraId="5C9D930B">
            <w:pPr>
              <w:pStyle w:val="15"/>
              <w:spacing w:line="480" w:lineRule="auto"/>
              <w:rPr>
                <w:rFonts w:ascii="Times New Roman" w:hAnsi="Times New Roman" w:cs="Times New Roman"/>
                <w:kern w:val="0"/>
              </w:rPr>
            </w:pPr>
            <w:r>
              <w:rPr>
                <w:rFonts w:ascii="Times New Roman" w:hAnsi="Times New Roman" w:cs="Times New Roman"/>
                <w:kern w:val="0"/>
              </w:rPr>
              <w:t>149.44</w:t>
            </w:r>
          </w:p>
        </w:tc>
        <w:tc>
          <w:tcPr>
            <w:tcW w:w="543" w:type="pct"/>
            <w:noWrap/>
            <w:vAlign w:val="center"/>
          </w:tcPr>
          <w:p w14:paraId="241EE5DE">
            <w:pPr>
              <w:pStyle w:val="15"/>
              <w:spacing w:line="480" w:lineRule="auto"/>
              <w:rPr>
                <w:rFonts w:ascii="Times New Roman" w:hAnsi="Times New Roman" w:cs="Times New Roman"/>
                <w:kern w:val="0"/>
              </w:rPr>
            </w:pPr>
            <w:r>
              <w:rPr>
                <w:rFonts w:ascii="Times New Roman" w:hAnsi="Times New Roman" w:cs="Times New Roman"/>
                <w:kern w:val="0"/>
              </w:rPr>
              <w:t>0.005</w:t>
            </w:r>
          </w:p>
        </w:tc>
        <w:tc>
          <w:tcPr>
            <w:tcW w:w="665" w:type="pct"/>
            <w:noWrap/>
            <w:vAlign w:val="center"/>
          </w:tcPr>
          <w:p w14:paraId="50652A19">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470" w:type="pct"/>
            <w:vAlign w:val="center"/>
          </w:tcPr>
          <w:p w14:paraId="540CE09D">
            <w:pPr>
              <w:pStyle w:val="15"/>
              <w:spacing w:line="480" w:lineRule="auto"/>
              <w:rPr>
                <w:rFonts w:ascii="Times New Roman" w:hAnsi="Times New Roman" w:cs="Times New Roman"/>
                <w:kern w:val="0"/>
              </w:rPr>
            </w:pPr>
            <w:r>
              <w:rPr>
                <w:rFonts w:ascii="Times New Roman" w:hAnsi="Times New Roman" w:cs="Times New Roman"/>
                <w:kern w:val="0"/>
              </w:rPr>
              <w:t>1.53%</w:t>
            </w:r>
          </w:p>
        </w:tc>
        <w:tc>
          <w:tcPr>
            <w:tcW w:w="688" w:type="pct"/>
            <w:vAlign w:val="center"/>
          </w:tcPr>
          <w:p w14:paraId="0D11D795">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689" w:type="pct"/>
            <w:noWrap/>
            <w:vAlign w:val="center"/>
          </w:tcPr>
          <w:p w14:paraId="00881BDE">
            <w:pPr>
              <w:pStyle w:val="15"/>
              <w:spacing w:line="480" w:lineRule="auto"/>
              <w:rPr>
                <w:rFonts w:ascii="Times New Roman" w:hAnsi="Times New Roman" w:cs="Times New Roman"/>
                <w:kern w:val="0"/>
              </w:rPr>
            </w:pPr>
            <w:r>
              <w:rPr>
                <w:rFonts w:ascii="Times New Roman" w:hAnsi="Times New Roman" w:cs="Times New Roman"/>
                <w:kern w:val="0"/>
              </w:rPr>
              <w:t>3.09%</w:t>
            </w:r>
          </w:p>
        </w:tc>
      </w:tr>
      <w:tr w14:paraId="43E132F4">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5627ED6A">
            <w:pPr>
              <w:pStyle w:val="15"/>
              <w:spacing w:line="480" w:lineRule="auto"/>
              <w:rPr>
                <w:rFonts w:ascii="Times New Roman" w:hAnsi="Times New Roman" w:cs="Times New Roman"/>
                <w:kern w:val="0"/>
              </w:rPr>
            </w:pPr>
            <w:r>
              <w:rPr>
                <w:rFonts w:hint="eastAsia" w:ascii="Times New Roman" w:hAnsi="Times New Roman" w:cs="Times New Roman"/>
                <w:kern w:val="0"/>
              </w:rPr>
              <w:t>D</w:t>
            </w:r>
            <w:r>
              <w:rPr>
                <w:rFonts w:ascii="Times New Roman" w:hAnsi="Times New Roman" w:cs="Times New Roman"/>
                <w:kern w:val="0"/>
              </w:rPr>
              <w:t>iarrhea</w:t>
            </w:r>
          </w:p>
        </w:tc>
        <w:tc>
          <w:tcPr>
            <w:tcW w:w="626" w:type="pct"/>
            <w:noWrap/>
            <w:vAlign w:val="center"/>
          </w:tcPr>
          <w:p w14:paraId="54CBD9E0">
            <w:pPr>
              <w:pStyle w:val="15"/>
              <w:spacing w:line="480" w:lineRule="auto"/>
              <w:rPr>
                <w:rFonts w:ascii="Times New Roman" w:hAnsi="Times New Roman" w:cs="Times New Roman"/>
                <w:kern w:val="0"/>
              </w:rPr>
            </w:pPr>
            <w:r>
              <w:rPr>
                <w:rFonts w:ascii="Times New Roman" w:hAnsi="Times New Roman" w:cs="Times New Roman"/>
                <w:kern w:val="0"/>
              </w:rPr>
              <w:t>20.7</w:t>
            </w:r>
          </w:p>
        </w:tc>
        <w:tc>
          <w:tcPr>
            <w:tcW w:w="612" w:type="pct"/>
            <w:noWrap/>
            <w:vAlign w:val="center"/>
          </w:tcPr>
          <w:p w14:paraId="2B725A37">
            <w:pPr>
              <w:pStyle w:val="15"/>
              <w:spacing w:line="480" w:lineRule="auto"/>
              <w:rPr>
                <w:rFonts w:ascii="Times New Roman" w:hAnsi="Times New Roman" w:cs="Times New Roman"/>
                <w:kern w:val="0"/>
              </w:rPr>
            </w:pPr>
            <w:r>
              <w:rPr>
                <w:rFonts w:ascii="Times New Roman" w:hAnsi="Times New Roman" w:cs="Times New Roman"/>
                <w:kern w:val="0"/>
              </w:rPr>
              <w:t>115</w:t>
            </w:r>
          </w:p>
        </w:tc>
        <w:tc>
          <w:tcPr>
            <w:tcW w:w="543" w:type="pct"/>
            <w:noWrap/>
            <w:vAlign w:val="center"/>
          </w:tcPr>
          <w:p w14:paraId="5CFBC2C6">
            <w:pPr>
              <w:pStyle w:val="15"/>
              <w:spacing w:line="480" w:lineRule="auto"/>
              <w:rPr>
                <w:rFonts w:ascii="Times New Roman" w:hAnsi="Times New Roman" w:cs="Times New Roman"/>
                <w:kern w:val="0"/>
              </w:rPr>
            </w:pPr>
            <w:r>
              <w:rPr>
                <w:rFonts w:ascii="Times New Roman" w:hAnsi="Times New Roman" w:cs="Times New Roman"/>
                <w:kern w:val="0"/>
              </w:rPr>
              <w:t>0.009</w:t>
            </w:r>
          </w:p>
        </w:tc>
        <w:tc>
          <w:tcPr>
            <w:tcW w:w="665" w:type="pct"/>
            <w:noWrap/>
            <w:vAlign w:val="center"/>
          </w:tcPr>
          <w:p w14:paraId="416C1B1E">
            <w:pPr>
              <w:pStyle w:val="15"/>
              <w:spacing w:line="480" w:lineRule="auto"/>
              <w:rPr>
                <w:rFonts w:ascii="Times New Roman" w:hAnsi="Times New Roman" w:cs="Times New Roman"/>
                <w:kern w:val="0"/>
              </w:rPr>
            </w:pPr>
            <w:r>
              <w:rPr>
                <w:rFonts w:ascii="Times New Roman" w:hAnsi="Times New Roman" w:cs="Times New Roman"/>
                <w:kern w:val="0"/>
              </w:rPr>
              <w:t>3.81%</w:t>
            </w:r>
          </w:p>
        </w:tc>
        <w:tc>
          <w:tcPr>
            <w:tcW w:w="470" w:type="pct"/>
            <w:vAlign w:val="center"/>
          </w:tcPr>
          <w:p w14:paraId="6B592B08">
            <w:pPr>
              <w:pStyle w:val="15"/>
              <w:spacing w:line="480" w:lineRule="auto"/>
              <w:rPr>
                <w:rFonts w:ascii="Times New Roman" w:hAnsi="Times New Roman" w:cs="Times New Roman"/>
                <w:kern w:val="0"/>
              </w:rPr>
            </w:pPr>
            <w:r>
              <w:rPr>
                <w:rFonts w:ascii="Times New Roman" w:hAnsi="Times New Roman" w:cs="Times New Roman"/>
                <w:kern w:val="0"/>
              </w:rPr>
              <w:t>1.53%</w:t>
            </w:r>
          </w:p>
        </w:tc>
        <w:tc>
          <w:tcPr>
            <w:tcW w:w="688" w:type="pct"/>
            <w:vAlign w:val="center"/>
          </w:tcPr>
          <w:p w14:paraId="56D4C9A4">
            <w:pPr>
              <w:pStyle w:val="15"/>
              <w:spacing w:line="480" w:lineRule="auto"/>
              <w:rPr>
                <w:rFonts w:ascii="Times New Roman" w:hAnsi="Times New Roman" w:cs="Times New Roman"/>
                <w:kern w:val="0"/>
              </w:rPr>
            </w:pPr>
            <w:r>
              <w:rPr>
                <w:rFonts w:ascii="Times New Roman" w:hAnsi="Times New Roman" w:cs="Times New Roman"/>
                <w:kern w:val="0"/>
              </w:rPr>
              <w:t>9.00%</w:t>
            </w:r>
          </w:p>
        </w:tc>
        <w:tc>
          <w:tcPr>
            <w:tcW w:w="689" w:type="pct"/>
            <w:noWrap/>
            <w:vAlign w:val="center"/>
          </w:tcPr>
          <w:p w14:paraId="3C487C9C">
            <w:pPr>
              <w:pStyle w:val="15"/>
              <w:spacing w:line="480" w:lineRule="auto"/>
              <w:rPr>
                <w:rFonts w:ascii="Times New Roman" w:hAnsi="Times New Roman" w:cs="Times New Roman"/>
                <w:kern w:val="0"/>
              </w:rPr>
            </w:pPr>
            <w:r>
              <w:rPr>
                <w:rFonts w:ascii="Times New Roman" w:hAnsi="Times New Roman" w:cs="Times New Roman"/>
                <w:kern w:val="0"/>
              </w:rPr>
              <w:t>3.09%</w:t>
            </w:r>
          </w:p>
        </w:tc>
      </w:tr>
      <w:tr w14:paraId="1AC51290">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316CA304">
            <w:pPr>
              <w:pStyle w:val="15"/>
              <w:spacing w:line="480" w:lineRule="auto"/>
              <w:rPr>
                <w:rFonts w:ascii="Times New Roman" w:hAnsi="Times New Roman" w:cs="Times New Roman"/>
                <w:kern w:val="0"/>
              </w:rPr>
            </w:pPr>
            <w:r>
              <w:rPr>
                <w:rFonts w:hint="eastAsia" w:ascii="Times New Roman" w:hAnsi="Times New Roman" w:cs="Times New Roman"/>
                <w:kern w:val="0"/>
              </w:rPr>
              <w:t>R</w:t>
            </w:r>
            <w:r>
              <w:rPr>
                <w:rFonts w:ascii="Times New Roman" w:hAnsi="Times New Roman" w:cs="Times New Roman"/>
                <w:kern w:val="0"/>
              </w:rPr>
              <w:t>ashes</w:t>
            </w:r>
          </w:p>
        </w:tc>
        <w:tc>
          <w:tcPr>
            <w:tcW w:w="626" w:type="pct"/>
            <w:noWrap/>
            <w:vAlign w:val="center"/>
          </w:tcPr>
          <w:p w14:paraId="2FB6AB44">
            <w:pPr>
              <w:pStyle w:val="15"/>
              <w:spacing w:line="480" w:lineRule="auto"/>
              <w:rPr>
                <w:rFonts w:ascii="Times New Roman" w:hAnsi="Times New Roman" w:cs="Times New Roman"/>
                <w:kern w:val="0"/>
              </w:rPr>
            </w:pPr>
            <w:r>
              <w:rPr>
                <w:rFonts w:ascii="Times New Roman" w:hAnsi="Times New Roman" w:cs="Times New Roman"/>
                <w:kern w:val="0"/>
              </w:rPr>
              <w:t>22.7</w:t>
            </w:r>
          </w:p>
        </w:tc>
        <w:tc>
          <w:tcPr>
            <w:tcW w:w="612" w:type="pct"/>
            <w:noWrap/>
            <w:vAlign w:val="center"/>
          </w:tcPr>
          <w:p w14:paraId="0DD52F3D">
            <w:pPr>
              <w:pStyle w:val="15"/>
              <w:spacing w:line="480" w:lineRule="auto"/>
              <w:rPr>
                <w:rFonts w:ascii="Times New Roman" w:hAnsi="Times New Roman" w:cs="Times New Roman"/>
                <w:kern w:val="0"/>
              </w:rPr>
            </w:pPr>
            <w:r>
              <w:rPr>
                <w:rFonts w:ascii="Times New Roman" w:hAnsi="Times New Roman" w:cs="Times New Roman"/>
                <w:kern w:val="0"/>
              </w:rPr>
              <w:t>126.11</w:t>
            </w:r>
          </w:p>
        </w:tc>
        <w:tc>
          <w:tcPr>
            <w:tcW w:w="543" w:type="pct"/>
            <w:noWrap/>
            <w:vAlign w:val="center"/>
          </w:tcPr>
          <w:p w14:paraId="46820157">
            <w:pPr>
              <w:pStyle w:val="15"/>
              <w:spacing w:line="480" w:lineRule="auto"/>
              <w:rPr>
                <w:rFonts w:ascii="Times New Roman" w:hAnsi="Times New Roman" w:cs="Times New Roman"/>
                <w:kern w:val="0"/>
              </w:rPr>
            </w:pPr>
            <w:r>
              <w:rPr>
                <w:rFonts w:ascii="Times New Roman" w:hAnsi="Times New Roman" w:cs="Times New Roman"/>
                <w:kern w:val="0"/>
              </w:rPr>
              <w:t>0.01</w:t>
            </w:r>
          </w:p>
        </w:tc>
        <w:tc>
          <w:tcPr>
            <w:tcW w:w="665" w:type="pct"/>
            <w:noWrap/>
            <w:vAlign w:val="center"/>
          </w:tcPr>
          <w:p w14:paraId="047A39B4">
            <w:pPr>
              <w:pStyle w:val="15"/>
              <w:spacing w:line="480" w:lineRule="auto"/>
              <w:rPr>
                <w:rFonts w:ascii="Times New Roman" w:hAnsi="Times New Roman" w:cs="Times New Roman"/>
                <w:kern w:val="0"/>
              </w:rPr>
            </w:pPr>
            <w:r>
              <w:rPr>
                <w:rFonts w:ascii="Times New Roman" w:hAnsi="Times New Roman" w:cs="Times New Roman"/>
                <w:kern w:val="0"/>
              </w:rPr>
              <w:t>5.51%</w:t>
            </w:r>
          </w:p>
        </w:tc>
        <w:tc>
          <w:tcPr>
            <w:tcW w:w="470" w:type="pct"/>
            <w:vAlign w:val="center"/>
          </w:tcPr>
          <w:p w14:paraId="600472B9">
            <w:pPr>
              <w:pStyle w:val="15"/>
              <w:spacing w:line="480" w:lineRule="auto"/>
              <w:rPr>
                <w:rFonts w:ascii="Times New Roman" w:hAnsi="Times New Roman" w:cs="Times New Roman"/>
                <w:kern w:val="0"/>
              </w:rPr>
            </w:pPr>
            <w:r>
              <w:rPr>
                <w:rFonts w:ascii="Times New Roman" w:hAnsi="Times New Roman" w:cs="Times New Roman"/>
                <w:kern w:val="0"/>
              </w:rPr>
              <w:t>5.61%</w:t>
            </w:r>
          </w:p>
        </w:tc>
        <w:tc>
          <w:tcPr>
            <w:tcW w:w="688" w:type="pct"/>
            <w:vAlign w:val="center"/>
          </w:tcPr>
          <w:p w14:paraId="25B21639">
            <w:pPr>
              <w:pStyle w:val="15"/>
              <w:spacing w:line="480" w:lineRule="auto"/>
              <w:rPr>
                <w:rFonts w:ascii="Times New Roman" w:hAnsi="Times New Roman" w:cs="Times New Roman"/>
                <w:kern w:val="0"/>
              </w:rPr>
            </w:pPr>
            <w:r>
              <w:rPr>
                <w:rFonts w:ascii="Times New Roman" w:hAnsi="Times New Roman" w:cs="Times New Roman"/>
                <w:kern w:val="0"/>
              </w:rPr>
              <w:t>13.00%</w:t>
            </w:r>
          </w:p>
        </w:tc>
        <w:tc>
          <w:tcPr>
            <w:tcW w:w="689" w:type="pct"/>
            <w:noWrap/>
            <w:vAlign w:val="center"/>
          </w:tcPr>
          <w:p w14:paraId="3C0B5B94">
            <w:pPr>
              <w:pStyle w:val="15"/>
              <w:spacing w:line="480" w:lineRule="auto"/>
              <w:rPr>
                <w:rFonts w:ascii="Times New Roman" w:hAnsi="Times New Roman" w:cs="Times New Roman"/>
                <w:kern w:val="0"/>
              </w:rPr>
            </w:pPr>
            <w:r>
              <w:rPr>
                <w:rFonts w:ascii="Times New Roman" w:hAnsi="Times New Roman" w:cs="Times New Roman"/>
                <w:kern w:val="0"/>
              </w:rPr>
              <w:t>11.34%</w:t>
            </w:r>
          </w:p>
        </w:tc>
      </w:tr>
      <w:tr w14:paraId="361ECA80">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1565D0F8">
            <w:pPr>
              <w:pStyle w:val="15"/>
              <w:spacing w:line="480" w:lineRule="auto"/>
              <w:rPr>
                <w:rFonts w:ascii="Times New Roman" w:hAnsi="Times New Roman" w:cs="Times New Roman"/>
                <w:kern w:val="0"/>
              </w:rPr>
            </w:pPr>
            <w:r>
              <w:rPr>
                <w:rFonts w:hint="eastAsia" w:ascii="Times New Roman" w:hAnsi="Times New Roman" w:cs="Times New Roman"/>
                <w:kern w:val="0"/>
              </w:rPr>
              <w:t>M</w:t>
            </w:r>
            <w:r>
              <w:rPr>
                <w:rFonts w:ascii="Times New Roman" w:hAnsi="Times New Roman" w:cs="Times New Roman"/>
                <w:kern w:val="0"/>
              </w:rPr>
              <w:t>uscle weakness,</w:t>
            </w:r>
          </w:p>
        </w:tc>
        <w:tc>
          <w:tcPr>
            <w:tcW w:w="626" w:type="pct"/>
            <w:noWrap/>
            <w:vAlign w:val="center"/>
          </w:tcPr>
          <w:p w14:paraId="7E0E6579">
            <w:pPr>
              <w:pStyle w:val="15"/>
              <w:spacing w:line="480" w:lineRule="auto"/>
              <w:rPr>
                <w:rFonts w:ascii="Times New Roman" w:hAnsi="Times New Roman" w:cs="Times New Roman"/>
                <w:kern w:val="0"/>
              </w:rPr>
            </w:pPr>
            <w:r>
              <w:rPr>
                <w:rFonts w:ascii="Times New Roman" w:hAnsi="Times New Roman" w:cs="Times New Roman"/>
                <w:kern w:val="0"/>
              </w:rPr>
              <w:t>24.2</w:t>
            </w:r>
          </w:p>
        </w:tc>
        <w:tc>
          <w:tcPr>
            <w:tcW w:w="612" w:type="pct"/>
            <w:noWrap/>
            <w:vAlign w:val="center"/>
          </w:tcPr>
          <w:p w14:paraId="0957D9AF">
            <w:pPr>
              <w:pStyle w:val="15"/>
              <w:spacing w:line="480" w:lineRule="auto"/>
              <w:rPr>
                <w:rFonts w:ascii="Times New Roman" w:hAnsi="Times New Roman" w:cs="Times New Roman"/>
                <w:kern w:val="0"/>
              </w:rPr>
            </w:pPr>
            <w:r>
              <w:rPr>
                <w:rFonts w:ascii="Times New Roman" w:hAnsi="Times New Roman" w:cs="Times New Roman"/>
                <w:kern w:val="0"/>
              </w:rPr>
              <w:t>134.44</w:t>
            </w:r>
          </w:p>
        </w:tc>
        <w:tc>
          <w:tcPr>
            <w:tcW w:w="543" w:type="pct"/>
            <w:noWrap/>
            <w:vAlign w:val="center"/>
          </w:tcPr>
          <w:p w14:paraId="0A46B278">
            <w:pPr>
              <w:pStyle w:val="15"/>
              <w:spacing w:line="480" w:lineRule="auto"/>
              <w:rPr>
                <w:rFonts w:ascii="Times New Roman" w:hAnsi="Times New Roman" w:cs="Times New Roman"/>
                <w:kern w:val="0"/>
              </w:rPr>
            </w:pPr>
            <w:r>
              <w:rPr>
                <w:rFonts w:ascii="Times New Roman" w:hAnsi="Times New Roman" w:cs="Times New Roman"/>
                <w:kern w:val="0"/>
              </w:rPr>
              <w:t>0.012</w:t>
            </w:r>
          </w:p>
        </w:tc>
        <w:tc>
          <w:tcPr>
            <w:tcW w:w="665" w:type="pct"/>
            <w:noWrap/>
            <w:vAlign w:val="center"/>
          </w:tcPr>
          <w:p w14:paraId="5539594B">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470" w:type="pct"/>
            <w:vAlign w:val="center"/>
          </w:tcPr>
          <w:p w14:paraId="142378D3">
            <w:pPr>
              <w:pStyle w:val="15"/>
              <w:spacing w:line="480" w:lineRule="auto"/>
              <w:rPr>
                <w:rFonts w:ascii="Times New Roman" w:hAnsi="Times New Roman" w:cs="Times New Roman"/>
                <w:kern w:val="0"/>
              </w:rPr>
            </w:pPr>
            <w:r>
              <w:rPr>
                <w:rFonts w:ascii="Times New Roman" w:hAnsi="Times New Roman" w:cs="Times New Roman"/>
                <w:kern w:val="0"/>
              </w:rPr>
              <w:t>0.51%</w:t>
            </w:r>
          </w:p>
        </w:tc>
        <w:tc>
          <w:tcPr>
            <w:tcW w:w="688" w:type="pct"/>
            <w:vAlign w:val="center"/>
          </w:tcPr>
          <w:p w14:paraId="2FDF03AE">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689" w:type="pct"/>
            <w:noWrap/>
            <w:vAlign w:val="center"/>
          </w:tcPr>
          <w:p w14:paraId="199CF990">
            <w:pPr>
              <w:pStyle w:val="15"/>
              <w:spacing w:line="480" w:lineRule="auto"/>
              <w:rPr>
                <w:rFonts w:ascii="Times New Roman" w:hAnsi="Times New Roman" w:cs="Times New Roman"/>
                <w:kern w:val="0"/>
              </w:rPr>
            </w:pPr>
            <w:r>
              <w:rPr>
                <w:rFonts w:ascii="Times New Roman" w:hAnsi="Times New Roman" w:cs="Times New Roman"/>
                <w:kern w:val="0"/>
              </w:rPr>
              <w:t>1.03%</w:t>
            </w:r>
          </w:p>
        </w:tc>
      </w:tr>
      <w:tr w14:paraId="2B887E2E">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704" w:type="pct"/>
            <w:noWrap/>
            <w:vAlign w:val="center"/>
          </w:tcPr>
          <w:p w14:paraId="564B6B63">
            <w:pPr>
              <w:pStyle w:val="15"/>
              <w:spacing w:line="480" w:lineRule="auto"/>
              <w:rPr>
                <w:rFonts w:ascii="Times New Roman" w:hAnsi="Times New Roman" w:cs="Times New Roman"/>
                <w:kern w:val="0"/>
              </w:rPr>
            </w:pPr>
            <w:r>
              <w:rPr>
                <w:rFonts w:hint="eastAsia" w:ascii="Times New Roman" w:hAnsi="Times New Roman" w:cs="Times New Roman"/>
                <w:kern w:val="0"/>
              </w:rPr>
              <w:t>H</w:t>
            </w:r>
            <w:r>
              <w:rPr>
                <w:rFonts w:ascii="Times New Roman" w:hAnsi="Times New Roman" w:cs="Times New Roman"/>
                <w:kern w:val="0"/>
              </w:rPr>
              <w:t>eadaches</w:t>
            </w:r>
          </w:p>
        </w:tc>
        <w:tc>
          <w:tcPr>
            <w:tcW w:w="626" w:type="pct"/>
            <w:noWrap/>
            <w:vAlign w:val="center"/>
          </w:tcPr>
          <w:p w14:paraId="26639B78">
            <w:pPr>
              <w:pStyle w:val="15"/>
              <w:spacing w:line="480" w:lineRule="auto"/>
              <w:rPr>
                <w:rFonts w:ascii="Times New Roman" w:hAnsi="Times New Roman" w:cs="Times New Roman"/>
                <w:kern w:val="0"/>
              </w:rPr>
            </w:pPr>
            <w:r>
              <w:rPr>
                <w:rFonts w:ascii="Times New Roman" w:hAnsi="Times New Roman" w:cs="Times New Roman"/>
                <w:kern w:val="0"/>
              </w:rPr>
              <w:t>20.7</w:t>
            </w:r>
          </w:p>
        </w:tc>
        <w:tc>
          <w:tcPr>
            <w:tcW w:w="612" w:type="pct"/>
            <w:noWrap/>
            <w:vAlign w:val="center"/>
          </w:tcPr>
          <w:p w14:paraId="565010A7">
            <w:pPr>
              <w:pStyle w:val="15"/>
              <w:spacing w:line="480" w:lineRule="auto"/>
              <w:rPr>
                <w:rFonts w:ascii="Times New Roman" w:hAnsi="Times New Roman" w:cs="Times New Roman"/>
                <w:kern w:val="0"/>
              </w:rPr>
            </w:pPr>
            <w:r>
              <w:rPr>
                <w:rFonts w:ascii="Times New Roman" w:hAnsi="Times New Roman" w:cs="Times New Roman"/>
                <w:kern w:val="0"/>
              </w:rPr>
              <w:t>115.00</w:t>
            </w:r>
          </w:p>
        </w:tc>
        <w:tc>
          <w:tcPr>
            <w:tcW w:w="543" w:type="pct"/>
            <w:noWrap/>
            <w:vAlign w:val="center"/>
          </w:tcPr>
          <w:p w14:paraId="589BAA23">
            <w:pPr>
              <w:pStyle w:val="15"/>
              <w:spacing w:line="480" w:lineRule="auto"/>
              <w:rPr>
                <w:rFonts w:ascii="Times New Roman" w:hAnsi="Times New Roman" w:cs="Times New Roman"/>
                <w:kern w:val="0"/>
              </w:rPr>
            </w:pPr>
            <w:r>
              <w:rPr>
                <w:rFonts w:ascii="Times New Roman" w:hAnsi="Times New Roman" w:cs="Times New Roman"/>
                <w:kern w:val="0"/>
              </w:rPr>
              <w:t>0.033</w:t>
            </w:r>
          </w:p>
        </w:tc>
        <w:tc>
          <w:tcPr>
            <w:tcW w:w="665" w:type="pct"/>
            <w:noWrap/>
            <w:vAlign w:val="center"/>
          </w:tcPr>
          <w:p w14:paraId="66DAE7E4">
            <w:pPr>
              <w:pStyle w:val="15"/>
              <w:spacing w:line="480" w:lineRule="auto"/>
              <w:rPr>
                <w:rFonts w:ascii="Times New Roman" w:hAnsi="Times New Roman" w:cs="Times New Roman"/>
                <w:kern w:val="0"/>
              </w:rPr>
            </w:pPr>
            <w:r>
              <w:rPr>
                <w:rFonts w:ascii="Times New Roman" w:hAnsi="Times New Roman" w:cs="Times New Roman"/>
                <w:kern w:val="0"/>
              </w:rPr>
              <w:t>7.63%</w:t>
            </w:r>
          </w:p>
        </w:tc>
        <w:tc>
          <w:tcPr>
            <w:tcW w:w="470" w:type="pct"/>
            <w:vAlign w:val="center"/>
          </w:tcPr>
          <w:p w14:paraId="76FEF43C">
            <w:pPr>
              <w:pStyle w:val="15"/>
              <w:spacing w:line="480" w:lineRule="auto"/>
              <w:rPr>
                <w:rFonts w:ascii="Times New Roman" w:hAnsi="Times New Roman" w:cs="Times New Roman"/>
                <w:kern w:val="0"/>
              </w:rPr>
            </w:pPr>
            <w:r>
              <w:rPr>
                <w:rFonts w:ascii="Times New Roman" w:hAnsi="Times New Roman" w:cs="Times New Roman"/>
                <w:kern w:val="0"/>
              </w:rPr>
              <w:t>6.12%</w:t>
            </w:r>
          </w:p>
        </w:tc>
        <w:tc>
          <w:tcPr>
            <w:tcW w:w="688" w:type="pct"/>
            <w:vAlign w:val="center"/>
          </w:tcPr>
          <w:p w14:paraId="2DEC9CE8">
            <w:pPr>
              <w:pStyle w:val="15"/>
              <w:spacing w:line="480" w:lineRule="auto"/>
              <w:rPr>
                <w:rFonts w:ascii="Times New Roman" w:hAnsi="Times New Roman" w:cs="Times New Roman"/>
                <w:kern w:val="0"/>
              </w:rPr>
            </w:pPr>
            <w:r>
              <w:rPr>
                <w:rFonts w:ascii="Times New Roman" w:hAnsi="Times New Roman" w:cs="Times New Roman"/>
                <w:kern w:val="0"/>
              </w:rPr>
              <w:t>18.00%</w:t>
            </w:r>
          </w:p>
        </w:tc>
        <w:tc>
          <w:tcPr>
            <w:tcW w:w="689" w:type="pct"/>
            <w:noWrap/>
            <w:vAlign w:val="center"/>
          </w:tcPr>
          <w:p w14:paraId="694C348A">
            <w:pPr>
              <w:pStyle w:val="15"/>
              <w:spacing w:line="480" w:lineRule="auto"/>
              <w:rPr>
                <w:rFonts w:ascii="Times New Roman" w:hAnsi="Times New Roman" w:cs="Times New Roman"/>
                <w:kern w:val="0"/>
              </w:rPr>
            </w:pPr>
            <w:r>
              <w:rPr>
                <w:rFonts w:ascii="Times New Roman" w:hAnsi="Times New Roman" w:cs="Times New Roman"/>
                <w:kern w:val="0"/>
              </w:rPr>
              <w:t>12.37%</w:t>
            </w:r>
          </w:p>
        </w:tc>
      </w:tr>
      <w:tr w14:paraId="08ECFCC9">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2E5D81B4">
            <w:pPr>
              <w:pStyle w:val="15"/>
              <w:spacing w:line="480" w:lineRule="auto"/>
              <w:rPr>
                <w:rFonts w:ascii="Times New Roman" w:hAnsi="Times New Roman" w:cs="Times New Roman"/>
                <w:kern w:val="0"/>
              </w:rPr>
            </w:pPr>
            <w:r>
              <w:rPr>
                <w:rFonts w:hint="eastAsia" w:ascii="Times New Roman" w:hAnsi="Times New Roman" w:cs="Times New Roman"/>
                <w:kern w:val="0"/>
              </w:rPr>
              <w:t>I</w:t>
            </w:r>
            <w:r>
              <w:rPr>
                <w:rFonts w:ascii="Times New Roman" w:hAnsi="Times New Roman" w:cs="Times New Roman"/>
                <w:kern w:val="0"/>
              </w:rPr>
              <w:t>nsomnia,</w:t>
            </w:r>
          </w:p>
        </w:tc>
        <w:tc>
          <w:tcPr>
            <w:tcW w:w="626" w:type="pct"/>
            <w:noWrap/>
            <w:vAlign w:val="center"/>
          </w:tcPr>
          <w:p w14:paraId="5445ABCF">
            <w:pPr>
              <w:pStyle w:val="15"/>
              <w:spacing w:line="480" w:lineRule="auto"/>
              <w:rPr>
                <w:rFonts w:ascii="Times New Roman" w:hAnsi="Times New Roman" w:cs="Times New Roman"/>
                <w:kern w:val="0"/>
              </w:rPr>
            </w:pPr>
            <w:r>
              <w:rPr>
                <w:rFonts w:ascii="Times New Roman" w:hAnsi="Times New Roman" w:cs="Times New Roman"/>
                <w:kern w:val="0"/>
              </w:rPr>
              <w:t>20.7</w:t>
            </w:r>
          </w:p>
        </w:tc>
        <w:tc>
          <w:tcPr>
            <w:tcW w:w="612" w:type="pct"/>
            <w:noWrap/>
            <w:vAlign w:val="center"/>
          </w:tcPr>
          <w:p w14:paraId="0FDD00BD">
            <w:pPr>
              <w:pStyle w:val="15"/>
              <w:spacing w:line="480" w:lineRule="auto"/>
              <w:rPr>
                <w:rFonts w:ascii="Times New Roman" w:hAnsi="Times New Roman" w:cs="Times New Roman"/>
                <w:kern w:val="0"/>
              </w:rPr>
            </w:pPr>
            <w:r>
              <w:rPr>
                <w:rFonts w:ascii="Times New Roman" w:hAnsi="Times New Roman" w:cs="Times New Roman"/>
                <w:kern w:val="0"/>
              </w:rPr>
              <w:t>115.00</w:t>
            </w:r>
          </w:p>
        </w:tc>
        <w:tc>
          <w:tcPr>
            <w:tcW w:w="543" w:type="pct"/>
            <w:noWrap/>
            <w:vAlign w:val="center"/>
          </w:tcPr>
          <w:p w14:paraId="2C7212A7">
            <w:pPr>
              <w:pStyle w:val="15"/>
              <w:spacing w:line="480" w:lineRule="auto"/>
              <w:rPr>
                <w:rFonts w:ascii="Times New Roman" w:hAnsi="Times New Roman" w:cs="Times New Roman"/>
                <w:kern w:val="0"/>
              </w:rPr>
            </w:pPr>
            <w:r>
              <w:rPr>
                <w:rFonts w:ascii="Times New Roman" w:hAnsi="Times New Roman" w:cs="Times New Roman"/>
                <w:kern w:val="0"/>
              </w:rPr>
              <w:t>0</w:t>
            </w:r>
          </w:p>
        </w:tc>
        <w:tc>
          <w:tcPr>
            <w:tcW w:w="665" w:type="pct"/>
            <w:noWrap/>
            <w:vAlign w:val="center"/>
          </w:tcPr>
          <w:p w14:paraId="2F4248CA">
            <w:pPr>
              <w:pStyle w:val="15"/>
              <w:spacing w:line="480" w:lineRule="auto"/>
              <w:rPr>
                <w:rFonts w:ascii="Times New Roman" w:hAnsi="Times New Roman" w:cs="Times New Roman"/>
                <w:kern w:val="0"/>
              </w:rPr>
            </w:pPr>
            <w:r>
              <w:rPr>
                <w:rFonts w:ascii="Times New Roman" w:hAnsi="Times New Roman" w:cs="Times New Roman"/>
                <w:kern w:val="0"/>
              </w:rPr>
              <w:t>22.88%</w:t>
            </w:r>
          </w:p>
        </w:tc>
        <w:tc>
          <w:tcPr>
            <w:tcW w:w="470" w:type="pct"/>
            <w:vAlign w:val="center"/>
          </w:tcPr>
          <w:p w14:paraId="1CEF4919">
            <w:pPr>
              <w:pStyle w:val="15"/>
              <w:spacing w:line="480" w:lineRule="auto"/>
              <w:rPr>
                <w:rFonts w:ascii="Times New Roman" w:hAnsi="Times New Roman" w:cs="Times New Roman"/>
                <w:kern w:val="0"/>
              </w:rPr>
            </w:pPr>
            <w:r>
              <w:rPr>
                <w:rFonts w:ascii="Times New Roman" w:hAnsi="Times New Roman" w:cs="Times New Roman"/>
                <w:kern w:val="0"/>
              </w:rPr>
              <w:t>32.14%</w:t>
            </w:r>
          </w:p>
        </w:tc>
        <w:tc>
          <w:tcPr>
            <w:tcW w:w="688" w:type="pct"/>
            <w:vAlign w:val="center"/>
          </w:tcPr>
          <w:p w14:paraId="22D40426">
            <w:pPr>
              <w:pStyle w:val="15"/>
              <w:spacing w:line="480" w:lineRule="auto"/>
              <w:rPr>
                <w:rFonts w:ascii="Times New Roman" w:hAnsi="Times New Roman" w:cs="Times New Roman"/>
                <w:kern w:val="0"/>
              </w:rPr>
            </w:pPr>
            <w:r>
              <w:rPr>
                <w:rFonts w:ascii="Times New Roman" w:hAnsi="Times New Roman" w:cs="Times New Roman"/>
                <w:kern w:val="0"/>
              </w:rPr>
              <w:t>54.00%</w:t>
            </w:r>
          </w:p>
        </w:tc>
        <w:tc>
          <w:tcPr>
            <w:tcW w:w="689" w:type="pct"/>
            <w:noWrap/>
            <w:vAlign w:val="center"/>
          </w:tcPr>
          <w:p w14:paraId="3AAFE4E5">
            <w:pPr>
              <w:pStyle w:val="15"/>
              <w:spacing w:line="480" w:lineRule="auto"/>
              <w:rPr>
                <w:rFonts w:ascii="Times New Roman" w:hAnsi="Times New Roman" w:cs="Times New Roman"/>
                <w:kern w:val="0"/>
              </w:rPr>
            </w:pPr>
            <w:r>
              <w:rPr>
                <w:rFonts w:ascii="Times New Roman" w:hAnsi="Times New Roman" w:cs="Times New Roman"/>
                <w:kern w:val="0"/>
              </w:rPr>
              <w:t>64.95%</w:t>
            </w:r>
          </w:p>
        </w:tc>
      </w:tr>
      <w:tr w14:paraId="10D9A553">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06AA6B76">
            <w:pPr>
              <w:pStyle w:val="15"/>
              <w:spacing w:line="480" w:lineRule="auto"/>
              <w:rPr>
                <w:rFonts w:ascii="Times New Roman" w:hAnsi="Times New Roman" w:cs="Times New Roman"/>
                <w:kern w:val="0"/>
              </w:rPr>
            </w:pPr>
            <w:r>
              <w:rPr>
                <w:rFonts w:hint="eastAsia" w:ascii="Times New Roman" w:hAnsi="Times New Roman" w:cs="Times New Roman"/>
                <w:kern w:val="0"/>
              </w:rPr>
              <w:t>P</w:t>
            </w:r>
            <w:r>
              <w:rPr>
                <w:rFonts w:ascii="Times New Roman" w:hAnsi="Times New Roman" w:cs="Times New Roman"/>
                <w:kern w:val="0"/>
              </w:rPr>
              <w:t>eripheral neuropathy</w:t>
            </w:r>
          </w:p>
        </w:tc>
        <w:tc>
          <w:tcPr>
            <w:tcW w:w="626" w:type="pct"/>
            <w:noWrap/>
            <w:vAlign w:val="center"/>
          </w:tcPr>
          <w:p w14:paraId="52E9496F">
            <w:pPr>
              <w:pStyle w:val="15"/>
              <w:spacing w:line="480" w:lineRule="auto"/>
              <w:rPr>
                <w:rFonts w:ascii="Times New Roman" w:hAnsi="Times New Roman" w:cs="Times New Roman"/>
                <w:kern w:val="0"/>
              </w:rPr>
            </w:pPr>
            <w:r>
              <w:rPr>
                <w:rFonts w:ascii="Times New Roman" w:hAnsi="Times New Roman" w:cs="Times New Roman"/>
                <w:kern w:val="0"/>
              </w:rPr>
              <w:t>24.2</w:t>
            </w:r>
          </w:p>
        </w:tc>
        <w:tc>
          <w:tcPr>
            <w:tcW w:w="612" w:type="pct"/>
            <w:noWrap/>
            <w:vAlign w:val="center"/>
          </w:tcPr>
          <w:p w14:paraId="5AB310AC">
            <w:pPr>
              <w:pStyle w:val="15"/>
              <w:spacing w:line="480" w:lineRule="auto"/>
              <w:rPr>
                <w:rFonts w:ascii="Times New Roman" w:hAnsi="Times New Roman" w:cs="Times New Roman"/>
                <w:kern w:val="0"/>
              </w:rPr>
            </w:pPr>
            <w:r>
              <w:rPr>
                <w:rFonts w:ascii="Times New Roman" w:hAnsi="Times New Roman" w:cs="Times New Roman"/>
                <w:kern w:val="0"/>
              </w:rPr>
              <w:t>134.44</w:t>
            </w:r>
          </w:p>
        </w:tc>
        <w:tc>
          <w:tcPr>
            <w:tcW w:w="543" w:type="pct"/>
            <w:noWrap/>
            <w:vAlign w:val="center"/>
          </w:tcPr>
          <w:p w14:paraId="22937F29">
            <w:pPr>
              <w:pStyle w:val="15"/>
              <w:spacing w:line="480" w:lineRule="auto"/>
              <w:rPr>
                <w:rFonts w:ascii="Times New Roman" w:hAnsi="Times New Roman" w:cs="Times New Roman"/>
                <w:kern w:val="0"/>
              </w:rPr>
            </w:pPr>
            <w:r>
              <w:rPr>
                <w:rFonts w:ascii="Times New Roman" w:hAnsi="Times New Roman" w:cs="Times New Roman"/>
                <w:kern w:val="0"/>
              </w:rPr>
              <w:t>0.012</w:t>
            </w:r>
          </w:p>
        </w:tc>
        <w:tc>
          <w:tcPr>
            <w:tcW w:w="665" w:type="pct"/>
            <w:noWrap/>
            <w:vAlign w:val="center"/>
          </w:tcPr>
          <w:p w14:paraId="0F821839">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470" w:type="pct"/>
            <w:vAlign w:val="center"/>
          </w:tcPr>
          <w:p w14:paraId="0CE7EB66">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688" w:type="pct"/>
            <w:vAlign w:val="center"/>
          </w:tcPr>
          <w:p w14:paraId="383E4D5F">
            <w:pPr>
              <w:pStyle w:val="15"/>
              <w:spacing w:line="480" w:lineRule="auto"/>
              <w:rPr>
                <w:rFonts w:ascii="Times New Roman" w:hAnsi="Times New Roman" w:cs="Times New Roman"/>
                <w:kern w:val="0"/>
              </w:rPr>
            </w:pPr>
            <w:r>
              <w:rPr>
                <w:rFonts w:ascii="Times New Roman" w:hAnsi="Times New Roman" w:cs="Times New Roman"/>
                <w:kern w:val="0"/>
              </w:rPr>
              <w:t>0.00%</w:t>
            </w:r>
          </w:p>
        </w:tc>
        <w:tc>
          <w:tcPr>
            <w:tcW w:w="689" w:type="pct"/>
            <w:noWrap/>
            <w:vAlign w:val="center"/>
          </w:tcPr>
          <w:p w14:paraId="492AFA85">
            <w:pPr>
              <w:pStyle w:val="15"/>
              <w:spacing w:line="480" w:lineRule="auto"/>
              <w:rPr>
                <w:rFonts w:ascii="Times New Roman" w:hAnsi="Times New Roman" w:cs="Times New Roman"/>
                <w:kern w:val="0"/>
              </w:rPr>
            </w:pPr>
            <w:r>
              <w:rPr>
                <w:rFonts w:ascii="Times New Roman" w:hAnsi="Times New Roman" w:cs="Times New Roman"/>
                <w:kern w:val="0"/>
              </w:rPr>
              <w:t>0.00%</w:t>
            </w:r>
          </w:p>
        </w:tc>
      </w:tr>
      <w:tr w14:paraId="208C5D0C">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08A80EF0">
            <w:pPr>
              <w:pStyle w:val="15"/>
              <w:spacing w:line="480" w:lineRule="auto"/>
              <w:rPr>
                <w:rFonts w:ascii="Times New Roman" w:hAnsi="Times New Roman" w:cs="Times New Roman"/>
                <w:kern w:val="0"/>
              </w:rPr>
            </w:pPr>
          </w:p>
        </w:tc>
        <w:tc>
          <w:tcPr>
            <w:tcW w:w="626" w:type="pct"/>
            <w:noWrap/>
            <w:vAlign w:val="center"/>
          </w:tcPr>
          <w:p w14:paraId="3251BFFD">
            <w:pPr>
              <w:pStyle w:val="15"/>
              <w:spacing w:line="480" w:lineRule="auto"/>
              <w:rPr>
                <w:rFonts w:ascii="Times New Roman" w:hAnsi="Times New Roman" w:cs="Times New Roman"/>
                <w:kern w:val="0"/>
              </w:rPr>
            </w:pPr>
          </w:p>
        </w:tc>
        <w:tc>
          <w:tcPr>
            <w:tcW w:w="612" w:type="pct"/>
            <w:noWrap/>
            <w:vAlign w:val="center"/>
          </w:tcPr>
          <w:p w14:paraId="053F2C99">
            <w:pPr>
              <w:pStyle w:val="15"/>
              <w:spacing w:line="480" w:lineRule="auto"/>
              <w:rPr>
                <w:rFonts w:ascii="Times New Roman" w:hAnsi="Times New Roman" w:cs="Times New Roman"/>
                <w:kern w:val="0"/>
              </w:rPr>
            </w:pPr>
          </w:p>
        </w:tc>
        <w:tc>
          <w:tcPr>
            <w:tcW w:w="543" w:type="pct"/>
            <w:noWrap/>
            <w:vAlign w:val="center"/>
          </w:tcPr>
          <w:p w14:paraId="639E9B55">
            <w:pPr>
              <w:pStyle w:val="15"/>
              <w:spacing w:line="480" w:lineRule="auto"/>
              <w:rPr>
                <w:rFonts w:ascii="Times New Roman" w:hAnsi="Times New Roman" w:cs="Times New Roman"/>
                <w:kern w:val="0"/>
              </w:rPr>
            </w:pPr>
          </w:p>
        </w:tc>
        <w:tc>
          <w:tcPr>
            <w:tcW w:w="665" w:type="pct"/>
            <w:noWrap/>
            <w:vAlign w:val="center"/>
          </w:tcPr>
          <w:p w14:paraId="56B9FD18">
            <w:pPr>
              <w:pStyle w:val="15"/>
              <w:spacing w:line="480" w:lineRule="auto"/>
              <w:rPr>
                <w:rFonts w:ascii="Times New Roman" w:hAnsi="Times New Roman" w:cs="Times New Roman"/>
                <w:kern w:val="0"/>
              </w:rPr>
            </w:pPr>
            <w:r>
              <w:rPr>
                <w:rFonts w:ascii="Times New Roman" w:hAnsi="Times New Roman" w:cs="Times New Roman"/>
                <w:kern w:val="0"/>
              </w:rPr>
              <w:t>42.37%</w:t>
            </w:r>
          </w:p>
        </w:tc>
        <w:tc>
          <w:tcPr>
            <w:tcW w:w="470" w:type="pct"/>
            <w:vAlign w:val="center"/>
          </w:tcPr>
          <w:p w14:paraId="382F6D2B">
            <w:pPr>
              <w:pStyle w:val="15"/>
              <w:spacing w:line="480" w:lineRule="auto"/>
              <w:rPr>
                <w:rFonts w:ascii="Times New Roman" w:hAnsi="Times New Roman" w:cs="Times New Roman"/>
                <w:kern w:val="0"/>
              </w:rPr>
            </w:pPr>
            <w:r>
              <w:rPr>
                <w:rFonts w:ascii="Times New Roman" w:hAnsi="Times New Roman" w:cs="Times New Roman"/>
                <w:kern w:val="0"/>
              </w:rPr>
              <w:t>49.49%</w:t>
            </w:r>
          </w:p>
        </w:tc>
        <w:tc>
          <w:tcPr>
            <w:tcW w:w="688" w:type="pct"/>
            <w:vAlign w:val="center"/>
          </w:tcPr>
          <w:p w14:paraId="0E7BD03C">
            <w:pPr>
              <w:pStyle w:val="15"/>
              <w:spacing w:line="480" w:lineRule="auto"/>
              <w:rPr>
                <w:rFonts w:ascii="Times New Roman" w:hAnsi="Times New Roman" w:cs="Times New Roman"/>
                <w:kern w:val="0"/>
              </w:rPr>
            </w:pPr>
            <w:r>
              <w:rPr>
                <w:rFonts w:ascii="Times New Roman" w:hAnsi="Times New Roman" w:cs="Times New Roman"/>
                <w:kern w:val="0"/>
              </w:rPr>
              <w:t>100.00%</w:t>
            </w:r>
          </w:p>
        </w:tc>
        <w:tc>
          <w:tcPr>
            <w:tcW w:w="689" w:type="pct"/>
            <w:noWrap/>
            <w:vAlign w:val="center"/>
          </w:tcPr>
          <w:p w14:paraId="3EF03775">
            <w:pPr>
              <w:pStyle w:val="15"/>
              <w:spacing w:line="480" w:lineRule="auto"/>
              <w:rPr>
                <w:rFonts w:ascii="Times New Roman" w:hAnsi="Times New Roman" w:cs="Times New Roman"/>
                <w:kern w:val="0"/>
              </w:rPr>
            </w:pPr>
            <w:r>
              <w:rPr>
                <w:rFonts w:ascii="Times New Roman" w:hAnsi="Times New Roman" w:cs="Times New Roman"/>
                <w:kern w:val="0"/>
              </w:rPr>
              <w:t>100.00%</w:t>
            </w:r>
          </w:p>
        </w:tc>
      </w:tr>
      <w:tr w14:paraId="776CF6D1">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43DA4B28">
            <w:pPr>
              <w:pStyle w:val="15"/>
              <w:spacing w:line="480" w:lineRule="auto"/>
              <w:rPr>
                <w:rFonts w:ascii="Times New Roman" w:hAnsi="Times New Roman" w:cs="Times New Roman"/>
                <w:kern w:val="0"/>
              </w:rPr>
            </w:pPr>
            <w:r>
              <w:rPr>
                <w:rFonts w:ascii="Times New Roman" w:hAnsi="Times New Roman" w:cs="Times New Roman"/>
                <w:kern w:val="0"/>
              </w:rPr>
              <w:t>Annual cost, $</w:t>
            </w:r>
          </w:p>
        </w:tc>
        <w:tc>
          <w:tcPr>
            <w:tcW w:w="626" w:type="pct"/>
            <w:noWrap/>
            <w:vAlign w:val="center"/>
          </w:tcPr>
          <w:p w14:paraId="28822768">
            <w:pPr>
              <w:pStyle w:val="15"/>
              <w:spacing w:line="480" w:lineRule="auto"/>
              <w:rPr>
                <w:rFonts w:ascii="Times New Roman" w:hAnsi="Times New Roman" w:cs="Times New Roman"/>
                <w:kern w:val="0"/>
              </w:rPr>
            </w:pPr>
          </w:p>
        </w:tc>
        <w:tc>
          <w:tcPr>
            <w:tcW w:w="612" w:type="pct"/>
            <w:noWrap/>
            <w:vAlign w:val="center"/>
          </w:tcPr>
          <w:p w14:paraId="242E8D83">
            <w:pPr>
              <w:pStyle w:val="15"/>
              <w:spacing w:line="480" w:lineRule="auto"/>
              <w:rPr>
                <w:rFonts w:ascii="Times New Roman" w:hAnsi="Times New Roman" w:cs="Times New Roman"/>
                <w:kern w:val="0"/>
              </w:rPr>
            </w:pPr>
          </w:p>
        </w:tc>
        <w:tc>
          <w:tcPr>
            <w:tcW w:w="543" w:type="pct"/>
            <w:noWrap/>
            <w:vAlign w:val="center"/>
          </w:tcPr>
          <w:p w14:paraId="28F78E11">
            <w:pPr>
              <w:pStyle w:val="15"/>
              <w:spacing w:line="480" w:lineRule="auto"/>
              <w:rPr>
                <w:rFonts w:ascii="Times New Roman" w:hAnsi="Times New Roman" w:cs="Times New Roman"/>
                <w:kern w:val="0"/>
              </w:rPr>
            </w:pPr>
          </w:p>
        </w:tc>
        <w:tc>
          <w:tcPr>
            <w:tcW w:w="665" w:type="pct"/>
            <w:noWrap/>
            <w:vAlign w:val="center"/>
          </w:tcPr>
          <w:p w14:paraId="3C11F3D9">
            <w:pPr>
              <w:pStyle w:val="15"/>
              <w:spacing w:line="480" w:lineRule="auto"/>
              <w:rPr>
                <w:rFonts w:ascii="Times New Roman" w:hAnsi="Times New Roman" w:cs="Times New Roman"/>
                <w:kern w:val="0"/>
              </w:rPr>
            </w:pPr>
          </w:p>
        </w:tc>
        <w:tc>
          <w:tcPr>
            <w:tcW w:w="470" w:type="pct"/>
            <w:vAlign w:val="center"/>
          </w:tcPr>
          <w:p w14:paraId="17C4A539">
            <w:pPr>
              <w:pStyle w:val="15"/>
              <w:spacing w:line="480" w:lineRule="auto"/>
              <w:rPr>
                <w:rFonts w:ascii="Times New Roman" w:hAnsi="Times New Roman" w:cs="Times New Roman"/>
                <w:kern w:val="0"/>
              </w:rPr>
            </w:pPr>
          </w:p>
        </w:tc>
        <w:tc>
          <w:tcPr>
            <w:tcW w:w="688" w:type="pct"/>
            <w:vAlign w:val="center"/>
          </w:tcPr>
          <w:p w14:paraId="6E0349EE">
            <w:pPr>
              <w:pStyle w:val="15"/>
              <w:spacing w:line="480" w:lineRule="auto"/>
              <w:rPr>
                <w:rFonts w:ascii="Times New Roman" w:hAnsi="Times New Roman" w:cs="Times New Roman"/>
                <w:kern w:val="0"/>
              </w:rPr>
            </w:pPr>
            <w:r>
              <w:rPr>
                <w:rFonts w:ascii="Times New Roman" w:hAnsi="Times New Roman" w:cs="Times New Roman"/>
                <w:kern w:val="0"/>
              </w:rPr>
              <w:t>118.51</w:t>
            </w:r>
          </w:p>
        </w:tc>
        <w:tc>
          <w:tcPr>
            <w:tcW w:w="689" w:type="pct"/>
            <w:noWrap/>
            <w:vAlign w:val="center"/>
          </w:tcPr>
          <w:p w14:paraId="0F382194">
            <w:pPr>
              <w:pStyle w:val="15"/>
              <w:spacing w:line="480" w:lineRule="auto"/>
              <w:rPr>
                <w:rFonts w:ascii="Times New Roman" w:hAnsi="Times New Roman" w:cs="Times New Roman"/>
                <w:kern w:val="0"/>
              </w:rPr>
            </w:pPr>
            <w:r>
              <w:rPr>
                <w:rFonts w:ascii="Times New Roman" w:hAnsi="Times New Roman" w:cs="Times New Roman"/>
                <w:kern w:val="0"/>
              </w:rPr>
              <w:t>118.95</w:t>
            </w:r>
          </w:p>
        </w:tc>
      </w:tr>
      <w:tr w14:paraId="2169689F">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04" w:type="pct"/>
            <w:noWrap/>
            <w:vAlign w:val="center"/>
          </w:tcPr>
          <w:p w14:paraId="2A4597C7">
            <w:pPr>
              <w:pStyle w:val="15"/>
              <w:spacing w:line="480" w:lineRule="auto"/>
              <w:rPr>
                <w:rFonts w:ascii="Times New Roman" w:hAnsi="Times New Roman" w:cs="Times New Roman"/>
                <w:kern w:val="0"/>
              </w:rPr>
            </w:pPr>
            <w:r>
              <w:rPr>
                <w:rFonts w:ascii="Times New Roman" w:hAnsi="Times New Roman" w:cs="Times New Roman"/>
                <w:kern w:val="0"/>
              </w:rPr>
              <w:t>Annual utility, QALY</w:t>
            </w:r>
          </w:p>
        </w:tc>
        <w:tc>
          <w:tcPr>
            <w:tcW w:w="626" w:type="pct"/>
            <w:noWrap/>
            <w:vAlign w:val="center"/>
          </w:tcPr>
          <w:p w14:paraId="4ADC7DD7">
            <w:pPr>
              <w:pStyle w:val="15"/>
              <w:spacing w:line="480" w:lineRule="auto"/>
              <w:rPr>
                <w:rFonts w:ascii="Times New Roman" w:hAnsi="Times New Roman" w:cs="Times New Roman"/>
                <w:kern w:val="0"/>
              </w:rPr>
            </w:pPr>
          </w:p>
        </w:tc>
        <w:tc>
          <w:tcPr>
            <w:tcW w:w="612" w:type="pct"/>
            <w:noWrap/>
            <w:vAlign w:val="center"/>
          </w:tcPr>
          <w:p w14:paraId="07D48510">
            <w:pPr>
              <w:pStyle w:val="15"/>
              <w:spacing w:line="480" w:lineRule="auto"/>
              <w:rPr>
                <w:rFonts w:ascii="Times New Roman" w:hAnsi="Times New Roman" w:cs="Times New Roman"/>
                <w:kern w:val="0"/>
              </w:rPr>
            </w:pPr>
          </w:p>
        </w:tc>
        <w:tc>
          <w:tcPr>
            <w:tcW w:w="543" w:type="pct"/>
            <w:noWrap/>
            <w:vAlign w:val="center"/>
          </w:tcPr>
          <w:p w14:paraId="7F017620">
            <w:pPr>
              <w:pStyle w:val="15"/>
              <w:spacing w:line="480" w:lineRule="auto"/>
              <w:rPr>
                <w:rFonts w:ascii="Times New Roman" w:hAnsi="Times New Roman" w:cs="Times New Roman"/>
                <w:kern w:val="0"/>
              </w:rPr>
            </w:pPr>
          </w:p>
        </w:tc>
        <w:tc>
          <w:tcPr>
            <w:tcW w:w="665" w:type="pct"/>
            <w:noWrap/>
            <w:vAlign w:val="center"/>
          </w:tcPr>
          <w:p w14:paraId="761D961E">
            <w:pPr>
              <w:pStyle w:val="15"/>
              <w:spacing w:line="480" w:lineRule="auto"/>
              <w:rPr>
                <w:rFonts w:ascii="Times New Roman" w:hAnsi="Times New Roman" w:cs="Times New Roman"/>
                <w:kern w:val="0"/>
              </w:rPr>
            </w:pPr>
          </w:p>
        </w:tc>
        <w:tc>
          <w:tcPr>
            <w:tcW w:w="470" w:type="pct"/>
            <w:vAlign w:val="center"/>
          </w:tcPr>
          <w:p w14:paraId="6814FDB3">
            <w:pPr>
              <w:pStyle w:val="15"/>
              <w:spacing w:line="480" w:lineRule="auto"/>
              <w:rPr>
                <w:rFonts w:ascii="Times New Roman" w:hAnsi="Times New Roman" w:cs="Times New Roman"/>
                <w:kern w:val="0"/>
              </w:rPr>
            </w:pPr>
          </w:p>
        </w:tc>
        <w:tc>
          <w:tcPr>
            <w:tcW w:w="688" w:type="pct"/>
            <w:vAlign w:val="center"/>
          </w:tcPr>
          <w:p w14:paraId="08559F29">
            <w:pPr>
              <w:pStyle w:val="15"/>
              <w:spacing w:line="480" w:lineRule="auto"/>
              <w:rPr>
                <w:rFonts w:ascii="Times New Roman" w:hAnsi="Times New Roman" w:cs="Times New Roman"/>
                <w:kern w:val="0"/>
              </w:rPr>
            </w:pPr>
            <w:r>
              <w:rPr>
                <w:rFonts w:ascii="Times New Roman" w:hAnsi="Times New Roman" w:cs="Times New Roman"/>
                <w:kern w:val="0"/>
              </w:rPr>
              <w:t>0.00853</w:t>
            </w:r>
          </w:p>
        </w:tc>
        <w:tc>
          <w:tcPr>
            <w:tcW w:w="689" w:type="pct"/>
            <w:noWrap/>
            <w:vAlign w:val="center"/>
          </w:tcPr>
          <w:p w14:paraId="57C7A748">
            <w:pPr>
              <w:pStyle w:val="15"/>
              <w:spacing w:line="480" w:lineRule="auto"/>
              <w:rPr>
                <w:rFonts w:ascii="Times New Roman" w:hAnsi="Times New Roman" w:cs="Times New Roman"/>
                <w:kern w:val="0"/>
              </w:rPr>
            </w:pPr>
            <w:r>
              <w:rPr>
                <w:rFonts w:ascii="Times New Roman" w:hAnsi="Times New Roman" w:cs="Times New Roman"/>
                <w:kern w:val="0"/>
              </w:rPr>
              <w:t>0.006103093</w:t>
            </w:r>
          </w:p>
        </w:tc>
      </w:tr>
    </w:tbl>
    <w:p w14:paraId="63DF7214">
      <w:pPr>
        <w:spacing w:line="480" w:lineRule="auto"/>
        <w:rPr>
          <w:rFonts w:ascii="Times New Roman" w:hAnsi="Times New Roman" w:cs="Times New Roman"/>
          <w:sz w:val="24"/>
          <w:szCs w:val="24"/>
        </w:rPr>
      </w:pPr>
    </w:p>
    <w:p w14:paraId="0E284CB3">
      <w:pPr>
        <w:pStyle w:val="7"/>
        <w:spacing w:line="480" w:lineRule="auto"/>
        <w:jc w:val="center"/>
        <w:rPr>
          <w:rFonts w:ascii="Times New Roman" w:hAnsi="Times New Roman" w:cs="Times New Roman"/>
          <w:b/>
          <w:bCs/>
          <w:sz w:val="24"/>
          <w:szCs w:val="24"/>
        </w:rPr>
      </w:pPr>
      <w:bookmarkStart w:id="42" w:name="_Toc183682238"/>
      <w:bookmarkStart w:id="43" w:name="_Toc216103923"/>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CPI, </w:t>
      </w:r>
      <w:r>
        <w:rPr>
          <w:rFonts w:hint="eastAsia" w:ascii="Times New Roman" w:hAnsi="Times New Roman" w:cs="Times New Roman"/>
          <w:b/>
          <w:bCs/>
          <w:sz w:val="24"/>
          <w:szCs w:val="24"/>
        </w:rPr>
        <w:t xml:space="preserve">Discount </w:t>
      </w:r>
      <w:r>
        <w:rPr>
          <w:rFonts w:ascii="Times New Roman" w:hAnsi="Times New Roman" w:cs="Times New Roman"/>
          <w:b/>
          <w:bCs/>
          <w:sz w:val="24"/>
          <w:szCs w:val="24"/>
        </w:rPr>
        <w:t>and Exchange Rate Statistics Table</w:t>
      </w:r>
      <w:bookmarkEnd w:id="42"/>
      <w:bookmarkEnd w:id="43"/>
    </w:p>
    <w:tbl>
      <w:tblPr>
        <w:tblStyle w:val="17"/>
        <w:tblW w:w="4998"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77"/>
        <w:gridCol w:w="2401"/>
        <w:gridCol w:w="1418"/>
        <w:gridCol w:w="1423"/>
      </w:tblGrid>
      <w:tr w14:paraId="34655D07">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23" w:type="pct"/>
            <w:tcBorders>
              <w:top w:val="single" w:color="auto" w:sz="12" w:space="0"/>
              <w:left w:val="nil"/>
              <w:bottom w:val="single" w:color="auto" w:sz="6" w:space="0"/>
              <w:right w:val="nil"/>
              <w:insideH w:val="single" w:sz="6" w:space="0"/>
              <w:insideV w:val="nil"/>
              <w:tl2br w:val="nil"/>
              <w:tr2bl w:val="nil"/>
            </w:tcBorders>
            <w:noWrap/>
          </w:tcPr>
          <w:p w14:paraId="3B1323ED">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Types of indicators</w:t>
            </w:r>
            <w:r>
              <w:rPr>
                <w:rFonts w:ascii="Times New Roman" w:hAnsi="Times New Roman" w:eastAsia="宋体" w:cs="Times New Roman"/>
                <w:b/>
                <w:bCs/>
                <w:kern w:val="0"/>
              </w:rPr>
              <w:fldChar w:fldCharType="begin"/>
            </w:r>
            <w:r>
              <w:rPr>
                <w:rFonts w:ascii="Times New Roman" w:hAnsi="Times New Roman" w:eastAsia="宋体" w:cs="Times New Roman"/>
                <w:b/>
                <w:bCs/>
                <w:kern w:val="0"/>
              </w:rPr>
              <w:instrText xml:space="preserve"> ADDIN NE.Ref.{58FFD806-682C-49BD-A5EC-774F8924C6D8}</w:instrText>
            </w:r>
            <w:r>
              <w:rPr>
                <w:rFonts w:ascii="Times New Roman" w:hAnsi="Times New Roman" w:eastAsia="宋体" w:cs="Times New Roman"/>
                <w:b/>
                <w:bCs/>
                <w:kern w:val="0"/>
              </w:rPr>
              <w:fldChar w:fldCharType="separate"/>
            </w:r>
            <w:r>
              <w:rPr>
                <w:rFonts w:ascii="Times New Roman" w:hAnsi="Times New Roman" w:cs="Times New Roman"/>
                <w:color w:val="080000"/>
                <w:szCs w:val="24"/>
              </w:rPr>
              <w:t>[19]</w:t>
            </w:r>
            <w:r>
              <w:rPr>
                <w:rFonts w:ascii="Times New Roman" w:hAnsi="Times New Roman" w:eastAsia="宋体" w:cs="Times New Roman"/>
                <w:b/>
                <w:bCs/>
                <w:kern w:val="0"/>
              </w:rPr>
              <w:fldChar w:fldCharType="end"/>
            </w:r>
          </w:p>
        </w:tc>
        <w:tc>
          <w:tcPr>
            <w:tcW w:w="1409" w:type="pct"/>
            <w:tcBorders>
              <w:top w:val="single" w:color="auto" w:sz="12" w:space="0"/>
              <w:bottom w:val="single" w:color="auto" w:sz="6" w:space="0"/>
              <w:right w:val="nil"/>
              <w:insideH w:val="single" w:sz="6" w:space="0"/>
              <w:insideV w:val="nil"/>
              <w:tl2br w:val="nil"/>
              <w:tr2bl w:val="nil"/>
            </w:tcBorders>
            <w:noWrap/>
          </w:tcPr>
          <w:p w14:paraId="68561E13">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Time</w:t>
            </w:r>
          </w:p>
        </w:tc>
        <w:tc>
          <w:tcPr>
            <w:tcW w:w="832" w:type="pct"/>
            <w:tcBorders>
              <w:top w:val="single" w:color="auto" w:sz="12" w:space="0"/>
              <w:bottom w:val="single" w:color="auto" w:sz="6" w:space="0"/>
              <w:right w:val="nil"/>
              <w:insideH w:val="single" w:sz="6" w:space="0"/>
              <w:insideV w:val="nil"/>
              <w:tl2br w:val="nil"/>
              <w:tr2bl w:val="nil"/>
            </w:tcBorders>
            <w:noWrap/>
          </w:tcPr>
          <w:p w14:paraId="4ACCBD15">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Country</w:t>
            </w:r>
          </w:p>
        </w:tc>
        <w:tc>
          <w:tcPr>
            <w:tcW w:w="835" w:type="pct"/>
            <w:tcBorders>
              <w:top w:val="single" w:color="auto" w:sz="12" w:space="0"/>
              <w:bottom w:val="single" w:color="auto" w:sz="6" w:space="0"/>
              <w:right w:val="nil"/>
              <w:insideH w:val="single" w:sz="6" w:space="0"/>
              <w:insideV w:val="nil"/>
              <w:tl2br w:val="nil"/>
              <w:tr2bl w:val="nil"/>
            </w:tcBorders>
            <w:noWrap/>
          </w:tcPr>
          <w:p w14:paraId="2B7EA3F9">
            <w:pPr>
              <w:pStyle w:val="15"/>
              <w:spacing w:line="480" w:lineRule="auto"/>
              <w:rPr>
                <w:rFonts w:ascii="Times New Roman" w:hAnsi="Times New Roman" w:eastAsia="宋体" w:cs="Times New Roman"/>
                <w:b/>
                <w:bCs/>
                <w:kern w:val="0"/>
              </w:rPr>
            </w:pPr>
            <w:r>
              <w:rPr>
                <w:rFonts w:ascii="Times New Roman" w:hAnsi="Times New Roman" w:eastAsia="宋体" w:cs="Times New Roman"/>
                <w:b/>
                <w:bCs/>
                <w:kern w:val="0"/>
              </w:rPr>
              <w:t>Value</w:t>
            </w:r>
          </w:p>
        </w:tc>
      </w:tr>
      <w:tr w14:paraId="218DF2B3">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23" w:type="pct"/>
            <w:vMerge w:val="restart"/>
            <w:noWrap/>
            <w:vAlign w:val="center"/>
          </w:tcPr>
          <w:p w14:paraId="2FAE99A7">
            <w:pPr>
              <w:pStyle w:val="15"/>
              <w:spacing w:line="480" w:lineRule="auto"/>
              <w:rPr>
                <w:rFonts w:ascii="Times New Roman" w:hAnsi="Times New Roman" w:cs="Times New Roman"/>
                <w:kern w:val="0"/>
              </w:rPr>
            </w:pPr>
            <w:r>
              <w:rPr>
                <w:rFonts w:ascii="Times New Roman" w:hAnsi="Times New Roman" w:cs="Times New Roman"/>
                <w:kern w:val="0"/>
              </w:rPr>
              <w:t>CPI</w:t>
            </w:r>
          </w:p>
        </w:tc>
        <w:tc>
          <w:tcPr>
            <w:tcW w:w="1409" w:type="pct"/>
            <w:noWrap/>
            <w:vAlign w:val="center"/>
          </w:tcPr>
          <w:p w14:paraId="584979C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2014-2023</w:t>
            </w:r>
          </w:p>
        </w:tc>
        <w:tc>
          <w:tcPr>
            <w:tcW w:w="832" w:type="pct"/>
            <w:noWrap/>
            <w:vAlign w:val="center"/>
          </w:tcPr>
          <w:p w14:paraId="15D1A688">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USA</w:t>
            </w:r>
          </w:p>
        </w:tc>
        <w:tc>
          <w:tcPr>
            <w:tcW w:w="835" w:type="pct"/>
            <w:noWrap/>
            <w:vAlign w:val="center"/>
          </w:tcPr>
          <w:p w14:paraId="26EE5DB7">
            <w:pPr>
              <w:widowControl/>
              <w:spacing w:line="480" w:lineRule="auto"/>
              <w:jc w:val="center"/>
              <w:textAlignment w:val="center"/>
              <w:rPr>
                <w:rFonts w:ascii="Times New Roman" w:hAnsi="Times New Roman" w:cs="Times New Roman"/>
                <w:kern w:val="0"/>
                <w:sz w:val="18"/>
              </w:rPr>
            </w:pPr>
            <w:bookmarkStart w:id="44" w:name="RANGE!R15"/>
            <w:r>
              <w:rPr>
                <w:rFonts w:ascii="Times New Roman" w:hAnsi="Times New Roman" w:cs="Times New Roman"/>
                <w:kern w:val="0"/>
                <w:sz w:val="18"/>
              </w:rPr>
              <w:t>1.2870959</w:t>
            </w:r>
            <w:bookmarkEnd w:id="44"/>
          </w:p>
        </w:tc>
      </w:tr>
      <w:tr w14:paraId="744485A8">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23" w:type="pct"/>
            <w:vMerge w:val="continue"/>
            <w:noWrap/>
            <w:vAlign w:val="center"/>
          </w:tcPr>
          <w:p w14:paraId="5DA47FDD">
            <w:pPr>
              <w:pStyle w:val="15"/>
              <w:spacing w:line="480" w:lineRule="auto"/>
              <w:rPr>
                <w:rFonts w:ascii="Times New Roman" w:hAnsi="Times New Roman" w:cs="Times New Roman"/>
                <w:kern w:val="0"/>
              </w:rPr>
            </w:pPr>
          </w:p>
        </w:tc>
        <w:tc>
          <w:tcPr>
            <w:tcW w:w="1409" w:type="pct"/>
            <w:noWrap/>
            <w:vAlign w:val="center"/>
          </w:tcPr>
          <w:p w14:paraId="0ACA1C07">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2017-2023</w:t>
            </w:r>
          </w:p>
        </w:tc>
        <w:tc>
          <w:tcPr>
            <w:tcW w:w="832" w:type="pct"/>
            <w:noWrap/>
            <w:vAlign w:val="center"/>
          </w:tcPr>
          <w:p w14:paraId="06A1EAC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Italy</w:t>
            </w:r>
          </w:p>
        </w:tc>
        <w:tc>
          <w:tcPr>
            <w:tcW w:w="835" w:type="pct"/>
            <w:noWrap/>
            <w:vAlign w:val="center"/>
          </w:tcPr>
          <w:p w14:paraId="0CB76FB1">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1.1831478</w:t>
            </w:r>
          </w:p>
        </w:tc>
      </w:tr>
      <w:tr w14:paraId="33CFE954">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23" w:type="pct"/>
            <w:noWrap/>
            <w:vAlign w:val="center"/>
          </w:tcPr>
          <w:p w14:paraId="03C86C41">
            <w:pPr>
              <w:pStyle w:val="15"/>
              <w:spacing w:line="480" w:lineRule="auto"/>
              <w:rPr>
                <w:rFonts w:ascii="Times New Roman" w:hAnsi="Times New Roman" w:cs="Times New Roman"/>
                <w:kern w:val="0"/>
              </w:rPr>
            </w:pPr>
            <w:r>
              <w:rPr>
                <w:rFonts w:hint="eastAsia" w:ascii="Times New Roman" w:hAnsi="Times New Roman" w:cs="Times New Roman"/>
                <w:kern w:val="0"/>
              </w:rPr>
              <w:t>Discount rate</w:t>
            </w:r>
          </w:p>
        </w:tc>
        <w:tc>
          <w:tcPr>
            <w:tcW w:w="1409" w:type="pct"/>
            <w:noWrap/>
            <w:vAlign w:val="center"/>
          </w:tcPr>
          <w:p w14:paraId="3AEDB495">
            <w:pPr>
              <w:widowControl/>
              <w:spacing w:line="480" w:lineRule="auto"/>
              <w:jc w:val="center"/>
              <w:textAlignment w:val="center"/>
              <w:rPr>
                <w:rFonts w:ascii="Times New Roman" w:hAnsi="Times New Roman" w:cs="Times New Roman"/>
                <w:kern w:val="0"/>
                <w:sz w:val="18"/>
              </w:rPr>
            </w:pPr>
            <w:r>
              <w:rPr>
                <w:rFonts w:hint="eastAsia" w:ascii="Times New Roman" w:hAnsi="Times New Roman" w:cs="Times New Roman"/>
                <w:kern w:val="0"/>
                <w:sz w:val="18"/>
              </w:rPr>
              <w:t>all period in models</w:t>
            </w:r>
          </w:p>
        </w:tc>
        <w:tc>
          <w:tcPr>
            <w:tcW w:w="832" w:type="pct"/>
            <w:noWrap/>
            <w:vAlign w:val="center"/>
          </w:tcPr>
          <w:p w14:paraId="4C359018">
            <w:pPr>
              <w:widowControl/>
              <w:spacing w:line="480" w:lineRule="auto"/>
              <w:jc w:val="center"/>
              <w:textAlignment w:val="center"/>
              <w:rPr>
                <w:rFonts w:ascii="Times New Roman" w:hAnsi="Times New Roman" w:cs="Times New Roman"/>
                <w:kern w:val="0"/>
                <w:sz w:val="18"/>
              </w:rPr>
            </w:pPr>
            <w:r>
              <w:rPr>
                <w:rFonts w:hint="eastAsia" w:ascii="Times New Roman" w:hAnsi="Times New Roman" w:cs="Times New Roman"/>
                <w:kern w:val="0"/>
                <w:sz w:val="18"/>
              </w:rPr>
              <w:t>/</w:t>
            </w:r>
          </w:p>
        </w:tc>
        <w:tc>
          <w:tcPr>
            <w:tcW w:w="835" w:type="pct"/>
            <w:noWrap/>
            <w:vAlign w:val="center"/>
          </w:tcPr>
          <w:p w14:paraId="3DE5CC00">
            <w:pPr>
              <w:widowControl/>
              <w:spacing w:line="480" w:lineRule="auto"/>
              <w:jc w:val="center"/>
              <w:textAlignment w:val="center"/>
              <w:rPr>
                <w:rFonts w:ascii="Times New Roman" w:hAnsi="Times New Roman" w:cs="Times New Roman"/>
                <w:kern w:val="0"/>
                <w:sz w:val="18"/>
              </w:rPr>
            </w:pPr>
            <w:r>
              <w:rPr>
                <w:rFonts w:hint="eastAsia" w:ascii="Times New Roman" w:hAnsi="Times New Roman" w:cs="Times New Roman"/>
                <w:kern w:val="0"/>
                <w:sz w:val="18"/>
              </w:rPr>
              <w:t>3.00%</w:t>
            </w:r>
          </w:p>
        </w:tc>
      </w:tr>
      <w:tr w14:paraId="01D8CBAD">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23" w:type="pct"/>
            <w:vMerge w:val="restart"/>
            <w:noWrap/>
            <w:vAlign w:val="center"/>
          </w:tcPr>
          <w:p w14:paraId="4A370060">
            <w:pPr>
              <w:pStyle w:val="15"/>
              <w:spacing w:line="480" w:lineRule="auto"/>
              <w:rPr>
                <w:rFonts w:ascii="Times New Roman" w:hAnsi="Times New Roman" w:cs="Times New Roman"/>
                <w:kern w:val="0"/>
              </w:rPr>
            </w:pPr>
            <w:r>
              <w:rPr>
                <w:rFonts w:hint="eastAsia" w:ascii="Times New Roman" w:hAnsi="Times New Roman" w:cs="Times New Roman"/>
                <w:kern w:val="0"/>
              </w:rPr>
              <w:t>C</w:t>
            </w:r>
            <w:r>
              <w:rPr>
                <w:rFonts w:ascii="Times New Roman" w:hAnsi="Times New Roman" w:cs="Times New Roman"/>
                <w:kern w:val="0"/>
              </w:rPr>
              <w:t>urrency exchange rate</w:t>
            </w:r>
          </w:p>
        </w:tc>
        <w:tc>
          <w:tcPr>
            <w:tcW w:w="1409" w:type="pct"/>
            <w:noWrap/>
            <w:vAlign w:val="center"/>
          </w:tcPr>
          <w:p w14:paraId="3B1639F1">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2023</w:t>
            </w:r>
          </w:p>
        </w:tc>
        <w:tc>
          <w:tcPr>
            <w:tcW w:w="832" w:type="pct"/>
            <w:noWrap/>
            <w:vAlign w:val="center"/>
          </w:tcPr>
          <w:p w14:paraId="5EB9AEF0">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China</w:t>
            </w:r>
          </w:p>
        </w:tc>
        <w:tc>
          <w:tcPr>
            <w:tcW w:w="835" w:type="pct"/>
            <w:noWrap/>
            <w:vAlign w:val="center"/>
          </w:tcPr>
          <w:p w14:paraId="1479059B">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7.0467</w:t>
            </w:r>
          </w:p>
        </w:tc>
      </w:tr>
      <w:tr w14:paraId="57E4216D">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23" w:type="pct"/>
            <w:vMerge w:val="continue"/>
            <w:noWrap/>
            <w:vAlign w:val="center"/>
          </w:tcPr>
          <w:p w14:paraId="750A6072">
            <w:pPr>
              <w:pStyle w:val="15"/>
              <w:spacing w:line="480" w:lineRule="auto"/>
              <w:rPr>
                <w:rFonts w:ascii="Times New Roman" w:hAnsi="Times New Roman" w:cs="Times New Roman"/>
                <w:kern w:val="0"/>
              </w:rPr>
            </w:pPr>
          </w:p>
        </w:tc>
        <w:tc>
          <w:tcPr>
            <w:tcW w:w="1409" w:type="pct"/>
            <w:noWrap/>
            <w:vAlign w:val="center"/>
          </w:tcPr>
          <w:p w14:paraId="2A22E2E3">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2023</w:t>
            </w:r>
          </w:p>
        </w:tc>
        <w:tc>
          <w:tcPr>
            <w:tcW w:w="832" w:type="pct"/>
            <w:noWrap/>
            <w:vAlign w:val="center"/>
          </w:tcPr>
          <w:p w14:paraId="1766F768">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Italy</w:t>
            </w:r>
          </w:p>
        </w:tc>
        <w:tc>
          <w:tcPr>
            <w:tcW w:w="835" w:type="pct"/>
            <w:noWrap/>
            <w:vAlign w:val="center"/>
          </w:tcPr>
          <w:p w14:paraId="642E1B8F">
            <w:pPr>
              <w:widowControl/>
              <w:spacing w:line="480" w:lineRule="auto"/>
              <w:jc w:val="center"/>
              <w:textAlignment w:val="center"/>
              <w:rPr>
                <w:rFonts w:ascii="Times New Roman" w:hAnsi="Times New Roman" w:cs="Times New Roman"/>
                <w:kern w:val="0"/>
                <w:sz w:val="18"/>
              </w:rPr>
            </w:pPr>
            <w:r>
              <w:rPr>
                <w:rFonts w:ascii="Times New Roman" w:hAnsi="Times New Roman" w:cs="Times New Roman"/>
                <w:kern w:val="0"/>
                <w:sz w:val="18"/>
              </w:rPr>
              <w:t>0.92204</w:t>
            </w:r>
          </w:p>
        </w:tc>
      </w:tr>
    </w:tbl>
    <w:p w14:paraId="65E342B0">
      <w:pPr>
        <w:spacing w:line="480" w:lineRule="auto"/>
        <w:rPr>
          <w:rFonts w:ascii="Times New Roman" w:hAnsi="Times New Roman" w:cs="Times New Roman"/>
        </w:rPr>
      </w:pPr>
      <w:r>
        <w:rPr>
          <w:rFonts w:ascii="Times New Roman" w:hAnsi="Times New Roman" w:cs="Times New Roman"/>
        </w:rPr>
        <w:br w:type="page"/>
      </w:r>
    </w:p>
    <w:p w14:paraId="5A824FF3">
      <w:pPr>
        <w:pStyle w:val="3"/>
        <w:rPr>
          <w:rFonts w:ascii="Times New Roman" w:hAnsi="Times New Roman" w:cs="Times New Roman"/>
        </w:rPr>
      </w:pPr>
      <w:r>
        <w:rPr>
          <w:rFonts w:ascii="Times New Roman" w:hAnsi="Times New Roman" w:cs="Times New Roman"/>
          <w:szCs w:val="24"/>
        </w:rPr>
        <w:t>Parameters and Health Status</w:t>
      </w:r>
    </w:p>
    <w:p w14:paraId="5441FA5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We structure</w:t>
      </w:r>
      <w:r>
        <w:rPr>
          <w:rFonts w:hint="eastAsia" w:ascii="Times New Roman" w:hAnsi="Times New Roman" w:cs="Times New Roman"/>
          <w:sz w:val="24"/>
          <w:szCs w:val="24"/>
        </w:rPr>
        <w:t>d</w:t>
      </w:r>
      <w:r>
        <w:rPr>
          <w:rFonts w:ascii="Times New Roman" w:hAnsi="Times New Roman" w:cs="Times New Roman"/>
          <w:sz w:val="24"/>
          <w:szCs w:val="24"/>
        </w:rPr>
        <w:t xml:space="preserve"> the model description as follows</w:t>
      </w:r>
      <w:r>
        <w:rPr>
          <w:rFonts w:hint="eastAsia" w:ascii="Times New Roman" w:hAnsi="Times New Roman" w:cs="Times New Roman"/>
          <w:sz w:val="24"/>
          <w:szCs w:val="24"/>
        </w:rPr>
        <w:t xml:space="preserve">: in </w:t>
      </w:r>
      <w:r>
        <w:rPr>
          <w:rFonts w:ascii="Times New Roman" w:hAnsi="Times New Roman" w:cs="Times New Roman"/>
          <w:sz w:val="24"/>
          <w:szCs w:val="24"/>
        </w:rPr>
        <w:t xml:space="preserve">Markov </w:t>
      </w:r>
      <w:r>
        <w:rPr>
          <w:rFonts w:hint="eastAsia" w:ascii="Times New Roman" w:hAnsi="Times New Roman" w:cs="Times New Roman"/>
          <w:sz w:val="24"/>
          <w:szCs w:val="24"/>
        </w:rPr>
        <w:t>m</w:t>
      </w:r>
      <w:r>
        <w:rPr>
          <w:rFonts w:ascii="Times New Roman" w:hAnsi="Times New Roman" w:cs="Times New Roman"/>
          <w:sz w:val="24"/>
          <w:szCs w:val="24"/>
        </w:rPr>
        <w:t>odel Equations (</w:t>
      </w:r>
      <w:r>
        <w:rPr>
          <w:rFonts w:hint="eastAsia" w:ascii="Times New Roman" w:hAnsi="Times New Roman" w:cs="Times New Roman"/>
          <w:sz w:val="24"/>
          <w:szCs w:val="24"/>
        </w:rPr>
        <w:t>s</w:t>
      </w:r>
      <w:r>
        <w:rPr>
          <w:rFonts w:ascii="Times New Roman" w:hAnsi="Times New Roman" w:cs="Times New Roman"/>
          <w:sz w:val="24"/>
          <w:szCs w:val="24"/>
        </w:rPr>
        <w:t xml:space="preserve">tate </w:t>
      </w:r>
      <w:r>
        <w:rPr>
          <w:rFonts w:hint="eastAsia" w:ascii="Times New Roman" w:hAnsi="Times New Roman" w:cs="Times New Roman"/>
          <w:sz w:val="24"/>
          <w:szCs w:val="24"/>
        </w:rPr>
        <w:t>t</w:t>
      </w:r>
      <w:r>
        <w:rPr>
          <w:rFonts w:ascii="Times New Roman" w:hAnsi="Times New Roman" w:cs="Times New Roman"/>
          <w:sz w:val="24"/>
          <w:szCs w:val="24"/>
        </w:rPr>
        <w:t>ransitions)</w:t>
      </w:r>
      <w:r>
        <w:rPr>
          <w:rFonts w:hint="eastAsia" w:ascii="Times New Roman" w:hAnsi="Times New Roman" w:cs="Times New Roman"/>
          <w:sz w:val="24"/>
          <w:szCs w:val="24"/>
        </w:rPr>
        <w:t xml:space="preserve"> fo</w:t>
      </w:r>
      <w:r>
        <w:rPr>
          <w:rFonts w:ascii="Times New Roman" w:hAnsi="Times New Roman" w:cs="Times New Roman"/>
          <w:sz w:val="24"/>
          <w:szCs w:val="24"/>
        </w:rPr>
        <w:t>r each CD4 stage (1 to 5), we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took the intervention program BIC group as an example </w:t>
      </w:r>
      <w:r>
        <w:rPr>
          <w:rFonts w:hint="eastAsia" w:ascii="Times New Roman" w:hAnsi="Times New Roman" w:cs="Times New Roman"/>
          <w:sz w:val="24"/>
          <w:szCs w:val="24"/>
        </w:rPr>
        <w:t xml:space="preserve">and </w:t>
      </w:r>
      <w:r>
        <w:rPr>
          <w:rFonts w:ascii="Times New Roman" w:hAnsi="Times New Roman" w:cs="Times New Roman"/>
          <w:sz w:val="24"/>
          <w:szCs w:val="24"/>
        </w:rPr>
        <w:t>provide</w:t>
      </w:r>
      <w:r>
        <w:rPr>
          <w:rFonts w:hint="eastAsia" w:ascii="Times New Roman" w:hAnsi="Times New Roman" w:cs="Times New Roman"/>
          <w:sz w:val="24"/>
          <w:szCs w:val="24"/>
        </w:rPr>
        <w:t>d</w:t>
      </w:r>
      <w:r>
        <w:rPr>
          <w:rFonts w:ascii="Times New Roman" w:hAnsi="Times New Roman" w:cs="Times New Roman"/>
          <w:sz w:val="24"/>
          <w:szCs w:val="24"/>
        </w:rPr>
        <w:t xml:space="preserve"> the equations for:</w:t>
      </w:r>
      <w:r>
        <w:rPr>
          <w:rFonts w:hint="eastAsia" w:ascii="Times New Roman" w:hAnsi="Times New Roman" w:cs="Times New Roman"/>
          <w:sz w:val="24"/>
          <w:szCs w:val="24"/>
        </w:rPr>
        <w:t xml:space="preserve"> (1) </w:t>
      </w:r>
      <w:r>
        <w:rPr>
          <w:rFonts w:ascii="Times New Roman" w:hAnsi="Times New Roman" w:cs="Times New Roman"/>
          <w:sz w:val="24"/>
          <w:szCs w:val="24"/>
        </w:rPr>
        <w:t>First-line regimen (BIC) without suppression</w:t>
      </w:r>
      <w:r>
        <w:rPr>
          <w:rFonts w:hint="eastAsia" w:ascii="Times New Roman" w:hAnsi="Times New Roman" w:cs="Times New Roman"/>
          <w:sz w:val="24"/>
          <w:szCs w:val="24"/>
        </w:rPr>
        <w:t xml:space="preserve">; (2) </w:t>
      </w:r>
      <w:r>
        <w:rPr>
          <w:rFonts w:ascii="Times New Roman" w:hAnsi="Times New Roman" w:cs="Times New Roman"/>
          <w:sz w:val="24"/>
          <w:szCs w:val="24"/>
        </w:rPr>
        <w:t>First-line regimen (BIC) with suppression</w:t>
      </w:r>
      <w:r>
        <w:rPr>
          <w:rFonts w:hint="eastAsia" w:ascii="Times New Roman" w:hAnsi="Times New Roman" w:cs="Times New Roman"/>
          <w:sz w:val="24"/>
          <w:szCs w:val="24"/>
        </w:rPr>
        <w:t xml:space="preserve">; (3) </w:t>
      </w:r>
      <w:r>
        <w:rPr>
          <w:rFonts w:ascii="Times New Roman" w:hAnsi="Times New Roman" w:cs="Times New Roman"/>
          <w:sz w:val="24"/>
          <w:szCs w:val="24"/>
        </w:rPr>
        <w:t>Second-line regimen (LPV) without suppression</w:t>
      </w:r>
      <w:r>
        <w:rPr>
          <w:rFonts w:hint="eastAsia" w:ascii="Times New Roman" w:hAnsi="Times New Roman" w:cs="Times New Roman"/>
          <w:sz w:val="24"/>
          <w:szCs w:val="24"/>
        </w:rPr>
        <w:t xml:space="preserve">; (4) </w:t>
      </w:r>
      <w:r>
        <w:rPr>
          <w:rFonts w:ascii="Times New Roman" w:hAnsi="Times New Roman" w:cs="Times New Roman"/>
          <w:sz w:val="24"/>
          <w:szCs w:val="24"/>
        </w:rPr>
        <w:t>Second-line regimen (LPV) with suppression</w:t>
      </w:r>
      <w:r>
        <w:rPr>
          <w:rFonts w:hint="eastAsia" w:ascii="Times New Roman" w:hAnsi="Times New Roman" w:cs="Times New Roman"/>
          <w:sz w:val="24"/>
          <w:szCs w:val="24"/>
        </w:rPr>
        <w:t xml:space="preserve">;(5) </w:t>
      </w:r>
      <w:r>
        <w:rPr>
          <w:rFonts w:ascii="Times New Roman" w:hAnsi="Times New Roman" w:cs="Times New Roman"/>
          <w:sz w:val="24"/>
          <w:szCs w:val="24"/>
        </w:rPr>
        <w:t>Treatment failure (TF)</w:t>
      </w:r>
      <w:r>
        <w:rPr>
          <w:rFonts w:hint="eastAsia" w:ascii="Times New Roman" w:hAnsi="Times New Roman" w:cs="Times New Roman"/>
          <w:sz w:val="24"/>
          <w:szCs w:val="24"/>
        </w:rPr>
        <w:t>.</w:t>
      </w:r>
    </w:p>
    <w:p w14:paraId="022DA603">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In infectious disease dynamics model (transmission model), </w:t>
      </w:r>
      <w:r>
        <w:rPr>
          <w:rFonts w:ascii="Times New Roman" w:hAnsi="Times New Roman" w:cs="Times New Roman"/>
          <w:sz w:val="24"/>
          <w:szCs w:val="24"/>
        </w:rPr>
        <w:t>we</w:t>
      </w:r>
      <w:r>
        <w:rPr>
          <w:rFonts w:hint="eastAsia" w:ascii="Times New Roman" w:hAnsi="Times New Roman" w:cs="Times New Roman"/>
          <w:sz w:val="24"/>
          <w:szCs w:val="24"/>
        </w:rPr>
        <w:t xml:space="preserve"> </w:t>
      </w:r>
      <w:r>
        <w:rPr>
          <w:rFonts w:ascii="Times New Roman" w:hAnsi="Times New Roman" w:cs="Times New Roman"/>
          <w:sz w:val="24"/>
          <w:szCs w:val="24"/>
        </w:rPr>
        <w:t>provide</w:t>
      </w:r>
      <w:r>
        <w:rPr>
          <w:rFonts w:hint="eastAsia" w:ascii="Times New Roman" w:hAnsi="Times New Roman" w:cs="Times New Roman"/>
          <w:sz w:val="24"/>
          <w:szCs w:val="24"/>
        </w:rPr>
        <w:t>d equation for the susceptible population and the infected population in each CD4 stage (1 to 5) for: (1) First-line regimen (BIC) without suppression; (2) First-line regimen (BIC) with suppression; (3) Switching-line regimen (EFV) without suppression;(4) Switching-line regimen (EFV) with suppression.</w:t>
      </w:r>
    </w:p>
    <w:p w14:paraId="2C4682BB">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We provided the equations in a clear and structured manner, using subscripts to denote the stage and suppression status, and using parameters that were clearly defined in </w:t>
      </w:r>
      <w:r>
        <w:rPr>
          <w:rFonts w:hint="eastAsia" w:ascii="Times New Roman" w:hAnsi="Times New Roman" w:cs="Times New Roman"/>
          <w:b/>
          <w:bCs/>
          <w:sz w:val="24"/>
          <w:szCs w:val="24"/>
        </w:rPr>
        <w:t>Appendix Table 14</w:t>
      </w:r>
      <w:r>
        <w:rPr>
          <w:rFonts w:hint="eastAsia" w:ascii="Times New Roman" w:hAnsi="Times New Roman" w:cs="Times New Roman"/>
          <w:sz w:val="24"/>
          <w:szCs w:val="24"/>
        </w:rPr>
        <w:t>.</w:t>
      </w:r>
    </w:p>
    <w:p w14:paraId="2811F7E9">
      <w:pPr>
        <w:pStyle w:val="7"/>
        <w:spacing w:line="480" w:lineRule="auto"/>
        <w:jc w:val="center"/>
        <w:rPr>
          <w:rFonts w:ascii="Times New Roman" w:hAnsi="Times New Roman" w:cs="Times New Roman"/>
          <w:b/>
          <w:bCs/>
          <w:sz w:val="24"/>
          <w:szCs w:val="24"/>
        </w:rPr>
      </w:pPr>
      <w:bookmarkStart w:id="45" w:name="_Toc216103924"/>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14</w:t>
      </w:r>
      <w:r>
        <w:rPr>
          <w:rFonts w:ascii="Times New Roman" w:hAnsi="Times New Roman" w:cs="Times New Roman"/>
          <w:b/>
          <w:bCs/>
          <w:sz w:val="24"/>
          <w:szCs w:val="24"/>
        </w:rPr>
        <w:fldChar w:fldCharType="end"/>
      </w:r>
      <w:r>
        <w:rPr>
          <w:rFonts w:hint="eastAsia" w:ascii="Times New Roman" w:hAnsi="Times New Roman" w:cs="Times New Roman"/>
          <w:b/>
          <w:bCs/>
          <w:sz w:val="24"/>
          <w:szCs w:val="24"/>
        </w:rPr>
        <w:t xml:space="preserve"> Names and Explanations of Model Parameter</w:t>
      </w:r>
      <w:bookmarkEnd w:id="45"/>
    </w:p>
    <w:tbl>
      <w:tblPr>
        <w:tblStyle w:val="11"/>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1"/>
        <w:gridCol w:w="7108"/>
      </w:tblGrid>
      <w:tr w14:paraId="348FCD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bottom w:val="single" w:color="auto" w:sz="4" w:space="0"/>
              <w:tl2br w:val="nil"/>
              <w:tr2bl w:val="nil"/>
            </w:tcBorders>
            <w:shd w:val="clear" w:color="000000" w:fill="FFFFFF" w:themeFill="background1"/>
            <w:vAlign w:val="center"/>
          </w:tcPr>
          <w:p w14:paraId="5460640F">
            <w:pPr>
              <w:pStyle w:val="15"/>
              <w:spacing w:line="480" w:lineRule="auto"/>
              <w:rPr>
                <w:rFonts w:ascii="Times New Roman" w:hAnsi="Times New Roman" w:cs="Times New Roman"/>
                <w:b/>
                <w:bCs/>
                <w:kern w:val="0"/>
                <w:szCs w:val="16"/>
              </w:rPr>
            </w:pPr>
            <w:r>
              <w:rPr>
                <w:rFonts w:ascii="Times New Roman" w:hAnsi="Times New Roman" w:cs="Times New Roman"/>
                <w:b/>
                <w:bCs/>
                <w:kern w:val="0"/>
                <w:szCs w:val="16"/>
              </w:rPr>
              <w:t>Name</w:t>
            </w:r>
          </w:p>
        </w:tc>
        <w:tc>
          <w:tcPr>
            <w:tcW w:w="4171" w:type="pct"/>
            <w:tcBorders>
              <w:bottom w:val="single" w:color="auto" w:sz="4" w:space="0"/>
              <w:tl2br w:val="nil"/>
              <w:tr2bl w:val="nil"/>
            </w:tcBorders>
            <w:shd w:val="clear" w:color="000000" w:fill="FFFFFF" w:themeFill="background1"/>
            <w:vAlign w:val="center"/>
          </w:tcPr>
          <w:p w14:paraId="10EB790E">
            <w:pPr>
              <w:pStyle w:val="15"/>
              <w:spacing w:line="480" w:lineRule="auto"/>
              <w:rPr>
                <w:rFonts w:ascii="Times New Roman" w:hAnsi="Times New Roman" w:cs="Times New Roman"/>
                <w:b/>
                <w:bCs/>
                <w:kern w:val="0"/>
                <w:szCs w:val="16"/>
              </w:rPr>
            </w:pPr>
            <w:r>
              <w:rPr>
                <w:rFonts w:ascii="Times New Roman" w:hAnsi="Times New Roman" w:cs="Times New Roman"/>
                <w:b/>
                <w:bCs/>
                <w:kern w:val="0"/>
                <w:szCs w:val="16"/>
              </w:rPr>
              <w:t>Explanations</w:t>
            </w:r>
          </w:p>
        </w:tc>
      </w:tr>
      <w:tr w14:paraId="7865630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single" w:color="auto" w:sz="4" w:space="0"/>
              <w:bottom w:val="nil"/>
            </w:tcBorders>
            <w:shd w:val="clear" w:color="000000" w:fill="FFFFFF" w:themeFill="background1"/>
            <w:vAlign w:val="center"/>
          </w:tcPr>
          <w:p w14:paraId="0BC1EED0">
            <w:pPr>
              <w:pStyle w:val="15"/>
              <w:spacing w:line="480" w:lineRule="auto"/>
              <w:rPr>
                <w:rFonts w:ascii="Times New Roman" w:hAnsi="Times New Roman" w:cs="Times New Roman"/>
                <w:kern w:val="0"/>
                <w:szCs w:val="16"/>
              </w:rPr>
            </w:pPr>
            <w:r>
              <w:rPr>
                <w:rFonts w:ascii="Times New Roman" w:hAnsi="Times New Roman" w:cs="Times New Roman"/>
                <w:kern w:val="0"/>
                <w:szCs w:val="16"/>
              </w:rPr>
              <w:t>t</w:t>
            </w:r>
          </w:p>
        </w:tc>
        <w:tc>
          <w:tcPr>
            <w:tcW w:w="4171" w:type="pct"/>
            <w:tcBorders>
              <w:top w:val="single" w:color="auto" w:sz="4" w:space="0"/>
              <w:bottom w:val="nil"/>
            </w:tcBorders>
            <w:vAlign w:val="center"/>
          </w:tcPr>
          <w:p w14:paraId="29F35DE2">
            <w:pPr>
              <w:pStyle w:val="15"/>
              <w:spacing w:line="480" w:lineRule="auto"/>
              <w:rPr>
                <w:rFonts w:ascii="Times New Roman" w:hAnsi="Times New Roman" w:cs="Times New Roman"/>
                <w:kern w:val="0"/>
                <w:szCs w:val="16"/>
              </w:rPr>
            </w:pPr>
            <w:r>
              <w:rPr>
                <w:rFonts w:ascii="Times New Roman" w:hAnsi="Times New Roman" w:cs="Times New Roman"/>
                <w:kern w:val="0"/>
                <w:szCs w:val="16"/>
              </w:rPr>
              <w:t>time step (e.g., markov model: one month; infectious disease dynamics mode:one year)</w:t>
            </w:r>
          </w:p>
        </w:tc>
      </w:tr>
      <w:tr w14:paraId="6B99E7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649582D2">
            <w:pPr>
              <w:pStyle w:val="15"/>
              <w:spacing w:line="480" w:lineRule="auto"/>
              <w:rPr>
                <w:rFonts w:ascii="Times New Roman" w:hAnsi="Times New Roman" w:cs="Times New Roman"/>
                <w:kern w:val="0"/>
                <w:szCs w:val="16"/>
              </w:rPr>
            </w:pPr>
            <w:r>
              <w:rPr>
                <w:rFonts w:ascii="Times New Roman" w:hAnsi="Times New Roman" w:cs="Times New Roman"/>
                <w:kern w:val="0"/>
                <w:szCs w:val="16"/>
              </w:rPr>
              <w:t>dn</w:t>
            </w:r>
            <w:r>
              <w:rPr>
                <w:rFonts w:ascii="Times New Roman" w:hAnsi="Times New Roman" w:cs="Times New Roman"/>
                <w:kern w:val="0"/>
                <w:szCs w:val="16"/>
                <w:vertAlign w:val="subscript"/>
              </w:rPr>
              <w:t>age</w:t>
            </w:r>
          </w:p>
        </w:tc>
        <w:tc>
          <w:tcPr>
            <w:tcW w:w="4171" w:type="pct"/>
            <w:tcBorders>
              <w:top w:val="nil"/>
              <w:bottom w:val="nil"/>
            </w:tcBorders>
            <w:shd w:val="clear" w:color="000000" w:fill="FFFFFF" w:themeFill="background1"/>
            <w:vAlign w:val="center"/>
          </w:tcPr>
          <w:p w14:paraId="56C8ACCC">
            <w:pPr>
              <w:pStyle w:val="15"/>
              <w:spacing w:line="480" w:lineRule="auto"/>
              <w:rPr>
                <w:rFonts w:ascii="Times New Roman" w:hAnsi="Times New Roman" w:cs="Times New Roman"/>
                <w:kern w:val="0"/>
                <w:szCs w:val="16"/>
              </w:rPr>
            </w:pPr>
            <w:r>
              <w:rPr>
                <w:rFonts w:ascii="Times New Roman" w:hAnsi="Times New Roman" w:cs="Times New Roman"/>
                <w:kern w:val="0"/>
                <w:szCs w:val="16"/>
              </w:rPr>
              <w:t>natural death rate (e.g., age group 18-80)</w:t>
            </w:r>
          </w:p>
        </w:tc>
      </w:tr>
      <w:tr w14:paraId="2101A96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0A4A481E">
            <w:pPr>
              <w:pStyle w:val="15"/>
              <w:spacing w:line="480" w:lineRule="auto"/>
              <w:rPr>
                <w:rFonts w:ascii="Times New Roman" w:hAnsi="Times New Roman" w:cs="Times New Roman"/>
                <w:kern w:val="0"/>
                <w:szCs w:val="16"/>
              </w:rPr>
            </w:pPr>
            <w:r>
              <w:rPr>
                <w:rFonts w:ascii="Times New Roman" w:hAnsi="Times New Roman" w:cs="Times New Roman"/>
                <w:kern w:val="0"/>
                <w:szCs w:val="16"/>
              </w:rPr>
              <w:t>d</w:t>
            </w:r>
            <w:r>
              <w:rPr>
                <w:rFonts w:ascii="Times New Roman" w:hAnsi="Times New Roman" w:cs="Times New Roman"/>
                <w:kern w:val="0"/>
                <w:szCs w:val="16"/>
                <w:vertAlign w:val="subscript"/>
              </w:rPr>
              <w:t>i</w:t>
            </w:r>
          </w:p>
        </w:tc>
        <w:tc>
          <w:tcPr>
            <w:tcW w:w="4171" w:type="pct"/>
            <w:tcBorders>
              <w:top w:val="nil"/>
              <w:bottom w:val="nil"/>
            </w:tcBorders>
            <w:shd w:val="clear" w:color="000000" w:fill="FFFFFF" w:themeFill="background1"/>
            <w:vAlign w:val="center"/>
          </w:tcPr>
          <w:p w14:paraId="5EBD58B9">
            <w:pPr>
              <w:pStyle w:val="15"/>
              <w:spacing w:line="480" w:lineRule="auto"/>
              <w:rPr>
                <w:rFonts w:ascii="Times New Roman" w:hAnsi="Times New Roman" w:cs="Times New Roman"/>
                <w:kern w:val="0"/>
                <w:szCs w:val="16"/>
              </w:rPr>
            </w:pPr>
            <w:r>
              <w:rPr>
                <w:rFonts w:ascii="Times New Roman" w:hAnsi="Times New Roman" w:cs="Times New Roman"/>
                <w:kern w:val="0"/>
                <w:szCs w:val="16"/>
              </w:rPr>
              <w:t>HIV-related death rate in stage i (i=1-5)</w:t>
            </w:r>
          </w:p>
        </w:tc>
      </w:tr>
      <w:tr w14:paraId="127534F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57CC48A7">
            <w:pPr>
              <w:pStyle w:val="15"/>
              <w:spacing w:line="480" w:lineRule="auto"/>
              <w:rPr>
                <w:rFonts w:ascii="Times New Roman" w:hAnsi="Times New Roman" w:cs="Times New Roman"/>
                <w:kern w:val="0"/>
                <w:szCs w:val="16"/>
              </w:rPr>
            </w:pPr>
            <w:r>
              <w:rPr>
                <w:rFonts w:ascii="Times New Roman" w:hAnsi="Times New Roman" w:cs="Times New Roman"/>
                <w:kern w:val="0"/>
                <w:szCs w:val="16"/>
              </w:rPr>
              <w:t>bic</w:t>
            </w:r>
            <w:r>
              <w:rPr>
                <w:rFonts w:ascii="Times New Roman" w:hAnsi="Times New Roman" w:cs="Times New Roman"/>
                <w:kern w:val="0"/>
                <w:szCs w:val="16"/>
                <w:vertAlign w:val="subscript"/>
              </w:rPr>
              <w:t>vd</w:t>
            </w:r>
          </w:p>
        </w:tc>
        <w:tc>
          <w:tcPr>
            <w:tcW w:w="4171" w:type="pct"/>
            <w:tcBorders>
              <w:top w:val="nil"/>
              <w:bottom w:val="nil"/>
            </w:tcBorders>
            <w:shd w:val="clear" w:color="000000" w:fill="FFFFFF" w:themeFill="background1"/>
            <w:vAlign w:val="center"/>
          </w:tcPr>
          <w:p w14:paraId="530C1B03">
            <w:pPr>
              <w:pStyle w:val="15"/>
              <w:spacing w:line="480" w:lineRule="auto"/>
              <w:rPr>
                <w:rFonts w:ascii="Times New Roman" w:hAnsi="Times New Roman" w:cs="Times New Roman"/>
                <w:kern w:val="0"/>
                <w:szCs w:val="16"/>
              </w:rPr>
            </w:pPr>
            <w:r>
              <w:rPr>
                <w:rFonts w:ascii="Times New Roman" w:hAnsi="Times New Roman" w:cs="Times New Roman"/>
                <w:kern w:val="0"/>
                <w:szCs w:val="16"/>
              </w:rPr>
              <w:t>virological discontinuation rate (resistance rate) to the first-line regimen (BIC group)</w:t>
            </w:r>
          </w:p>
        </w:tc>
      </w:tr>
      <w:tr w14:paraId="2B035A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357D5FF0">
            <w:pPr>
              <w:pStyle w:val="15"/>
              <w:spacing w:line="480" w:lineRule="auto"/>
              <w:rPr>
                <w:rFonts w:ascii="Times New Roman" w:hAnsi="Times New Roman" w:cs="Times New Roman"/>
                <w:kern w:val="0"/>
                <w:szCs w:val="16"/>
              </w:rPr>
            </w:pPr>
            <w:r>
              <w:rPr>
                <w:rFonts w:ascii="Times New Roman" w:hAnsi="Times New Roman" w:cs="Times New Roman"/>
                <w:kern w:val="0"/>
                <w:szCs w:val="16"/>
              </w:rPr>
              <w:t>bic</w:t>
            </w:r>
            <w:r>
              <w:rPr>
                <w:rFonts w:ascii="Times New Roman" w:hAnsi="Times New Roman" w:cs="Times New Roman"/>
                <w:kern w:val="0"/>
                <w:szCs w:val="16"/>
                <w:vertAlign w:val="subscript"/>
              </w:rPr>
              <w:t>nd</w:t>
            </w:r>
          </w:p>
        </w:tc>
        <w:tc>
          <w:tcPr>
            <w:tcW w:w="4171" w:type="pct"/>
            <w:tcBorders>
              <w:top w:val="nil"/>
              <w:bottom w:val="nil"/>
            </w:tcBorders>
            <w:shd w:val="clear" w:color="000000" w:fill="FFFFFF" w:themeFill="background1"/>
            <w:vAlign w:val="center"/>
          </w:tcPr>
          <w:p w14:paraId="25D65839">
            <w:pPr>
              <w:pStyle w:val="15"/>
              <w:spacing w:line="480" w:lineRule="auto"/>
              <w:rPr>
                <w:rFonts w:ascii="Times New Roman" w:hAnsi="Times New Roman" w:cs="Times New Roman"/>
                <w:kern w:val="0"/>
                <w:szCs w:val="16"/>
              </w:rPr>
            </w:pPr>
            <w:r>
              <w:rPr>
                <w:rFonts w:ascii="Times New Roman" w:hAnsi="Times New Roman" w:cs="Times New Roman"/>
                <w:kern w:val="0"/>
                <w:szCs w:val="16"/>
              </w:rPr>
              <w:t>non-virological discontinuation rate (e.g., AEs, dependency, economic factors) to the first-line regimen (BIC group)</w:t>
            </w:r>
          </w:p>
        </w:tc>
      </w:tr>
      <w:tr w14:paraId="5FACD6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3AC5DB3F">
            <w:pPr>
              <w:pStyle w:val="15"/>
              <w:spacing w:line="480" w:lineRule="auto"/>
              <w:rPr>
                <w:rFonts w:ascii="Times New Roman" w:hAnsi="Times New Roman" w:cs="Times New Roman"/>
                <w:kern w:val="0"/>
                <w:szCs w:val="16"/>
              </w:rPr>
            </w:pPr>
            <w:r>
              <w:rPr>
                <w:rFonts w:ascii="Times New Roman" w:hAnsi="Times New Roman" w:cs="Times New Roman"/>
                <w:kern w:val="0"/>
                <w:szCs w:val="16"/>
              </w:rPr>
              <w:t>bic</w:t>
            </w:r>
            <w:r>
              <w:rPr>
                <w:rFonts w:ascii="Times New Roman" w:hAnsi="Times New Roman" w:cs="Times New Roman"/>
                <w:kern w:val="0"/>
                <w:szCs w:val="16"/>
                <w:vertAlign w:val="subscript"/>
              </w:rPr>
              <w:t>Pij</w:t>
            </w:r>
          </w:p>
        </w:tc>
        <w:tc>
          <w:tcPr>
            <w:tcW w:w="4171" w:type="pct"/>
            <w:tcBorders>
              <w:top w:val="nil"/>
              <w:bottom w:val="nil"/>
            </w:tcBorders>
            <w:shd w:val="clear" w:color="000000" w:fill="FFFFFF" w:themeFill="background1"/>
            <w:vAlign w:val="center"/>
          </w:tcPr>
          <w:p w14:paraId="5378E317">
            <w:pPr>
              <w:pStyle w:val="15"/>
              <w:spacing w:line="480" w:lineRule="auto"/>
              <w:rPr>
                <w:rFonts w:ascii="Times New Roman" w:hAnsi="Times New Roman" w:cs="Times New Roman"/>
                <w:kern w:val="0"/>
                <w:szCs w:val="16"/>
              </w:rPr>
            </w:pPr>
            <w:r>
              <w:rPr>
                <w:rFonts w:ascii="Times New Roman" w:hAnsi="Times New Roman" w:cs="Times New Roman"/>
                <w:kern w:val="0"/>
                <w:szCs w:val="16"/>
              </w:rPr>
              <w:t>rate of progression from stage j to stage j-1 for the first-line regimen (BIC group), defined over discrete time intervals: the first year (i=1), second year (i=2), and third year or beyond (i=3)</w:t>
            </w:r>
          </w:p>
        </w:tc>
      </w:tr>
      <w:tr w14:paraId="26610EA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049D8640">
            <w:pPr>
              <w:pStyle w:val="15"/>
              <w:spacing w:line="480" w:lineRule="auto"/>
              <w:rPr>
                <w:rFonts w:ascii="Times New Roman" w:hAnsi="Times New Roman" w:cs="Times New Roman"/>
                <w:kern w:val="0"/>
                <w:szCs w:val="16"/>
              </w:rPr>
            </w:pPr>
            <w:r>
              <w:rPr>
                <w:rFonts w:hint="eastAsia" w:ascii="Times New Roman" w:hAnsi="Times New Roman" w:cs="Times New Roman"/>
                <w:kern w:val="0"/>
                <w:szCs w:val="16"/>
              </w:rPr>
              <w:t>bic</w:t>
            </w:r>
            <w:r>
              <w:rPr>
                <w:rFonts w:hint="eastAsia" w:ascii="Times New Roman" w:hAnsi="Times New Roman" w:cs="Times New Roman"/>
                <w:kern w:val="0"/>
                <w:szCs w:val="16"/>
                <w:vertAlign w:val="subscript"/>
              </w:rPr>
              <w:t>si</w:t>
            </w:r>
          </w:p>
        </w:tc>
        <w:tc>
          <w:tcPr>
            <w:tcW w:w="4171" w:type="pct"/>
            <w:tcBorders>
              <w:top w:val="nil"/>
              <w:bottom w:val="nil"/>
            </w:tcBorders>
            <w:shd w:val="clear" w:color="000000" w:fill="FFFFFF" w:themeFill="background1"/>
            <w:vAlign w:val="center"/>
          </w:tcPr>
          <w:p w14:paraId="2A33F595">
            <w:pPr>
              <w:pStyle w:val="15"/>
              <w:spacing w:line="480" w:lineRule="auto"/>
              <w:rPr>
                <w:rFonts w:ascii="Times New Roman" w:hAnsi="Times New Roman" w:cs="Times New Roman"/>
                <w:kern w:val="0"/>
                <w:szCs w:val="16"/>
              </w:rPr>
            </w:pPr>
            <w:r>
              <w:rPr>
                <w:rFonts w:hint="eastAsia" w:ascii="Times New Roman" w:hAnsi="Times New Roman" w:cs="Times New Roman"/>
                <w:kern w:val="0"/>
                <w:szCs w:val="16"/>
              </w:rPr>
              <w:t xml:space="preserve">Rate of suppression for </w:t>
            </w:r>
            <w:r>
              <w:rPr>
                <w:rFonts w:ascii="Times New Roman" w:hAnsi="Times New Roman" w:cs="Times New Roman"/>
                <w:kern w:val="0"/>
                <w:szCs w:val="16"/>
              </w:rPr>
              <w:t>the first-line regimen (BIC group), defined over discrete time intervals: the first year (i=1), second year (i=2), and third year or beyond (i=3)</w:t>
            </w:r>
          </w:p>
        </w:tc>
      </w:tr>
      <w:tr w14:paraId="4BB1DF3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747CC981">
            <w:pPr>
              <w:pStyle w:val="15"/>
              <w:spacing w:line="480" w:lineRule="auto"/>
              <w:rPr>
                <w:rFonts w:ascii="Times New Roman" w:hAnsi="Times New Roman" w:cs="Times New Roman"/>
                <w:kern w:val="0"/>
                <w:szCs w:val="16"/>
              </w:rPr>
            </w:pPr>
            <w:r>
              <w:rPr>
                <w:rFonts w:ascii="Times New Roman" w:hAnsi="Times New Roman" w:cs="Times New Roman"/>
                <w:kern w:val="0"/>
                <w:szCs w:val="16"/>
              </w:rPr>
              <w:t>no</w:t>
            </w:r>
            <w:r>
              <w:rPr>
                <w:rFonts w:ascii="Times New Roman" w:hAnsi="Times New Roman" w:cs="Times New Roman"/>
                <w:kern w:val="0"/>
                <w:szCs w:val="16"/>
                <w:vertAlign w:val="subscript"/>
              </w:rPr>
              <w:t>Pj</w:t>
            </w:r>
          </w:p>
        </w:tc>
        <w:tc>
          <w:tcPr>
            <w:tcW w:w="4171" w:type="pct"/>
            <w:tcBorders>
              <w:top w:val="nil"/>
              <w:bottom w:val="nil"/>
            </w:tcBorders>
            <w:shd w:val="clear" w:color="000000" w:fill="FFFFFF" w:themeFill="background1"/>
            <w:vAlign w:val="center"/>
          </w:tcPr>
          <w:p w14:paraId="724B3EB7">
            <w:pPr>
              <w:pStyle w:val="15"/>
              <w:spacing w:line="480" w:lineRule="auto"/>
              <w:rPr>
                <w:rFonts w:ascii="Times New Roman" w:hAnsi="Times New Roman" w:cs="Times New Roman"/>
                <w:kern w:val="0"/>
                <w:szCs w:val="16"/>
              </w:rPr>
            </w:pPr>
            <w:r>
              <w:rPr>
                <w:rFonts w:ascii="Times New Roman" w:hAnsi="Times New Roman" w:cs="Times New Roman"/>
                <w:kern w:val="0"/>
                <w:szCs w:val="16"/>
              </w:rPr>
              <w:t>rate of progression from stage j to stage j-1 without treatment</w:t>
            </w:r>
          </w:p>
        </w:tc>
      </w:tr>
      <w:tr w14:paraId="2541A6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28" w:type="pct"/>
            <w:tcBorders>
              <w:top w:val="nil"/>
              <w:bottom w:val="nil"/>
            </w:tcBorders>
            <w:shd w:val="clear" w:color="000000" w:fill="FFFFFF" w:themeFill="background1"/>
            <w:vAlign w:val="center"/>
          </w:tcPr>
          <w:p w14:paraId="01CC96F3">
            <w:pPr>
              <w:pStyle w:val="15"/>
              <w:spacing w:line="480" w:lineRule="auto"/>
              <w:rPr>
                <w:rFonts w:ascii="Times New Roman" w:hAnsi="Times New Roman" w:cs="Times New Roman"/>
                <w:kern w:val="0"/>
                <w:szCs w:val="16"/>
              </w:rPr>
            </w:pPr>
            <w:r>
              <w:rPr>
                <w:rFonts w:ascii="Times New Roman" w:hAnsi="Times New Roman" w:cs="Times New Roman"/>
                <w:kern w:val="0"/>
                <w:szCs w:val="16"/>
              </w:rPr>
              <w:t>pr</w:t>
            </w:r>
            <w:r>
              <w:rPr>
                <w:rFonts w:hint="eastAsia" w:ascii="Times New Roman" w:hAnsi="Times New Roman" w:cs="Times New Roman"/>
                <w:kern w:val="0"/>
                <w:szCs w:val="16"/>
                <w:vertAlign w:val="subscript"/>
              </w:rPr>
              <w:t>i</w:t>
            </w:r>
          </w:p>
        </w:tc>
        <w:tc>
          <w:tcPr>
            <w:tcW w:w="4171" w:type="pct"/>
            <w:tcBorders>
              <w:top w:val="nil"/>
              <w:bottom w:val="nil"/>
            </w:tcBorders>
            <w:shd w:val="clear" w:color="000000" w:fill="FFFFFF" w:themeFill="background1"/>
            <w:vAlign w:val="center"/>
          </w:tcPr>
          <w:p w14:paraId="20C79F94">
            <w:pPr>
              <w:pStyle w:val="15"/>
              <w:spacing w:line="480" w:lineRule="auto"/>
              <w:rPr>
                <w:rFonts w:ascii="Times New Roman" w:hAnsi="Times New Roman" w:cs="Times New Roman"/>
                <w:kern w:val="0"/>
                <w:szCs w:val="16"/>
              </w:rPr>
            </w:pPr>
            <w:r>
              <w:rPr>
                <w:rFonts w:hint="eastAsia" w:ascii="Times New Roman" w:hAnsi="Times New Roman" w:cs="Times New Roman"/>
                <w:kern w:val="0"/>
                <w:szCs w:val="16"/>
              </w:rPr>
              <w:t>the distribution rate of MSM living with HIV across stages i (i=1-5).</w:t>
            </w:r>
          </w:p>
        </w:tc>
      </w:tr>
    </w:tbl>
    <w:p w14:paraId="629183D6">
      <w:pPr>
        <w:spacing w:line="480" w:lineRule="auto"/>
        <w:rPr>
          <w:rFonts w:ascii="Times New Roman" w:hAnsi="Times New Roman" w:cs="Times New Roman"/>
          <w:sz w:val="18"/>
          <w:szCs w:val="18"/>
        </w:rPr>
      </w:pPr>
      <w:r>
        <w:rPr>
          <w:rFonts w:ascii="Times New Roman" w:hAnsi="Times New Roman" w:cs="Times New Roman"/>
          <w:sz w:val="18"/>
          <w:szCs w:val="18"/>
        </w:rPr>
        <w:t xml:space="preserve">note: the given equations use </w:t>
      </w:r>
      <w:r>
        <w:rPr>
          <w:rFonts w:hint="eastAsia" w:ascii="Times New Roman" w:hAnsi="Times New Roman" w:cs="Times New Roman"/>
          <w:sz w:val="18"/>
          <w:szCs w:val="18"/>
        </w:rPr>
        <w:t>efv</w:t>
      </w:r>
      <w:r>
        <w:rPr>
          <w:rFonts w:ascii="Times New Roman" w:hAnsi="Times New Roman" w:cs="Times New Roman"/>
          <w:sz w:val="18"/>
          <w:szCs w:val="18"/>
          <w:vertAlign w:val="subscript"/>
        </w:rPr>
        <w:t>P</w:t>
      </w:r>
      <w:r>
        <w:rPr>
          <w:rFonts w:hint="eastAsia" w:ascii="Times New Roman" w:hAnsi="Times New Roman" w:cs="Times New Roman"/>
          <w:sz w:val="18"/>
          <w:szCs w:val="18"/>
          <w:vertAlign w:val="subscript"/>
        </w:rPr>
        <w:t>ij</w:t>
      </w:r>
      <w:r>
        <w:rPr>
          <w:rFonts w:ascii="Times New Roman" w:hAnsi="Times New Roman" w:cs="Times New Roman"/>
          <w:sz w:val="18"/>
          <w:szCs w:val="18"/>
        </w:rPr>
        <w:t xml:space="preserve">, </w:t>
      </w:r>
      <w:r>
        <w:rPr>
          <w:rFonts w:hint="eastAsia" w:ascii="Times New Roman" w:hAnsi="Times New Roman" w:cs="Times New Roman"/>
          <w:sz w:val="18"/>
          <w:szCs w:val="18"/>
        </w:rPr>
        <w:t>lpv</w:t>
      </w:r>
      <w:r>
        <w:rPr>
          <w:rFonts w:ascii="Times New Roman" w:hAnsi="Times New Roman" w:cs="Times New Roman"/>
          <w:sz w:val="18"/>
          <w:szCs w:val="18"/>
          <w:vertAlign w:val="subscript"/>
        </w:rPr>
        <w:t>P</w:t>
      </w:r>
      <w:r>
        <w:rPr>
          <w:rFonts w:hint="eastAsia" w:ascii="Times New Roman" w:hAnsi="Times New Roman" w:cs="Times New Roman"/>
          <w:sz w:val="18"/>
          <w:szCs w:val="18"/>
          <w:vertAlign w:val="subscript"/>
        </w:rPr>
        <w:t>ij</w:t>
      </w:r>
      <w:r>
        <w:rPr>
          <w:rFonts w:ascii="Times New Roman" w:hAnsi="Times New Roman" w:cs="Times New Roman"/>
          <w:sz w:val="18"/>
          <w:szCs w:val="18"/>
        </w:rPr>
        <w:t>,</w:t>
      </w:r>
      <w:r>
        <w:rPr>
          <w:rFonts w:hint="eastAsia" w:ascii="Times New Roman" w:hAnsi="Times New Roman" w:cs="Times New Roman"/>
          <w:sz w:val="18"/>
          <w:szCs w:val="18"/>
        </w:rPr>
        <w:t xml:space="preserve"> all</w:t>
      </w:r>
      <w:r>
        <w:rPr>
          <w:rFonts w:ascii="Times New Roman" w:hAnsi="Times New Roman" w:cs="Times New Roman"/>
          <w:sz w:val="18"/>
          <w:szCs w:val="18"/>
          <w:vertAlign w:val="subscript"/>
        </w:rPr>
        <w:t>P</w:t>
      </w:r>
      <w:r>
        <w:rPr>
          <w:rFonts w:hint="eastAsia" w:ascii="Times New Roman" w:hAnsi="Times New Roman" w:cs="Times New Roman"/>
          <w:sz w:val="18"/>
          <w:szCs w:val="18"/>
          <w:vertAlign w:val="subscript"/>
        </w:rPr>
        <w:t>ij</w:t>
      </w:r>
      <w:r>
        <w:rPr>
          <w:rFonts w:ascii="Times New Roman" w:hAnsi="Times New Roman" w:cs="Times New Roman"/>
          <w:sz w:val="18"/>
          <w:szCs w:val="18"/>
        </w:rPr>
        <w:t xml:space="preserve"> etc., which are stage transition rates</w:t>
      </w:r>
      <w:r>
        <w:rPr>
          <w:rFonts w:hint="eastAsia" w:ascii="Times New Roman" w:hAnsi="Times New Roman" w:cs="Times New Roman"/>
          <w:sz w:val="18"/>
          <w:szCs w:val="18"/>
        </w:rPr>
        <w:t xml:space="preserve"> with different treatments</w:t>
      </w:r>
    </w:p>
    <w:p w14:paraId="037B8103">
      <w:pPr>
        <w:pStyle w:val="4"/>
        <w:spacing w:before="0" w:after="0"/>
        <w:rPr>
          <w:rFonts w:ascii="Times New Roman" w:hAnsi="Times New Roman" w:cs="Times New Roman"/>
          <w:sz w:val="24"/>
          <w:szCs w:val="24"/>
        </w:rPr>
      </w:pPr>
      <w:r>
        <w:rPr>
          <w:rFonts w:ascii="Times New Roman" w:hAnsi="Times New Roman" w:cs="Times New Roman"/>
          <w:sz w:val="24"/>
          <w:szCs w:val="24"/>
        </w:rPr>
        <w:t>Model Formulation</w:t>
      </w:r>
    </w:p>
    <w:p w14:paraId="34110285">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In m</w:t>
      </w:r>
      <w:r>
        <w:rPr>
          <w:rFonts w:ascii="Times New Roman" w:hAnsi="Times New Roman" w:cs="Times New Roman"/>
          <w:sz w:val="24"/>
          <w:szCs w:val="24"/>
        </w:rPr>
        <w:t xml:space="preserve">arkov </w:t>
      </w:r>
      <w:r>
        <w:rPr>
          <w:rFonts w:hint="eastAsia" w:ascii="Times New Roman" w:hAnsi="Times New Roman" w:cs="Times New Roman"/>
          <w:sz w:val="24"/>
          <w:szCs w:val="24"/>
        </w:rPr>
        <w:t>m</w:t>
      </w:r>
      <w:r>
        <w:rPr>
          <w:rFonts w:ascii="Times New Roman" w:hAnsi="Times New Roman" w:cs="Times New Roman"/>
          <w:sz w:val="24"/>
          <w:szCs w:val="24"/>
        </w:rPr>
        <w:t xml:space="preserve">odel for HIV </w:t>
      </w:r>
      <w:r>
        <w:rPr>
          <w:rFonts w:hint="eastAsia" w:ascii="Times New Roman" w:hAnsi="Times New Roman" w:cs="Times New Roman"/>
          <w:sz w:val="24"/>
          <w:szCs w:val="24"/>
        </w:rPr>
        <w:t>d</w:t>
      </w:r>
      <w:r>
        <w:rPr>
          <w:rFonts w:ascii="Times New Roman" w:hAnsi="Times New Roman" w:cs="Times New Roman"/>
          <w:sz w:val="24"/>
          <w:szCs w:val="24"/>
        </w:rPr>
        <w:t xml:space="preserve">isease </w:t>
      </w:r>
      <w:r>
        <w:rPr>
          <w:rFonts w:hint="eastAsia" w:ascii="Times New Roman" w:hAnsi="Times New Roman" w:cs="Times New Roman"/>
          <w:sz w:val="24"/>
          <w:szCs w:val="24"/>
        </w:rPr>
        <w:t>p</w:t>
      </w:r>
      <w:r>
        <w:rPr>
          <w:rFonts w:ascii="Times New Roman" w:hAnsi="Times New Roman" w:cs="Times New Roman"/>
          <w:sz w:val="24"/>
          <w:szCs w:val="24"/>
        </w:rPr>
        <w:t xml:space="preserve">rogression and </w:t>
      </w:r>
      <w:r>
        <w:rPr>
          <w:rFonts w:hint="eastAsia" w:ascii="Times New Roman" w:hAnsi="Times New Roman" w:cs="Times New Roman"/>
          <w:sz w:val="24"/>
          <w:szCs w:val="24"/>
        </w:rPr>
        <w:t>t</w:t>
      </w:r>
      <w:r>
        <w:rPr>
          <w:rFonts w:ascii="Times New Roman" w:hAnsi="Times New Roman" w:cs="Times New Roman"/>
          <w:sz w:val="24"/>
          <w:szCs w:val="24"/>
        </w:rPr>
        <w:t>reatment</w:t>
      </w:r>
      <w:r>
        <w:rPr>
          <w:rFonts w:hint="eastAsia" w:ascii="Times New Roman" w:hAnsi="Times New Roman" w:cs="Times New Roman"/>
          <w:sz w:val="24"/>
          <w:szCs w:val="24"/>
        </w:rPr>
        <w:t>, w</w:t>
      </w:r>
      <w:r>
        <w:rPr>
          <w:rFonts w:ascii="Times New Roman" w:hAnsi="Times New Roman" w:cs="Times New Roman"/>
          <w:sz w:val="24"/>
          <w:szCs w:val="24"/>
        </w:rPr>
        <w:t>e consider</w:t>
      </w:r>
      <w:r>
        <w:rPr>
          <w:rFonts w:hint="eastAsia" w:ascii="Times New Roman" w:hAnsi="Times New Roman" w:cs="Times New Roman"/>
          <w:sz w:val="24"/>
          <w:szCs w:val="24"/>
        </w:rPr>
        <w:t>ed</w:t>
      </w:r>
      <w:r>
        <w:rPr>
          <w:rFonts w:ascii="Times New Roman" w:hAnsi="Times New Roman" w:cs="Times New Roman"/>
          <w:sz w:val="24"/>
          <w:szCs w:val="24"/>
        </w:rPr>
        <w:t xml:space="preserve"> a model with five CD4 stages (stage 1: &lt;100, stage 2: 100-200, stage 3: 200-350, stage 4: 350-500, stage 5: &gt;500 cells/μL) and three treatment states: first-line regimen (BIC), second-line regimen (LPV), and treatment failure (TF). Each treatment state is further divided into suppressed and unsuppressed viral load, except for TF which is only unsuppressed.</w:t>
      </w:r>
    </w:p>
    <w:p w14:paraId="0B9A6529">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BICi,n(t)</w:t>
      </w:r>
      <w:r>
        <w:rPr>
          <w:rFonts w:hint="eastAsia" w:ascii="Times New Roman" w:hAnsi="Times New Roman" w:cs="Times New Roman"/>
          <w:sz w:val="24"/>
          <w:szCs w:val="24"/>
        </w:rPr>
        <w:t xml:space="preserve"> </w:t>
      </w:r>
      <w:r>
        <w:rPr>
          <w:rFonts w:ascii="Times New Roman" w:hAnsi="Times New Roman" w:cs="Times New Roman"/>
          <w:sz w:val="24"/>
          <w:szCs w:val="24"/>
        </w:rPr>
        <w:t>and</w:t>
      </w:r>
      <w:r>
        <w:rPr>
          <w:rFonts w:hint="eastAsia" w:ascii="Times New Roman" w:hAnsi="Times New Roman" w:cs="Times New Roman"/>
          <w:sz w:val="24"/>
          <w:szCs w:val="24"/>
        </w:rPr>
        <w:t xml:space="preserve"> </w:t>
      </w:r>
      <w:r>
        <w:rPr>
          <w:rFonts w:ascii="Times New Roman" w:hAnsi="Times New Roman" w:cs="Times New Roman"/>
          <w:sz w:val="24"/>
          <w:szCs w:val="24"/>
        </w:rPr>
        <w:t>BICi,s(t)</w:t>
      </w:r>
      <w:r>
        <w:rPr>
          <w:rFonts w:hint="eastAsia" w:ascii="Times New Roman" w:hAnsi="Times New Roman" w:cs="Times New Roman"/>
          <w:sz w:val="24"/>
          <w:szCs w:val="24"/>
        </w:rPr>
        <w:t xml:space="preserve"> </w:t>
      </w:r>
      <w:r>
        <w:rPr>
          <w:rFonts w:ascii="Times New Roman" w:hAnsi="Times New Roman" w:cs="Times New Roman"/>
          <w:sz w:val="24"/>
          <w:szCs w:val="24"/>
        </w:rPr>
        <w:t>denote</w:t>
      </w:r>
      <w:r>
        <w:rPr>
          <w:rFonts w:hint="eastAsia" w:ascii="Times New Roman" w:hAnsi="Times New Roman" w:cs="Times New Roman"/>
          <w:sz w:val="24"/>
          <w:szCs w:val="24"/>
        </w:rPr>
        <w:t>d</w:t>
      </w:r>
      <w:r>
        <w:rPr>
          <w:rFonts w:ascii="Times New Roman" w:hAnsi="Times New Roman" w:cs="Times New Roman"/>
          <w:sz w:val="24"/>
          <w:szCs w:val="24"/>
        </w:rPr>
        <w:t xml:space="preserve"> the number of individuals in stage</w:t>
      </w:r>
      <w:r>
        <w:rPr>
          <w:rFonts w:hint="eastAsia" w:ascii="Times New Roman" w:hAnsi="Times New Roman" w:cs="Times New Roman"/>
          <w:sz w:val="24"/>
          <w:szCs w:val="24"/>
        </w:rPr>
        <w:t xml:space="preserve"> i </w:t>
      </w:r>
      <w:r>
        <w:rPr>
          <w:rFonts w:ascii="Times New Roman" w:hAnsi="Times New Roman" w:cs="Times New Roman"/>
          <w:sz w:val="24"/>
          <w:szCs w:val="24"/>
        </w:rPr>
        <w:t>(i=</w:t>
      </w:r>
      <w:r>
        <w:rPr>
          <w:rFonts w:hint="eastAsia" w:ascii="Times New Roman" w:hAnsi="Times New Roman" w:cs="Times New Roman"/>
          <w:sz w:val="24"/>
          <w:szCs w:val="24"/>
        </w:rPr>
        <w:t>1-</w:t>
      </w:r>
      <w:r>
        <w:rPr>
          <w:rFonts w:ascii="Times New Roman" w:hAnsi="Times New Roman" w:cs="Times New Roman"/>
          <w:sz w:val="24"/>
          <w:szCs w:val="24"/>
        </w:rPr>
        <w:t>5</w:t>
      </w:r>
      <w:r>
        <w:rPr>
          <w:rFonts w:hint="eastAsia" w:ascii="Times New Roman" w:hAnsi="Times New Roman" w:cs="Times New Roman"/>
          <w:sz w:val="24"/>
          <w:szCs w:val="24"/>
        </w:rPr>
        <w:t>)</w:t>
      </w:r>
      <w:r>
        <w:rPr>
          <w:rFonts w:ascii="Times New Roman" w:hAnsi="Times New Roman" w:cs="Times New Roman"/>
          <w:sz w:val="24"/>
          <w:szCs w:val="24"/>
        </w:rPr>
        <w:t xml:space="preserve"> on first-line regimen (BIC) with unsuppressed and suppressed viral load, respectively. Similarly,</w:t>
      </w:r>
      <w:r>
        <w:rPr>
          <w:rFonts w:hint="eastAsia" w:ascii="Times New Roman" w:hAnsi="Times New Roman" w:cs="Times New Roman"/>
          <w:sz w:val="24"/>
          <w:szCs w:val="24"/>
        </w:rPr>
        <w:t xml:space="preserve"> LPV</w:t>
      </w:r>
      <w:r>
        <w:rPr>
          <w:rFonts w:ascii="Times New Roman" w:hAnsi="Times New Roman" w:cs="Times New Roman"/>
          <w:sz w:val="24"/>
          <w:szCs w:val="24"/>
        </w:rPr>
        <w:t>i,n(t)</w:t>
      </w:r>
      <w:r>
        <w:rPr>
          <w:rFonts w:hint="eastAsia" w:ascii="Times New Roman" w:hAnsi="Times New Roman" w:cs="Times New Roman"/>
          <w:sz w:val="24"/>
          <w:szCs w:val="24"/>
        </w:rPr>
        <w:t xml:space="preserve"> </w:t>
      </w:r>
      <w:r>
        <w:rPr>
          <w:rFonts w:ascii="Times New Roman" w:hAnsi="Times New Roman" w:cs="Times New Roman"/>
          <w:sz w:val="24"/>
          <w:szCs w:val="24"/>
        </w:rPr>
        <w:t>and</w:t>
      </w:r>
      <w:r>
        <w:rPr>
          <w:rFonts w:hint="eastAsia" w:ascii="Times New Roman" w:hAnsi="Times New Roman" w:cs="Times New Roman"/>
          <w:sz w:val="24"/>
          <w:szCs w:val="24"/>
        </w:rPr>
        <w:t xml:space="preserve"> LPV</w:t>
      </w:r>
      <w:r>
        <w:rPr>
          <w:rFonts w:ascii="Times New Roman" w:hAnsi="Times New Roman" w:cs="Times New Roman"/>
          <w:sz w:val="24"/>
          <w:szCs w:val="24"/>
        </w:rPr>
        <w:t>i,s(t)</w:t>
      </w:r>
      <w:r>
        <w:rPr>
          <w:rFonts w:hint="eastAsia" w:ascii="Times New Roman" w:hAnsi="Times New Roman" w:cs="Times New Roman"/>
          <w:sz w:val="24"/>
          <w:szCs w:val="24"/>
        </w:rPr>
        <w:t xml:space="preserve"> </w:t>
      </w:r>
      <w:r>
        <w:rPr>
          <w:rFonts w:ascii="Times New Roman" w:hAnsi="Times New Roman" w:cs="Times New Roman"/>
          <w:sz w:val="24"/>
          <w:szCs w:val="24"/>
        </w:rPr>
        <w:t>for second-line regimen (LPV), and</w:t>
      </w:r>
      <w:r>
        <w:rPr>
          <w:rFonts w:hint="eastAsia" w:ascii="Times New Roman" w:hAnsi="Times New Roman" w:cs="Times New Roman"/>
          <w:sz w:val="24"/>
          <w:szCs w:val="24"/>
        </w:rPr>
        <w:t xml:space="preserve"> </w:t>
      </w:r>
      <w:r>
        <w:rPr>
          <w:rFonts w:ascii="Times New Roman" w:hAnsi="Times New Roman" w:cs="Times New Roman"/>
          <w:sz w:val="24"/>
          <w:szCs w:val="24"/>
        </w:rPr>
        <w:t>TFi(t)</w:t>
      </w:r>
      <w:r>
        <w:rPr>
          <w:rFonts w:hint="eastAsia" w:ascii="Times New Roman" w:hAnsi="Times New Roman" w:cs="Times New Roman"/>
          <w:sz w:val="24"/>
          <w:szCs w:val="24"/>
        </w:rPr>
        <w:t xml:space="preserve"> </w:t>
      </w:r>
      <w:r>
        <w:rPr>
          <w:rFonts w:ascii="Times New Roman" w:hAnsi="Times New Roman" w:cs="Times New Roman"/>
          <w:sz w:val="24"/>
          <w:szCs w:val="24"/>
        </w:rPr>
        <w:t>for treatment failure.</w:t>
      </w:r>
    </w:p>
    <w:p w14:paraId="3D279C41">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We took the intervention program BIC group </w:t>
      </w:r>
      <w:r>
        <w:rPr>
          <w:rFonts w:hint="eastAsia" w:ascii="Times New Roman" w:hAnsi="Times New Roman" w:cs="Times New Roman"/>
          <w:sz w:val="24"/>
          <w:szCs w:val="24"/>
        </w:rPr>
        <w:t>at first year (</w:t>
      </w:r>
      <w:r>
        <w:rPr>
          <w:rFonts w:ascii="Times New Roman" w:hAnsi="Times New Roman" w:cs="Times New Roman"/>
          <w:sz w:val="24"/>
          <w:szCs w:val="24"/>
        </w:rPr>
        <w:t>the initial 12 cycles</w:t>
      </w:r>
      <w:r>
        <w:rPr>
          <w:rFonts w:hint="eastAsia" w:ascii="Times New Roman" w:hAnsi="Times New Roman" w:cs="Times New Roman"/>
          <w:sz w:val="24"/>
          <w:szCs w:val="24"/>
        </w:rPr>
        <w:t>)</w:t>
      </w:r>
      <w:r>
        <w:rPr>
          <w:rFonts w:ascii="Times New Roman" w:hAnsi="Times New Roman" w:cs="Times New Roman"/>
          <w:sz w:val="24"/>
          <w:szCs w:val="24"/>
        </w:rPr>
        <w:t xml:space="preserve"> as an example, and the detailed counting formulas for each states </w:t>
      </w:r>
      <w:r>
        <w:rPr>
          <w:rFonts w:hint="eastAsia" w:ascii="Times New Roman" w:hAnsi="Times New Roman" w:cs="Times New Roman"/>
          <w:sz w:val="24"/>
          <w:szCs w:val="24"/>
        </w:rPr>
        <w:t xml:space="preserve">were </w:t>
      </w:r>
      <w:r>
        <w:rPr>
          <w:rFonts w:ascii="Times New Roman" w:hAnsi="Times New Roman" w:cs="Times New Roman"/>
          <w:sz w:val="24"/>
          <w:szCs w:val="24"/>
        </w:rPr>
        <w:t xml:space="preserve">defined in </w:t>
      </w:r>
      <w:r>
        <w:rPr>
          <w:rFonts w:ascii="Times New Roman" w:hAnsi="Times New Roman" w:cs="Times New Roman"/>
          <w:b/>
          <w:bCs/>
          <w:sz w:val="24"/>
          <w:szCs w:val="24"/>
        </w:rPr>
        <w:t>Appendix Table 1</w:t>
      </w:r>
      <w:r>
        <w:rPr>
          <w:rFonts w:hint="eastAsia" w:ascii="Times New Roman" w:hAnsi="Times New Roman" w:cs="Times New Roman"/>
          <w:b/>
          <w:bCs/>
          <w:sz w:val="24"/>
          <w:szCs w:val="24"/>
        </w:rPr>
        <w:t>5</w:t>
      </w:r>
      <w:r>
        <w:rPr>
          <w:rFonts w:hint="eastAsia" w:ascii="Times New Roman" w:hAnsi="Times New Roman" w:cs="Times New Roman"/>
          <w:sz w:val="24"/>
          <w:szCs w:val="24"/>
        </w:rPr>
        <w:t>.</w:t>
      </w:r>
    </w:p>
    <w:p w14:paraId="33A23298">
      <w:pPr>
        <w:pStyle w:val="7"/>
        <w:spacing w:line="480" w:lineRule="auto"/>
        <w:jc w:val="center"/>
        <w:rPr>
          <w:rFonts w:ascii="Times New Roman" w:hAnsi="Times New Roman" w:cs="Times New Roman"/>
          <w:b/>
          <w:bCs/>
          <w:sz w:val="24"/>
          <w:szCs w:val="24"/>
        </w:rPr>
      </w:pPr>
      <w:bookmarkStart w:id="46" w:name="_Toc216103925"/>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15</w:t>
      </w:r>
      <w:r>
        <w:rPr>
          <w:rFonts w:ascii="Times New Roman" w:hAnsi="Times New Roman" w:cs="Times New Roman"/>
          <w:b/>
          <w:bCs/>
          <w:sz w:val="24"/>
          <w:szCs w:val="24"/>
        </w:rPr>
        <w:fldChar w:fldCharType="end"/>
      </w:r>
      <w:r>
        <w:rPr>
          <w:rFonts w:hint="eastAsia" w:ascii="Times New Roman" w:hAnsi="Times New Roman" w:cs="Times New Roman"/>
          <w:b/>
          <w:bCs/>
          <w:sz w:val="24"/>
          <w:szCs w:val="24"/>
        </w:rPr>
        <w:t xml:space="preserve"> Names and Explanations of Model States</w:t>
      </w:r>
      <w:bookmarkEnd w:id="46"/>
    </w:p>
    <w:tbl>
      <w:tblPr>
        <w:tblStyle w:val="11"/>
        <w:tblW w:w="4998"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1"/>
        <w:gridCol w:w="7108"/>
      </w:tblGrid>
      <w:tr w14:paraId="3F94AF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single" w:color="auto" w:sz="12" w:space="0"/>
              <w:bottom w:val="single" w:color="auto" w:sz="4" w:space="0"/>
              <w:tl2br w:val="nil"/>
              <w:tr2bl w:val="nil"/>
            </w:tcBorders>
            <w:shd w:val="clear" w:color="000000" w:fill="FFFFFF" w:themeFill="background1"/>
            <w:vAlign w:val="center"/>
          </w:tcPr>
          <w:p w14:paraId="707BC7E8">
            <w:pPr>
              <w:pStyle w:val="15"/>
              <w:spacing w:line="480" w:lineRule="auto"/>
              <w:rPr>
                <w:rFonts w:ascii="Times New Roman" w:hAnsi="Times New Roman" w:cs="Times New Roman"/>
                <w:b/>
                <w:bCs/>
                <w:kern w:val="0"/>
                <w:szCs w:val="16"/>
              </w:rPr>
            </w:pPr>
            <w:r>
              <w:rPr>
                <w:rFonts w:ascii="Times New Roman" w:hAnsi="Times New Roman" w:cs="Times New Roman"/>
                <w:b/>
                <w:bCs/>
                <w:kern w:val="0"/>
                <w:szCs w:val="16"/>
              </w:rPr>
              <w:t>Name</w:t>
            </w:r>
          </w:p>
        </w:tc>
        <w:tc>
          <w:tcPr>
            <w:tcW w:w="4171" w:type="pct"/>
            <w:tcBorders>
              <w:top w:val="single" w:color="auto" w:sz="12" w:space="0"/>
              <w:bottom w:val="single" w:color="auto" w:sz="4" w:space="0"/>
              <w:tl2br w:val="nil"/>
              <w:tr2bl w:val="nil"/>
            </w:tcBorders>
            <w:shd w:val="clear" w:color="000000" w:fill="FFFFFF" w:themeFill="background1"/>
            <w:vAlign w:val="center"/>
          </w:tcPr>
          <w:p w14:paraId="57B1158D">
            <w:pPr>
              <w:pStyle w:val="15"/>
              <w:spacing w:line="480" w:lineRule="auto"/>
              <w:rPr>
                <w:rFonts w:ascii="Times New Roman" w:hAnsi="Times New Roman" w:cs="Times New Roman"/>
                <w:b/>
                <w:bCs/>
                <w:kern w:val="0"/>
                <w:szCs w:val="16"/>
              </w:rPr>
            </w:pPr>
            <w:r>
              <w:rPr>
                <w:rFonts w:hint="eastAsia" w:ascii="Times New Roman" w:hAnsi="Times New Roman" w:cs="Times New Roman"/>
                <w:b/>
                <w:bCs/>
                <w:kern w:val="0"/>
                <w:szCs w:val="16"/>
              </w:rPr>
              <w:t>Explanations</w:t>
            </w:r>
          </w:p>
        </w:tc>
      </w:tr>
      <w:tr w14:paraId="5B80FBD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single" w:color="auto" w:sz="4" w:space="0"/>
              <w:bottom w:val="nil"/>
            </w:tcBorders>
            <w:shd w:val="clear" w:color="000000" w:fill="FFFFFF" w:themeFill="background1"/>
            <w:vAlign w:val="center"/>
          </w:tcPr>
          <w:p w14:paraId="4613C260">
            <w:pPr>
              <w:pStyle w:val="15"/>
              <w:spacing w:line="480" w:lineRule="auto"/>
              <w:rPr>
                <w:rFonts w:ascii="Times New Roman" w:hAnsi="Times New Roman" w:cs="Times New Roman"/>
                <w:kern w:val="0"/>
                <w:szCs w:val="18"/>
              </w:rPr>
            </w:pPr>
            <w:r>
              <w:rPr>
                <w:rFonts w:ascii="Times New Roman" w:hAnsi="Times New Roman" w:cs="Times New Roman"/>
                <w:i/>
                <w:iCs/>
                <w:szCs w:val="18"/>
              </w:rPr>
              <w:t>BIC</w:t>
            </w:r>
            <w:r>
              <w:rPr>
                <w:rFonts w:hint="eastAsia" w:ascii="Times New Roman" w:hAnsi="Times New Roman" w:cs="Times New Roman"/>
                <w:i/>
                <w:iCs/>
                <w:szCs w:val="18"/>
                <w:vertAlign w:val="subscript"/>
              </w:rPr>
              <w:t>i,</w:t>
            </w:r>
            <w:r>
              <w:rPr>
                <w:rFonts w:ascii="Times New Roman" w:hAnsi="Times New Roman" w:cs="Times New Roman"/>
                <w:i/>
                <w:iCs/>
                <w:szCs w:val="18"/>
                <w:vertAlign w:val="subscript"/>
              </w:rPr>
              <w:t>n</w:t>
            </w:r>
            <w:r>
              <w:rPr>
                <w:rFonts w:ascii="Times New Roman" w:hAnsi="Times New Roman" w:cs="Times New Roman"/>
                <w:i/>
                <w:iCs/>
                <w:szCs w:val="18"/>
              </w:rPr>
              <w:t>(t)</w:t>
            </w:r>
          </w:p>
        </w:tc>
        <w:tc>
          <w:tcPr>
            <w:tcW w:w="4171" w:type="pct"/>
            <w:tcBorders>
              <w:top w:val="single" w:color="auto" w:sz="4" w:space="0"/>
              <w:bottom w:val="nil"/>
            </w:tcBorders>
            <w:vAlign w:val="center"/>
          </w:tcPr>
          <w:p w14:paraId="7F14C971">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t</w:t>
            </w:r>
            <w:r>
              <w:rPr>
                <w:rFonts w:ascii="Times New Roman" w:hAnsi="Times New Roman" w:cs="Times New Roman"/>
                <w:i/>
                <w:iCs/>
                <w:szCs w:val="18"/>
              </w:rPr>
              <w:t xml:space="preserve">he first-line regimen (BIC group) at stage </w:t>
            </w:r>
            <w:r>
              <w:rPr>
                <w:rFonts w:hint="eastAsia" w:ascii="Times New Roman" w:hAnsi="Times New Roman" w:cs="Times New Roman"/>
                <w:i/>
                <w:iCs/>
                <w:szCs w:val="18"/>
              </w:rPr>
              <w:t>i</w:t>
            </w:r>
            <w:r>
              <w:rPr>
                <w:rFonts w:ascii="Times New Roman" w:hAnsi="Times New Roman" w:cs="Times New Roman"/>
                <w:i/>
                <w:iCs/>
                <w:szCs w:val="18"/>
              </w:rPr>
              <w:t xml:space="preserve"> under no-suppression</w:t>
            </w:r>
          </w:p>
        </w:tc>
      </w:tr>
      <w:tr w14:paraId="09336D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nil"/>
            </w:tcBorders>
            <w:shd w:val="clear" w:color="000000" w:fill="FFFFFF" w:themeFill="background1"/>
            <w:vAlign w:val="center"/>
          </w:tcPr>
          <w:p w14:paraId="7E498638">
            <w:pPr>
              <w:pStyle w:val="15"/>
              <w:spacing w:line="480" w:lineRule="auto"/>
              <w:rPr>
                <w:rFonts w:ascii="Times New Roman" w:hAnsi="Times New Roman" w:cs="Times New Roman"/>
                <w:kern w:val="0"/>
                <w:szCs w:val="18"/>
              </w:rPr>
            </w:pPr>
            <w:r>
              <w:rPr>
                <w:rFonts w:ascii="Times New Roman" w:hAnsi="Times New Roman" w:cs="Times New Roman"/>
                <w:i/>
                <w:iCs/>
                <w:szCs w:val="18"/>
              </w:rPr>
              <w:t>BIC</w:t>
            </w:r>
            <w:r>
              <w:rPr>
                <w:rFonts w:hint="eastAsia" w:ascii="Times New Roman" w:hAnsi="Times New Roman" w:cs="Times New Roman"/>
                <w:i/>
                <w:iCs/>
                <w:szCs w:val="18"/>
                <w:vertAlign w:val="subscript"/>
              </w:rPr>
              <w:t>i,s</w:t>
            </w:r>
            <w:r>
              <w:rPr>
                <w:rFonts w:ascii="Times New Roman" w:hAnsi="Times New Roman" w:cs="Times New Roman"/>
                <w:i/>
                <w:iCs/>
                <w:szCs w:val="18"/>
              </w:rPr>
              <w:t>(t)</w:t>
            </w:r>
          </w:p>
        </w:tc>
        <w:tc>
          <w:tcPr>
            <w:tcW w:w="4171" w:type="pct"/>
            <w:tcBorders>
              <w:top w:val="nil"/>
              <w:bottom w:val="nil"/>
            </w:tcBorders>
            <w:shd w:val="clear" w:color="000000" w:fill="FFFFFF" w:themeFill="background1"/>
            <w:vAlign w:val="center"/>
          </w:tcPr>
          <w:p w14:paraId="65AF17DD">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t</w:t>
            </w:r>
            <w:r>
              <w:rPr>
                <w:rFonts w:ascii="Times New Roman" w:hAnsi="Times New Roman" w:cs="Times New Roman"/>
                <w:i/>
                <w:iCs/>
                <w:szCs w:val="18"/>
              </w:rPr>
              <w:t xml:space="preserve">he first-line regimen (BIC group) at stage </w:t>
            </w:r>
            <w:r>
              <w:rPr>
                <w:rFonts w:hint="eastAsia" w:ascii="Times New Roman" w:hAnsi="Times New Roman" w:cs="Times New Roman"/>
                <w:i/>
                <w:iCs/>
                <w:szCs w:val="18"/>
              </w:rPr>
              <w:t>i</w:t>
            </w:r>
            <w:r>
              <w:rPr>
                <w:rFonts w:ascii="Times New Roman" w:hAnsi="Times New Roman" w:cs="Times New Roman"/>
                <w:i/>
                <w:iCs/>
                <w:szCs w:val="18"/>
              </w:rPr>
              <w:t xml:space="preserve"> under suppression</w:t>
            </w:r>
          </w:p>
        </w:tc>
      </w:tr>
      <w:tr w14:paraId="296D22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nil"/>
            </w:tcBorders>
            <w:shd w:val="clear" w:color="000000" w:fill="FFFFFF" w:themeFill="background1"/>
            <w:vAlign w:val="center"/>
          </w:tcPr>
          <w:p w14:paraId="14FC96C7">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LPV</w:t>
            </w:r>
            <w:r>
              <w:rPr>
                <w:rFonts w:hint="eastAsia" w:ascii="Times New Roman" w:hAnsi="Times New Roman" w:cs="Times New Roman"/>
                <w:i/>
                <w:iCs/>
                <w:szCs w:val="18"/>
                <w:vertAlign w:val="subscript"/>
              </w:rPr>
              <w:t>i,</w:t>
            </w:r>
            <w:r>
              <w:rPr>
                <w:rFonts w:ascii="Times New Roman" w:hAnsi="Times New Roman" w:cs="Times New Roman"/>
                <w:i/>
                <w:iCs/>
                <w:szCs w:val="18"/>
                <w:vertAlign w:val="subscript"/>
              </w:rPr>
              <w:t>n</w:t>
            </w:r>
            <w:r>
              <w:rPr>
                <w:rFonts w:ascii="Times New Roman" w:hAnsi="Times New Roman" w:cs="Times New Roman"/>
                <w:i/>
                <w:iCs/>
                <w:szCs w:val="18"/>
              </w:rPr>
              <w:t>(t)</w:t>
            </w:r>
          </w:p>
        </w:tc>
        <w:tc>
          <w:tcPr>
            <w:tcW w:w="4171" w:type="pct"/>
            <w:tcBorders>
              <w:top w:val="nil"/>
              <w:bottom w:val="nil"/>
            </w:tcBorders>
            <w:shd w:val="clear" w:color="000000" w:fill="FFFFFF" w:themeFill="background1"/>
            <w:vAlign w:val="center"/>
          </w:tcPr>
          <w:p w14:paraId="39310A83">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t</w:t>
            </w:r>
            <w:r>
              <w:rPr>
                <w:rFonts w:ascii="Times New Roman" w:hAnsi="Times New Roman" w:cs="Times New Roman"/>
                <w:i/>
                <w:iCs/>
                <w:szCs w:val="18"/>
              </w:rPr>
              <w:t xml:space="preserve">he </w:t>
            </w:r>
            <w:r>
              <w:rPr>
                <w:rFonts w:hint="eastAsia" w:ascii="Times New Roman" w:hAnsi="Times New Roman" w:cs="Times New Roman"/>
                <w:i/>
                <w:iCs/>
                <w:szCs w:val="18"/>
              </w:rPr>
              <w:t>second</w:t>
            </w:r>
            <w:r>
              <w:rPr>
                <w:rFonts w:ascii="Times New Roman" w:hAnsi="Times New Roman" w:cs="Times New Roman"/>
                <w:i/>
                <w:iCs/>
                <w:szCs w:val="18"/>
              </w:rPr>
              <w:t xml:space="preserve">-line regimen after failure of first-line regimen at stage </w:t>
            </w:r>
            <w:r>
              <w:rPr>
                <w:rFonts w:hint="eastAsia" w:ascii="Times New Roman" w:hAnsi="Times New Roman" w:cs="Times New Roman"/>
                <w:i/>
                <w:iCs/>
                <w:szCs w:val="18"/>
              </w:rPr>
              <w:t>i</w:t>
            </w:r>
            <w:r>
              <w:rPr>
                <w:rFonts w:ascii="Times New Roman" w:hAnsi="Times New Roman" w:cs="Times New Roman"/>
                <w:i/>
                <w:iCs/>
                <w:szCs w:val="18"/>
              </w:rPr>
              <w:t xml:space="preserve"> under no-suppression</w:t>
            </w:r>
          </w:p>
        </w:tc>
      </w:tr>
      <w:tr w14:paraId="31885C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nil"/>
            </w:tcBorders>
            <w:shd w:val="clear" w:color="000000" w:fill="FFFFFF" w:themeFill="background1"/>
            <w:vAlign w:val="center"/>
          </w:tcPr>
          <w:p w14:paraId="5AD52DB5">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LPV</w:t>
            </w:r>
            <w:r>
              <w:rPr>
                <w:rFonts w:hint="eastAsia" w:ascii="Times New Roman" w:hAnsi="Times New Roman" w:cs="Times New Roman"/>
                <w:i/>
                <w:iCs/>
                <w:szCs w:val="18"/>
                <w:vertAlign w:val="subscript"/>
              </w:rPr>
              <w:t>i,s</w:t>
            </w:r>
            <w:r>
              <w:rPr>
                <w:rFonts w:ascii="Times New Roman" w:hAnsi="Times New Roman" w:cs="Times New Roman"/>
                <w:i/>
                <w:iCs/>
                <w:szCs w:val="18"/>
              </w:rPr>
              <w:t>(t)</w:t>
            </w:r>
          </w:p>
        </w:tc>
        <w:tc>
          <w:tcPr>
            <w:tcW w:w="4171" w:type="pct"/>
            <w:tcBorders>
              <w:top w:val="nil"/>
              <w:bottom w:val="nil"/>
            </w:tcBorders>
            <w:shd w:val="clear" w:color="000000" w:fill="FFFFFF" w:themeFill="background1"/>
            <w:vAlign w:val="center"/>
          </w:tcPr>
          <w:p w14:paraId="3F4768B2">
            <w:pPr>
              <w:spacing w:line="480" w:lineRule="auto"/>
              <w:jc w:val="center"/>
              <w:rPr>
                <w:rFonts w:ascii="Times New Roman" w:hAnsi="Times New Roman" w:cs="Times New Roman"/>
                <w:kern w:val="0"/>
                <w:sz w:val="18"/>
                <w:szCs w:val="18"/>
              </w:rPr>
            </w:pPr>
            <w:r>
              <w:rPr>
                <w:rFonts w:hint="eastAsia" w:ascii="Times New Roman" w:hAnsi="Times New Roman" w:cs="Times New Roman"/>
                <w:i/>
                <w:iCs/>
                <w:sz w:val="18"/>
                <w:szCs w:val="18"/>
              </w:rPr>
              <w:t>t</w:t>
            </w:r>
            <w:r>
              <w:rPr>
                <w:rFonts w:ascii="Times New Roman" w:hAnsi="Times New Roman" w:cs="Times New Roman"/>
                <w:i/>
                <w:iCs/>
                <w:sz w:val="18"/>
                <w:szCs w:val="18"/>
              </w:rPr>
              <w:t xml:space="preserve">he </w:t>
            </w:r>
            <w:r>
              <w:rPr>
                <w:rFonts w:hint="eastAsia" w:ascii="Times New Roman" w:hAnsi="Times New Roman" w:cs="Times New Roman"/>
                <w:i/>
                <w:iCs/>
                <w:sz w:val="18"/>
                <w:szCs w:val="18"/>
              </w:rPr>
              <w:t>second</w:t>
            </w:r>
            <w:r>
              <w:rPr>
                <w:rFonts w:ascii="Times New Roman" w:hAnsi="Times New Roman" w:cs="Times New Roman"/>
                <w:i/>
                <w:iCs/>
                <w:sz w:val="18"/>
                <w:szCs w:val="18"/>
              </w:rPr>
              <w:t xml:space="preserve">-line regimen after failure of first-line regimen at stage </w:t>
            </w:r>
            <w:r>
              <w:rPr>
                <w:rFonts w:hint="eastAsia" w:ascii="Times New Roman" w:hAnsi="Times New Roman" w:cs="Times New Roman"/>
                <w:i/>
                <w:iCs/>
                <w:sz w:val="18"/>
                <w:szCs w:val="18"/>
              </w:rPr>
              <w:t>i</w:t>
            </w:r>
            <w:r>
              <w:rPr>
                <w:rFonts w:ascii="Times New Roman" w:hAnsi="Times New Roman" w:cs="Times New Roman"/>
                <w:i/>
                <w:iCs/>
                <w:sz w:val="18"/>
                <w:szCs w:val="18"/>
              </w:rPr>
              <w:t xml:space="preserve"> under suppression</w:t>
            </w:r>
          </w:p>
        </w:tc>
      </w:tr>
      <w:tr w14:paraId="7E2212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nil"/>
            </w:tcBorders>
            <w:shd w:val="clear" w:color="000000" w:fill="FFFFFF" w:themeFill="background1"/>
            <w:vAlign w:val="center"/>
          </w:tcPr>
          <w:p w14:paraId="575AA3F6">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EFV</w:t>
            </w:r>
            <w:r>
              <w:rPr>
                <w:rFonts w:hint="eastAsia" w:ascii="Times New Roman" w:hAnsi="Times New Roman" w:cs="Times New Roman"/>
                <w:i/>
                <w:iCs/>
                <w:szCs w:val="18"/>
                <w:vertAlign w:val="subscript"/>
              </w:rPr>
              <w:t>i,</w:t>
            </w:r>
            <w:r>
              <w:rPr>
                <w:rFonts w:ascii="Times New Roman" w:hAnsi="Times New Roman" w:cs="Times New Roman"/>
                <w:i/>
                <w:iCs/>
                <w:szCs w:val="18"/>
                <w:vertAlign w:val="subscript"/>
              </w:rPr>
              <w:t>n</w:t>
            </w:r>
            <w:r>
              <w:rPr>
                <w:rFonts w:ascii="Times New Roman" w:hAnsi="Times New Roman" w:cs="Times New Roman"/>
                <w:i/>
                <w:iCs/>
                <w:szCs w:val="18"/>
              </w:rPr>
              <w:t>(t)</w:t>
            </w:r>
          </w:p>
        </w:tc>
        <w:tc>
          <w:tcPr>
            <w:tcW w:w="4171" w:type="pct"/>
            <w:tcBorders>
              <w:top w:val="nil"/>
              <w:bottom w:val="nil"/>
            </w:tcBorders>
            <w:shd w:val="clear" w:color="000000" w:fill="FFFFFF" w:themeFill="background1"/>
            <w:vAlign w:val="center"/>
          </w:tcPr>
          <w:p w14:paraId="4B510462">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t</w:t>
            </w:r>
            <w:r>
              <w:rPr>
                <w:rFonts w:ascii="Times New Roman" w:hAnsi="Times New Roman" w:cs="Times New Roman"/>
                <w:i/>
                <w:iCs/>
                <w:szCs w:val="18"/>
              </w:rPr>
              <w:t xml:space="preserve">he </w:t>
            </w:r>
            <w:r>
              <w:rPr>
                <w:rFonts w:hint="eastAsia" w:ascii="Times New Roman" w:hAnsi="Times New Roman" w:cs="Times New Roman"/>
                <w:i/>
                <w:iCs/>
                <w:szCs w:val="18"/>
              </w:rPr>
              <w:t>switch</w:t>
            </w:r>
            <w:r>
              <w:rPr>
                <w:rFonts w:ascii="Times New Roman" w:hAnsi="Times New Roman" w:cs="Times New Roman"/>
                <w:i/>
                <w:iCs/>
                <w:szCs w:val="18"/>
              </w:rPr>
              <w:t xml:space="preserve">-line regimen after failure of first-line regimen at stage </w:t>
            </w:r>
            <w:r>
              <w:rPr>
                <w:rFonts w:hint="eastAsia" w:ascii="Times New Roman" w:hAnsi="Times New Roman" w:cs="Times New Roman"/>
                <w:i/>
                <w:iCs/>
                <w:szCs w:val="18"/>
              </w:rPr>
              <w:t>i</w:t>
            </w:r>
            <w:r>
              <w:rPr>
                <w:rFonts w:ascii="Times New Roman" w:hAnsi="Times New Roman" w:cs="Times New Roman"/>
                <w:i/>
                <w:iCs/>
                <w:szCs w:val="18"/>
              </w:rPr>
              <w:t xml:space="preserve"> under no-suppression</w:t>
            </w:r>
          </w:p>
        </w:tc>
      </w:tr>
      <w:tr w14:paraId="305A00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nil"/>
            </w:tcBorders>
            <w:shd w:val="clear" w:color="000000" w:fill="FFFFFF" w:themeFill="background1"/>
            <w:vAlign w:val="center"/>
          </w:tcPr>
          <w:p w14:paraId="7C32251F">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EFV</w:t>
            </w:r>
            <w:r>
              <w:rPr>
                <w:rFonts w:hint="eastAsia" w:ascii="Times New Roman" w:hAnsi="Times New Roman" w:cs="Times New Roman"/>
                <w:i/>
                <w:iCs/>
                <w:szCs w:val="18"/>
                <w:vertAlign w:val="subscript"/>
              </w:rPr>
              <w:t>i,s</w:t>
            </w:r>
            <w:r>
              <w:rPr>
                <w:rFonts w:ascii="Times New Roman" w:hAnsi="Times New Roman" w:cs="Times New Roman"/>
                <w:i/>
                <w:iCs/>
                <w:szCs w:val="18"/>
              </w:rPr>
              <w:t>(t)</w:t>
            </w:r>
          </w:p>
        </w:tc>
        <w:tc>
          <w:tcPr>
            <w:tcW w:w="4171" w:type="pct"/>
            <w:tcBorders>
              <w:top w:val="nil"/>
              <w:bottom w:val="nil"/>
            </w:tcBorders>
            <w:shd w:val="clear" w:color="000000" w:fill="FFFFFF" w:themeFill="background1"/>
            <w:vAlign w:val="center"/>
          </w:tcPr>
          <w:p w14:paraId="2AC706BB">
            <w:pPr>
              <w:spacing w:line="480" w:lineRule="auto"/>
              <w:jc w:val="center"/>
              <w:rPr>
                <w:rFonts w:ascii="Times New Roman" w:hAnsi="Times New Roman" w:cs="Times New Roman"/>
                <w:kern w:val="0"/>
                <w:sz w:val="18"/>
                <w:szCs w:val="18"/>
              </w:rPr>
            </w:pPr>
            <w:r>
              <w:rPr>
                <w:rFonts w:hint="eastAsia" w:ascii="Times New Roman" w:hAnsi="Times New Roman" w:cs="Times New Roman"/>
                <w:i/>
                <w:iCs/>
                <w:sz w:val="18"/>
                <w:szCs w:val="18"/>
              </w:rPr>
              <w:t>t</w:t>
            </w:r>
            <w:r>
              <w:rPr>
                <w:rFonts w:ascii="Times New Roman" w:hAnsi="Times New Roman" w:cs="Times New Roman"/>
                <w:i/>
                <w:iCs/>
                <w:sz w:val="18"/>
                <w:szCs w:val="18"/>
              </w:rPr>
              <w:t xml:space="preserve">he </w:t>
            </w:r>
            <w:r>
              <w:rPr>
                <w:rFonts w:hint="eastAsia" w:ascii="Times New Roman" w:hAnsi="Times New Roman" w:cs="Times New Roman"/>
                <w:i/>
                <w:iCs/>
                <w:sz w:val="18"/>
                <w:szCs w:val="18"/>
              </w:rPr>
              <w:t>switch</w:t>
            </w:r>
            <w:r>
              <w:rPr>
                <w:rFonts w:ascii="Times New Roman" w:hAnsi="Times New Roman" w:cs="Times New Roman"/>
                <w:i/>
                <w:iCs/>
                <w:sz w:val="18"/>
                <w:szCs w:val="18"/>
              </w:rPr>
              <w:t xml:space="preserve">-line regimen after failure of first-line regimen at stage </w:t>
            </w:r>
            <w:r>
              <w:rPr>
                <w:rFonts w:hint="eastAsia" w:ascii="Times New Roman" w:hAnsi="Times New Roman" w:cs="Times New Roman"/>
                <w:i/>
                <w:iCs/>
                <w:sz w:val="18"/>
                <w:szCs w:val="18"/>
              </w:rPr>
              <w:t>i</w:t>
            </w:r>
            <w:r>
              <w:rPr>
                <w:rFonts w:ascii="Times New Roman" w:hAnsi="Times New Roman" w:cs="Times New Roman"/>
                <w:i/>
                <w:iCs/>
                <w:sz w:val="18"/>
                <w:szCs w:val="18"/>
              </w:rPr>
              <w:t xml:space="preserve"> under suppression</w:t>
            </w:r>
          </w:p>
        </w:tc>
      </w:tr>
      <w:tr w14:paraId="6CA32B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28" w:type="pct"/>
            <w:tcBorders>
              <w:top w:val="nil"/>
              <w:bottom w:val="single" w:color="auto" w:sz="12" w:space="0"/>
            </w:tcBorders>
            <w:shd w:val="clear" w:color="000000" w:fill="FFFFFF" w:themeFill="background1"/>
            <w:vAlign w:val="center"/>
          </w:tcPr>
          <w:p w14:paraId="07C40E25">
            <w:pPr>
              <w:pStyle w:val="15"/>
              <w:spacing w:line="480" w:lineRule="auto"/>
              <w:rPr>
                <w:rFonts w:ascii="Times New Roman" w:hAnsi="Times New Roman" w:cs="Times New Roman"/>
                <w:kern w:val="0"/>
                <w:szCs w:val="18"/>
              </w:rPr>
            </w:pPr>
            <w:r>
              <w:rPr>
                <w:rFonts w:hint="eastAsia" w:ascii="Times New Roman" w:hAnsi="Times New Roman" w:cs="Times New Roman"/>
                <w:i/>
                <w:iCs/>
                <w:szCs w:val="18"/>
              </w:rPr>
              <w:t>TF</w:t>
            </w:r>
            <w:r>
              <w:rPr>
                <w:rFonts w:hint="eastAsia" w:ascii="Times New Roman" w:hAnsi="Times New Roman" w:cs="Times New Roman"/>
                <w:i/>
                <w:iCs/>
                <w:szCs w:val="18"/>
                <w:vertAlign w:val="subscript"/>
              </w:rPr>
              <w:t>i</w:t>
            </w:r>
            <w:r>
              <w:rPr>
                <w:rFonts w:hint="eastAsia" w:ascii="Times New Roman" w:hAnsi="Times New Roman" w:cs="Times New Roman"/>
                <w:i/>
                <w:iCs/>
                <w:szCs w:val="18"/>
              </w:rPr>
              <w:t>(t)</w:t>
            </w:r>
          </w:p>
        </w:tc>
        <w:tc>
          <w:tcPr>
            <w:tcW w:w="4171" w:type="pct"/>
            <w:tcBorders>
              <w:top w:val="nil"/>
              <w:bottom w:val="single" w:color="auto" w:sz="12" w:space="0"/>
            </w:tcBorders>
            <w:shd w:val="clear" w:color="000000" w:fill="FFFFFF" w:themeFill="background1"/>
            <w:vAlign w:val="center"/>
          </w:tcPr>
          <w:p w14:paraId="075F433D">
            <w:pPr>
              <w:spacing w:line="480" w:lineRule="auto"/>
              <w:jc w:val="center"/>
              <w:rPr>
                <w:rFonts w:ascii="Times New Roman" w:hAnsi="Times New Roman" w:cs="Times New Roman"/>
                <w:kern w:val="0"/>
                <w:sz w:val="18"/>
                <w:szCs w:val="18"/>
              </w:rPr>
            </w:pPr>
            <w:r>
              <w:rPr>
                <w:rFonts w:hint="eastAsia" w:ascii="Times New Roman" w:hAnsi="Times New Roman" w:cs="Times New Roman"/>
                <w:i/>
                <w:iCs/>
                <w:sz w:val="18"/>
                <w:szCs w:val="18"/>
              </w:rPr>
              <w:t>t</w:t>
            </w:r>
            <w:r>
              <w:rPr>
                <w:rFonts w:ascii="Times New Roman" w:hAnsi="Times New Roman" w:cs="Times New Roman"/>
                <w:i/>
                <w:iCs/>
                <w:sz w:val="18"/>
                <w:szCs w:val="18"/>
              </w:rPr>
              <w:t xml:space="preserve">he </w:t>
            </w:r>
            <w:r>
              <w:rPr>
                <w:rFonts w:hint="eastAsia" w:ascii="Times New Roman" w:hAnsi="Times New Roman" w:cs="Times New Roman"/>
                <w:i/>
                <w:iCs/>
                <w:sz w:val="18"/>
                <w:szCs w:val="18"/>
              </w:rPr>
              <w:t>treatment</w:t>
            </w:r>
            <w:r>
              <w:rPr>
                <w:rFonts w:ascii="Times New Roman" w:hAnsi="Times New Roman" w:cs="Times New Roman"/>
                <w:i/>
                <w:iCs/>
                <w:sz w:val="18"/>
                <w:szCs w:val="18"/>
              </w:rPr>
              <w:t xml:space="preserve"> failure at stage </w:t>
            </w:r>
            <w:r>
              <w:rPr>
                <w:rFonts w:hint="eastAsia" w:ascii="Times New Roman" w:hAnsi="Times New Roman" w:cs="Times New Roman"/>
                <w:i/>
                <w:iCs/>
                <w:sz w:val="18"/>
                <w:szCs w:val="18"/>
              </w:rPr>
              <w:t>i</w:t>
            </w:r>
          </w:p>
        </w:tc>
      </w:tr>
    </w:tbl>
    <w:p w14:paraId="4ACB1A30">
      <w:pPr>
        <w:pStyle w:val="7"/>
        <w:spacing w:line="480" w:lineRule="auto"/>
        <w:jc w:val="center"/>
        <w:rPr>
          <w:rFonts w:ascii="Times New Roman" w:hAnsi="Times New Roman" w:cs="Times New Roman"/>
          <w:b/>
          <w:bCs/>
          <w:sz w:val="24"/>
          <w:szCs w:val="24"/>
        </w:rPr>
      </w:pPr>
    </w:p>
    <w:p w14:paraId="6CB88C69">
      <w:pPr>
        <w:spacing w:line="480" w:lineRule="auto"/>
        <w:rPr>
          <w:rFonts w:ascii="Times New Roman" w:hAnsi="Times New Roman" w:cs="Times New Roman"/>
          <w:i/>
          <w:iCs/>
          <w:sz w:val="24"/>
          <w:szCs w:val="24"/>
        </w:rPr>
      </w:pPr>
      <w:r>
        <w:rPr>
          <w:rFonts w:ascii="Times New Roman" w:hAnsi="Times New Roman" w:cs="Times New Roman"/>
          <w:i/>
          <w:iCs/>
          <w:sz w:val="24"/>
          <w:szCs w:val="24"/>
        </w:rPr>
        <w:t>(1)</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 xml:space="preserve">Stage </w:t>
      </w:r>
      <w:r>
        <w:rPr>
          <w:rFonts w:hint="eastAsia" w:ascii="Times New Roman" w:hAnsi="Times New Roman" w:cs="Times New Roman"/>
          <w:i/>
          <w:iCs/>
          <w:sz w:val="24"/>
          <w:szCs w:val="24"/>
        </w:rPr>
        <w:t>5</w:t>
      </w:r>
      <w:r>
        <w:rPr>
          <w:rFonts w:ascii="Times New Roman" w:hAnsi="Times New Roman" w:cs="Times New Roman"/>
          <w:i/>
          <w:iCs/>
          <w:sz w:val="24"/>
          <w:szCs w:val="24"/>
        </w:rPr>
        <w:t xml:space="preserve"> (CD4 cell counts &gt;500):</w:t>
      </w:r>
    </w:p>
    <w:p w14:paraId="7EEF8456">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P14</w:t>
      </w:r>
    </w:p>
    <w:p w14:paraId="45B4E289">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p>
    <w:p w14:paraId="47636F05">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)*lpv</w:t>
      </w:r>
      <w:r>
        <w:rPr>
          <w:rFonts w:ascii="Times New Roman" w:hAnsi="Times New Roman" w:cs="Times New Roman"/>
          <w:i/>
          <w:iCs/>
          <w:sz w:val="24"/>
          <w:szCs w:val="24"/>
          <w:vertAlign w:val="subscript"/>
        </w:rPr>
        <w:t>P14</w:t>
      </w: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)*(1-no</w:t>
      </w:r>
      <w:r>
        <w:rPr>
          <w:rFonts w:ascii="Times New Roman" w:hAnsi="Times New Roman" w:cs="Times New Roman"/>
          <w:i/>
          <w:iCs/>
          <w:sz w:val="24"/>
          <w:szCs w:val="24"/>
          <w:vertAlign w:val="subscript"/>
        </w:rPr>
        <w:t>P4</w:t>
      </w:r>
      <w:r>
        <w:rPr>
          <w:rFonts w:ascii="Times New Roman" w:hAnsi="Times New Roman" w:cs="Times New Roman"/>
          <w:i/>
          <w:iCs/>
          <w:sz w:val="24"/>
          <w:szCs w:val="24"/>
        </w:rPr>
        <w:t>)</w:t>
      </w:r>
    </w:p>
    <w:p w14:paraId="4CA6F712">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ascii="Times New Roman" w:hAnsi="Times New Roman" w:cs="Times New Roman"/>
          <w:i/>
          <w:iCs/>
          <w:sz w:val="24"/>
          <w:szCs w:val="24"/>
          <w:vertAlign w:val="subscript"/>
        </w:rPr>
        <w:t>vd</w:t>
      </w:r>
      <w:r>
        <w:rPr>
          <w:rFonts w:ascii="Times New Roman" w:hAnsi="Times New Roman" w:cs="Times New Roman"/>
          <w:i/>
          <w:iCs/>
          <w:sz w:val="24"/>
          <w:szCs w:val="24"/>
        </w:rPr>
        <w:t>)</w:t>
      </w:r>
    </w:p>
    <w:p w14:paraId="3C6148BA">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5</w:t>
      </w:r>
      <w:r>
        <w:rPr>
          <w:rFonts w:hint="eastAsia" w:ascii="Times New Roman" w:hAnsi="Times New Roman" w:cs="Times New Roman"/>
          <w:i/>
          <w:iCs/>
          <w:sz w:val="24"/>
          <w:szCs w:val="24"/>
        </w:rPr>
        <w:t>(t+1)=TF</w:t>
      </w:r>
      <w:r>
        <w:rPr>
          <w:rFonts w:hint="eastAsia" w:ascii="Times New Roman" w:hAnsi="Times New Roman" w:cs="Times New Roman"/>
          <w:i/>
          <w:iCs/>
          <w:sz w:val="24"/>
          <w:szCs w:val="24"/>
          <w:vertAlign w:val="subscript"/>
        </w:rPr>
        <w:t>5</w:t>
      </w:r>
      <w:r>
        <w:rPr>
          <w:rFonts w:hint="eastAsia" w:ascii="Times New Roman" w:hAnsi="Times New Roman" w:cs="Times New Roman"/>
          <w:i/>
          <w:iCs/>
          <w:sz w:val="24"/>
          <w:szCs w:val="24"/>
        </w:rPr>
        <w:t>(t)*(1</w:t>
      </w:r>
      <w:r>
        <w:rPr>
          <w:rFonts w:ascii="Times New Roman" w:hAnsi="Times New Roman" w:cs="Times New Roman"/>
          <w:i/>
          <w:iCs/>
          <w:sz w:val="24"/>
          <w:szCs w:val="24"/>
        </w:rPr>
        <w:t>-dn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rPr>
        <w:t>)*(1-drv</w:t>
      </w:r>
      <w:r>
        <w:rPr>
          <w:rFonts w:hint="eastAsia" w:ascii="Times New Roman" w:hAnsi="Times New Roman" w:cs="Times New Roman"/>
          <w:i/>
          <w:iCs/>
          <w:sz w:val="24"/>
          <w:szCs w:val="24"/>
          <w:vertAlign w:val="subscript"/>
        </w:rPr>
        <w:t>nd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vd</w:t>
      </w: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4</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P14</w:t>
      </w:r>
      <w:r>
        <w:rPr>
          <w:rFonts w:hint="eastAsia" w:ascii="Times New Roman" w:hAnsi="Times New Roman" w:cs="Times New Roman"/>
          <w:i/>
          <w:iCs/>
          <w:sz w:val="24"/>
          <w:szCs w:val="24"/>
        </w:rPr>
        <w:t>+LPV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rPr>
        <w:t>)*(1-</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r>
        <w:rPr>
          <w:rFonts w:hint="eastAsia" w:ascii="Times New Roman" w:hAnsi="Times New Roman" w:cs="Times New Roman"/>
          <w:i/>
          <w:iCs/>
          <w:sz w:val="24"/>
          <w:szCs w:val="24"/>
        </w:rPr>
        <w:t>)</w:t>
      </w:r>
    </w:p>
    <w:p w14:paraId="7B2FE394">
      <w:pPr>
        <w:spacing w:line="480" w:lineRule="auto"/>
        <w:rPr>
          <w:rFonts w:ascii="Times New Roman" w:hAnsi="Times New Roman" w:cs="Times New Roman"/>
          <w:i/>
          <w:iCs/>
          <w:sz w:val="24"/>
          <w:szCs w:val="24"/>
        </w:rPr>
      </w:pPr>
    </w:p>
    <w:p w14:paraId="773AA710">
      <w:pPr>
        <w:spacing w:line="480" w:lineRule="auto"/>
        <w:rPr>
          <w:rFonts w:ascii="Times New Roman" w:hAnsi="Times New Roman" w:cs="Times New Roman"/>
          <w:i/>
          <w:iCs/>
          <w:sz w:val="24"/>
          <w:szCs w:val="24"/>
        </w:rPr>
      </w:pPr>
      <w:r>
        <w:rPr>
          <w:rFonts w:ascii="Times New Roman" w:hAnsi="Times New Roman" w:cs="Times New Roman"/>
          <w:i/>
          <w:iCs/>
          <w:sz w:val="24"/>
          <w:szCs w:val="24"/>
        </w:rPr>
        <w:t>(</w:t>
      </w:r>
      <w:r>
        <w:rPr>
          <w:rFonts w:hint="eastAsia" w:ascii="Times New Roman" w:hAnsi="Times New Roman" w:cs="Times New Roman"/>
          <w:i/>
          <w:iCs/>
          <w:sz w:val="24"/>
          <w:szCs w:val="24"/>
        </w:rPr>
        <w:t>2</w:t>
      </w:r>
      <w:r>
        <w:rPr>
          <w:rFonts w:ascii="Times New Roman" w:hAnsi="Times New Roman" w:cs="Times New Roman"/>
          <w:i/>
          <w:iCs/>
          <w:sz w:val="24"/>
          <w:szCs w:val="24"/>
        </w:rPr>
        <w:t>)</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 xml:space="preserve">Stage </w:t>
      </w:r>
      <w:r>
        <w:rPr>
          <w:rFonts w:hint="eastAsia" w:ascii="Times New Roman" w:hAnsi="Times New Roman" w:cs="Times New Roman"/>
          <w:i/>
          <w:iCs/>
          <w:sz w:val="24"/>
          <w:szCs w:val="24"/>
        </w:rPr>
        <w:t>4</w:t>
      </w:r>
      <w:r>
        <w:rPr>
          <w:rFonts w:ascii="Times New Roman" w:hAnsi="Times New Roman" w:cs="Times New Roman"/>
          <w:i/>
          <w:iCs/>
          <w:sz w:val="24"/>
          <w:szCs w:val="24"/>
        </w:rPr>
        <w:t xml:space="preserve"> (350&lt; CD4 cell counts &lt;500):</w:t>
      </w:r>
    </w:p>
    <w:p w14:paraId="20280C39">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P14</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3</w:t>
      </w:r>
    </w:p>
    <w:p w14:paraId="3B69A07A">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p>
    <w:p w14:paraId="5E3E43E2">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)*(1-lpv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ascii="Times New Roman" w:hAnsi="Times New Roman" w:cs="Times New Roman"/>
          <w:i/>
          <w:iCs/>
          <w:sz w:val="24"/>
          <w:szCs w:val="24"/>
          <w:vertAlign w:val="subscript"/>
        </w:rPr>
        <w:t>vd</w:t>
      </w:r>
      <w:r>
        <w:rPr>
          <w:rFonts w:ascii="Times New Roman" w:hAnsi="Times New Roman" w:cs="Times New Roman"/>
          <w:i/>
          <w:iCs/>
          <w:sz w:val="24"/>
          <w:szCs w:val="24"/>
        </w:rPr>
        <w:t>-lpv</w:t>
      </w:r>
      <w:r>
        <w:rPr>
          <w:rFonts w:ascii="Times New Roman" w:hAnsi="Times New Roman" w:cs="Times New Roman"/>
          <w:i/>
          <w:iCs/>
          <w:sz w:val="24"/>
          <w:szCs w:val="24"/>
          <w:vertAlign w:val="subscript"/>
        </w:rPr>
        <w:t>P14</w:t>
      </w:r>
      <w:r>
        <w:rPr>
          <w:rFonts w:ascii="Times New Roman" w:hAnsi="Times New Roman" w:cs="Times New Roman"/>
          <w:i/>
          <w:iCs/>
          <w:sz w:val="24"/>
          <w:szCs w:val="24"/>
        </w:rPr>
        <w:t>)+</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3</w:t>
      </w:r>
      <w:r>
        <w:rPr>
          <w:rFonts w:ascii="Times New Roman" w:hAnsi="Times New Roman" w:cs="Times New Roman"/>
          <w:i/>
          <w:iCs/>
          <w:sz w:val="24"/>
          <w:szCs w:val="24"/>
        </w:rPr>
        <w:t>)*lpv</w:t>
      </w:r>
      <w:r>
        <w:rPr>
          <w:rFonts w:ascii="Times New Roman" w:hAnsi="Times New Roman" w:cs="Times New Roman"/>
          <w:i/>
          <w:iCs/>
          <w:sz w:val="24"/>
          <w:szCs w:val="24"/>
          <w:vertAlign w:val="subscript"/>
        </w:rPr>
        <w:t>P13</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ascii="Times New Roman" w:hAnsi="Times New Roman" w:cs="Times New Roman"/>
          <w:i/>
          <w:iCs/>
          <w:sz w:val="24"/>
          <w:szCs w:val="24"/>
        </w:rPr>
        <w:t>)*(1-no</w:t>
      </w:r>
      <w:r>
        <w:rPr>
          <w:rFonts w:ascii="Times New Roman" w:hAnsi="Times New Roman" w:cs="Times New Roman"/>
          <w:i/>
          <w:iCs/>
          <w:sz w:val="24"/>
          <w:szCs w:val="24"/>
          <w:vertAlign w:val="subscript"/>
        </w:rPr>
        <w:t>P3</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5,</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p>
    <w:p w14:paraId="15BF0D98">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ascii="Times New Roman" w:hAnsi="Times New Roman" w:cs="Times New Roman"/>
          <w:i/>
          <w:iCs/>
          <w:sz w:val="24"/>
          <w:szCs w:val="24"/>
        </w:rPr>
        <w:t>)*(lpv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ascii="Times New Roman" w:hAnsi="Times New Roman" w:cs="Times New Roman"/>
          <w:i/>
          <w:iCs/>
          <w:sz w:val="24"/>
          <w:szCs w:val="24"/>
          <w:vertAlign w:val="subscript"/>
        </w:rPr>
        <w:t>vd</w:t>
      </w:r>
      <w:r>
        <w:rPr>
          <w:rFonts w:ascii="Times New Roman" w:hAnsi="Times New Roman" w:cs="Times New Roman"/>
          <w:i/>
          <w:iCs/>
          <w:sz w:val="24"/>
          <w:szCs w:val="24"/>
        </w:rPr>
        <w:t>)</w:t>
      </w:r>
    </w:p>
    <w:p w14:paraId="5D79478D">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4</w:t>
      </w:r>
      <w:r>
        <w:rPr>
          <w:rFonts w:hint="eastAsia" w:ascii="Times New Roman" w:hAnsi="Times New Roman" w:cs="Times New Roman"/>
          <w:i/>
          <w:iCs/>
          <w:sz w:val="24"/>
          <w:szCs w:val="24"/>
        </w:rPr>
        <w:t>(t+1)=TF</w:t>
      </w:r>
      <w:r>
        <w:rPr>
          <w:rFonts w:hint="eastAsia" w:ascii="Times New Roman" w:hAnsi="Times New Roman" w:cs="Times New Roman"/>
          <w:i/>
          <w:iCs/>
          <w:sz w:val="24"/>
          <w:szCs w:val="24"/>
          <w:vertAlign w:val="subscript"/>
        </w:rPr>
        <w:t>4</w:t>
      </w:r>
      <w:r>
        <w:rPr>
          <w:rFonts w:hint="eastAsia" w:ascii="Times New Roman" w:hAnsi="Times New Roman" w:cs="Times New Roman"/>
          <w:i/>
          <w:iCs/>
          <w:sz w:val="24"/>
          <w:szCs w:val="24"/>
        </w:rPr>
        <w:t>(t)*(1</w:t>
      </w:r>
      <w:r>
        <w:rPr>
          <w:rFonts w:ascii="Times New Roman" w:hAnsi="Times New Roman" w:cs="Times New Roman"/>
          <w:i/>
          <w:iCs/>
          <w:sz w:val="24"/>
          <w:szCs w:val="24"/>
        </w:rPr>
        <w:t>-dn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rPr>
        <w:t>)*(1-drv</w:t>
      </w:r>
      <w:r>
        <w:rPr>
          <w:rFonts w:hint="eastAsia" w:ascii="Times New Roman" w:hAnsi="Times New Roman" w:cs="Times New Roman"/>
          <w:i/>
          <w:iCs/>
          <w:sz w:val="24"/>
          <w:szCs w:val="24"/>
          <w:vertAlign w:val="subscript"/>
        </w:rPr>
        <w:t>nd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vd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P14</w:t>
      </w: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P13</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rPr>
        <w:t>)*(1-no</w:t>
      </w:r>
      <w:r>
        <w:rPr>
          <w:rFonts w:hint="eastAsia" w:ascii="Times New Roman" w:hAnsi="Times New Roman" w:cs="Times New Roman"/>
          <w:i/>
          <w:iCs/>
          <w:sz w:val="24"/>
          <w:szCs w:val="24"/>
          <w:vertAlign w:val="subscript"/>
        </w:rPr>
        <w:t>P3</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5,s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5</w:t>
      </w:r>
      <w:r>
        <w:rPr>
          <w:rFonts w:hint="eastAsia" w:ascii="Times New Roman" w:hAnsi="Times New Roman" w:cs="Times New Roman"/>
          <w:i/>
          <w:iCs/>
          <w:sz w:val="24"/>
          <w:szCs w:val="24"/>
        </w:rPr>
        <w:t>)*no</w:t>
      </w:r>
      <w:r>
        <w:rPr>
          <w:rFonts w:hint="eastAsia" w:ascii="Times New Roman" w:hAnsi="Times New Roman" w:cs="Times New Roman"/>
          <w:i/>
          <w:iCs/>
          <w:sz w:val="24"/>
          <w:szCs w:val="24"/>
          <w:vertAlign w:val="subscript"/>
        </w:rPr>
        <w:t>P4</w:t>
      </w:r>
    </w:p>
    <w:p w14:paraId="10BAC311">
      <w:pPr>
        <w:spacing w:line="480" w:lineRule="auto"/>
        <w:rPr>
          <w:rFonts w:ascii="Times New Roman" w:hAnsi="Times New Roman" w:cs="Times New Roman"/>
          <w:i/>
          <w:iCs/>
          <w:sz w:val="24"/>
          <w:szCs w:val="24"/>
        </w:rPr>
      </w:pPr>
    </w:p>
    <w:p w14:paraId="67DA2AA8">
      <w:pPr>
        <w:spacing w:line="480" w:lineRule="auto"/>
        <w:rPr>
          <w:rFonts w:ascii="Times New Roman" w:hAnsi="Times New Roman" w:cs="Times New Roman"/>
          <w:i/>
          <w:iCs/>
          <w:sz w:val="24"/>
          <w:szCs w:val="24"/>
        </w:rPr>
      </w:pPr>
      <w:r>
        <w:rPr>
          <w:rFonts w:ascii="Times New Roman" w:hAnsi="Times New Roman" w:cs="Times New Roman"/>
          <w:i/>
          <w:iCs/>
          <w:sz w:val="24"/>
          <w:szCs w:val="24"/>
        </w:rPr>
        <w:t>(</w:t>
      </w:r>
      <w:r>
        <w:rPr>
          <w:rFonts w:hint="eastAsia" w:ascii="Times New Roman" w:hAnsi="Times New Roman" w:cs="Times New Roman"/>
          <w:i/>
          <w:iCs/>
          <w:sz w:val="24"/>
          <w:szCs w:val="24"/>
        </w:rPr>
        <w:t>3</w:t>
      </w:r>
      <w:r>
        <w:rPr>
          <w:rFonts w:ascii="Times New Roman" w:hAnsi="Times New Roman" w:cs="Times New Roman"/>
          <w:i/>
          <w:iCs/>
          <w:sz w:val="24"/>
          <w:szCs w:val="24"/>
        </w:rPr>
        <w:t>)</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 xml:space="preserve">Stage </w:t>
      </w:r>
      <w:r>
        <w:rPr>
          <w:rFonts w:hint="eastAsia" w:ascii="Times New Roman" w:hAnsi="Times New Roman" w:cs="Times New Roman"/>
          <w:i/>
          <w:iCs/>
          <w:sz w:val="24"/>
          <w:szCs w:val="24"/>
        </w:rPr>
        <w:t>3</w:t>
      </w:r>
      <w:r>
        <w:rPr>
          <w:rFonts w:ascii="Times New Roman" w:hAnsi="Times New Roman" w:cs="Times New Roman"/>
          <w:i/>
          <w:iCs/>
          <w:sz w:val="24"/>
          <w:szCs w:val="24"/>
        </w:rPr>
        <w:t xml:space="preserve"> (200&lt; CD4 cell counts &lt;350):</w:t>
      </w:r>
    </w:p>
    <w:p w14:paraId="37A353D0">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2</w:t>
      </w:r>
    </w:p>
    <w:p w14:paraId="0FD311CE">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p>
    <w:p w14:paraId="2F5ECB00">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)*(1-lpv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-lpv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)*lpv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)*(1-no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3</w:t>
      </w:r>
    </w:p>
    <w:p w14:paraId="629E9D8F">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s</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w:t>
      </w:r>
    </w:p>
    <w:p w14:paraId="7A0F59A0">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(t+1)=TF</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)*(1-drv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P13</w:t>
      </w: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P12</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vertAlign w:val="subscript"/>
        </w:rPr>
        <w:t>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)*(1-</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hint="eastAsia" w:ascii="Times New Roman" w:hAnsi="Times New Roman" w:cs="Times New Roman"/>
          <w:i/>
          <w:iCs/>
          <w:sz w:val="24"/>
          <w:szCs w:val="24"/>
        </w:rPr>
        <w:t>)*</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3</w:t>
      </w:r>
    </w:p>
    <w:p w14:paraId="39EE57CB">
      <w:pPr>
        <w:spacing w:line="480" w:lineRule="auto"/>
        <w:rPr>
          <w:rFonts w:ascii="Times New Roman" w:hAnsi="Times New Roman" w:cs="Times New Roman"/>
          <w:i/>
          <w:iCs/>
          <w:sz w:val="24"/>
          <w:szCs w:val="24"/>
        </w:rPr>
      </w:pPr>
    </w:p>
    <w:p w14:paraId="07AAEC94">
      <w:pPr>
        <w:spacing w:line="480" w:lineRule="auto"/>
        <w:rPr>
          <w:rFonts w:ascii="Times New Roman" w:hAnsi="Times New Roman" w:cs="Times New Roman"/>
          <w:i/>
          <w:iCs/>
          <w:sz w:val="24"/>
          <w:szCs w:val="24"/>
        </w:rPr>
      </w:pPr>
      <w:r>
        <w:rPr>
          <w:rFonts w:ascii="Times New Roman" w:hAnsi="Times New Roman" w:cs="Times New Roman"/>
          <w:i/>
          <w:iCs/>
          <w:sz w:val="24"/>
          <w:szCs w:val="24"/>
        </w:rPr>
        <w:t>(</w:t>
      </w:r>
      <w:r>
        <w:rPr>
          <w:rFonts w:hint="eastAsia" w:ascii="Times New Roman" w:hAnsi="Times New Roman" w:cs="Times New Roman"/>
          <w:i/>
          <w:iCs/>
          <w:sz w:val="24"/>
          <w:szCs w:val="24"/>
        </w:rPr>
        <w:t>4</w:t>
      </w:r>
      <w:r>
        <w:rPr>
          <w:rFonts w:ascii="Times New Roman" w:hAnsi="Times New Roman" w:cs="Times New Roman"/>
          <w:i/>
          <w:iCs/>
          <w:sz w:val="24"/>
          <w:szCs w:val="24"/>
        </w:rPr>
        <w:t>)</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 xml:space="preserve">Stage </w:t>
      </w:r>
      <w:r>
        <w:rPr>
          <w:rFonts w:hint="eastAsia" w:ascii="Times New Roman" w:hAnsi="Times New Roman" w:cs="Times New Roman"/>
          <w:i/>
          <w:iCs/>
          <w:sz w:val="24"/>
          <w:szCs w:val="24"/>
        </w:rPr>
        <w:t>4</w:t>
      </w:r>
      <w:r>
        <w:rPr>
          <w:rFonts w:ascii="Times New Roman" w:hAnsi="Times New Roman" w:cs="Times New Roman"/>
          <w:i/>
          <w:iCs/>
          <w:sz w:val="24"/>
          <w:szCs w:val="24"/>
        </w:rPr>
        <w:t xml:space="preserve"> (100&lt; CD4 cell counts &lt;200):</w:t>
      </w:r>
    </w:p>
    <w:p w14:paraId="43429779">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1</w:t>
      </w:r>
    </w:p>
    <w:p w14:paraId="6CB9CF27">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p>
    <w:p w14:paraId="2F4CEEF9">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ascii="Times New Roman" w:hAnsi="Times New Roman" w:cs="Times New Roman"/>
          <w:i/>
          <w:iCs/>
          <w:sz w:val="24"/>
          <w:szCs w:val="24"/>
        </w:rPr>
        <w:t>_</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)*(1-lpv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-lpv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)*lpv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)*(1-no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2</w:t>
      </w:r>
    </w:p>
    <w:p w14:paraId="35789E33">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)*(lpv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w:t>
      </w:r>
    </w:p>
    <w:p w14:paraId="6F59D8E6">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(t+1)=TF</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)*(1-drv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P12</w:t>
      </w: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P11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)*(1-no</w:t>
      </w:r>
      <w:r>
        <w:rPr>
          <w:rFonts w:hint="eastAsia" w:ascii="Times New Roman" w:hAnsi="Times New Roman" w:cs="Times New Roman"/>
          <w:i/>
          <w:iCs/>
          <w:sz w:val="24"/>
          <w:szCs w:val="24"/>
          <w:vertAlign w:val="subscript"/>
        </w:rPr>
        <w:t>P1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3,s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hint="eastAsia" w:ascii="Times New Roman" w:hAnsi="Times New Roman" w:cs="Times New Roman"/>
          <w:i/>
          <w:iCs/>
          <w:sz w:val="24"/>
          <w:szCs w:val="24"/>
        </w:rPr>
        <w:t>)*no</w:t>
      </w:r>
      <w:r>
        <w:rPr>
          <w:rFonts w:hint="eastAsia" w:ascii="Times New Roman" w:hAnsi="Times New Roman" w:cs="Times New Roman"/>
          <w:i/>
          <w:iCs/>
          <w:sz w:val="24"/>
          <w:szCs w:val="24"/>
          <w:vertAlign w:val="subscript"/>
        </w:rPr>
        <w:t>P2</w:t>
      </w:r>
    </w:p>
    <w:p w14:paraId="64E2EF9B">
      <w:pPr>
        <w:spacing w:line="480" w:lineRule="auto"/>
        <w:rPr>
          <w:rFonts w:ascii="Times New Roman" w:hAnsi="Times New Roman" w:cs="Times New Roman"/>
          <w:i/>
          <w:iCs/>
          <w:sz w:val="24"/>
          <w:szCs w:val="24"/>
        </w:rPr>
      </w:pPr>
    </w:p>
    <w:p w14:paraId="710EF77B">
      <w:pPr>
        <w:spacing w:line="480" w:lineRule="auto"/>
        <w:rPr>
          <w:rFonts w:ascii="Times New Roman" w:hAnsi="Times New Roman" w:cs="Times New Roman"/>
          <w:i/>
          <w:iCs/>
          <w:sz w:val="24"/>
          <w:szCs w:val="24"/>
        </w:rPr>
      </w:pPr>
      <w:r>
        <w:rPr>
          <w:rFonts w:ascii="Times New Roman" w:hAnsi="Times New Roman" w:cs="Times New Roman"/>
          <w:i/>
          <w:iCs/>
          <w:sz w:val="24"/>
          <w:szCs w:val="24"/>
        </w:rPr>
        <w:t>(</w:t>
      </w:r>
      <w:r>
        <w:rPr>
          <w:rFonts w:hint="eastAsia" w:ascii="Times New Roman" w:hAnsi="Times New Roman" w:cs="Times New Roman"/>
          <w:i/>
          <w:iCs/>
          <w:sz w:val="24"/>
          <w:szCs w:val="24"/>
        </w:rPr>
        <w:t>5</w:t>
      </w:r>
      <w:r>
        <w:rPr>
          <w:rFonts w:ascii="Times New Roman" w:hAnsi="Times New Roman" w:cs="Times New Roman"/>
          <w:i/>
          <w:iCs/>
          <w:sz w:val="24"/>
          <w:szCs w:val="24"/>
        </w:rPr>
        <w:t>)</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Stage 5 (CD4 cell counts &lt;100):</w:t>
      </w:r>
    </w:p>
    <w:p w14:paraId="66391248">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)*(1-</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1</w:t>
      </w:r>
    </w:p>
    <w:p w14:paraId="367F43E0">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(t+1)=BIC</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nd</w:t>
      </w:r>
    </w:p>
    <w:p w14:paraId="4B5BBB8C">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)*(1-lpv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-lpv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p>
    <w:p w14:paraId="1936B52A">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)*(lpv</w:t>
      </w:r>
      <w:r>
        <w:rPr>
          <w:rFonts w:ascii="Times New Roman" w:hAnsi="Times New Roman" w:cs="Times New Roman"/>
          <w:i/>
          <w:iCs/>
          <w:sz w:val="24"/>
          <w:szCs w:val="24"/>
          <w:vertAlign w:val="subscript"/>
        </w:rPr>
        <w:t>nd</w:t>
      </w:r>
      <w:r>
        <w:rPr>
          <w:rFonts w:ascii="Times New Roman" w:hAnsi="Times New Roman" w:cs="Times New Roman"/>
          <w:i/>
          <w:iCs/>
          <w:sz w:val="24"/>
          <w:szCs w:val="24"/>
        </w:rPr>
        <w:t>+lpv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w:t>
      </w:r>
    </w:p>
    <w:p w14:paraId="62D0D4C9">
      <w:pPr>
        <w:spacing w:line="480" w:lineRule="auto"/>
        <w:rPr>
          <w:rFonts w:ascii="Times New Roman" w:hAnsi="Times New Roman" w:cs="Times New Roman"/>
          <w:i/>
          <w:iCs/>
          <w:sz w:val="24"/>
          <w:szCs w:val="24"/>
        </w:rPr>
      </w:pPr>
      <w:r>
        <w:rPr>
          <w:rFonts w:hint="eastAsia" w:ascii="Times New Roman" w:hAnsi="Times New Roman" w:cs="Times New Roman"/>
          <w:i/>
          <w:iCs/>
          <w:sz w:val="24"/>
          <w:szCs w:val="24"/>
        </w:rPr>
        <w:t>TF</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(t+1)=TF</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)*(1-drv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-drv</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hint="eastAsia" w:ascii="Times New Roman" w:hAnsi="Times New Roman" w:cs="Times New Roman"/>
          <w:i/>
          <w:iCs/>
          <w:sz w:val="24"/>
          <w:szCs w:val="24"/>
        </w:rPr>
        <w:t>-drv</w:t>
      </w:r>
      <w:r>
        <w:rPr>
          <w:rFonts w:ascii="Times New Roman" w:hAnsi="Times New Roman" w:cs="Times New Roman"/>
          <w:i/>
          <w:iCs/>
          <w:sz w:val="24"/>
          <w:szCs w:val="24"/>
          <w:vertAlign w:val="subscript"/>
        </w:rPr>
        <w:t>P1</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)+LPV</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hint="eastAsia" w:ascii="Times New Roman" w:hAnsi="Times New Roman" w:cs="Times New Roman"/>
          <w:i/>
          <w:iCs/>
          <w:sz w:val="24"/>
          <w:szCs w:val="24"/>
        </w:rPr>
        <w:t>)*</w:t>
      </w:r>
      <w:r>
        <w:rPr>
          <w:rFonts w:ascii="Times New Roman" w:hAnsi="Times New Roman" w:cs="Times New Roman"/>
          <w:i/>
          <w:iCs/>
          <w:sz w:val="24"/>
          <w:szCs w:val="24"/>
        </w:rPr>
        <w:t>no</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p>
    <w:p w14:paraId="00801CA2">
      <w:pPr>
        <w:spacing w:line="480" w:lineRule="auto"/>
        <w:rPr>
          <w:rFonts w:ascii="Times New Roman" w:hAnsi="Times New Roman" w:cs="Times New Roman"/>
          <w:sz w:val="24"/>
          <w:szCs w:val="24"/>
        </w:rPr>
      </w:pPr>
    </w:p>
    <w:p w14:paraId="4DD71EC2">
      <w:pPr>
        <w:spacing w:line="480" w:lineRule="auto"/>
        <w:rPr>
          <w:rFonts w:ascii="Times New Roman" w:hAnsi="Times New Roman" w:cs="Times New Roman"/>
          <w:sz w:val="24"/>
          <w:szCs w:val="24"/>
        </w:rPr>
      </w:pPr>
    </w:p>
    <w:p w14:paraId="50C3E340">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In infectious disease dynamics model, the transmission of HIV was modeled using a susceptible-infected (SI) framework. The susceptible population (M</w:t>
      </w:r>
      <w:r>
        <w:rPr>
          <w:rFonts w:ascii="Times New Roman" w:hAnsi="Times New Roman" w:cs="Times New Roman"/>
          <w:sz w:val="24"/>
          <w:szCs w:val="24"/>
        </w:rPr>
        <w:t>SM</w:t>
      </w:r>
      <w:r>
        <w:rPr>
          <w:rFonts w:ascii="Times New Roman" w:hAnsi="Times New Roman" w:cs="Times New Roman"/>
          <w:sz w:val="24"/>
          <w:szCs w:val="24"/>
          <w:vertAlign w:val="subscript"/>
        </w:rPr>
        <w:t>S</w:t>
      </w:r>
      <w:r>
        <w:rPr>
          <w:rFonts w:ascii="Times New Roman" w:hAnsi="Times New Roman" w:cs="Times New Roman"/>
          <w:sz w:val="24"/>
          <w:szCs w:val="24"/>
        </w:rPr>
        <w:t>) bec</w:t>
      </w:r>
      <w:r>
        <w:rPr>
          <w:rFonts w:hint="eastAsia" w:ascii="Times New Roman" w:hAnsi="Times New Roman" w:cs="Times New Roman"/>
          <w:sz w:val="24"/>
          <w:szCs w:val="24"/>
        </w:rPr>
        <w:t>ame</w:t>
      </w:r>
      <w:r>
        <w:rPr>
          <w:rFonts w:ascii="Times New Roman" w:hAnsi="Times New Roman" w:cs="Times New Roman"/>
          <w:sz w:val="24"/>
          <w:szCs w:val="24"/>
        </w:rPr>
        <w:t xml:space="preserve"> infected through contact with infected individuals in any of the treatment stages, with reduced infectiousness for those with suppressed viral load.</w:t>
      </w:r>
    </w:p>
    <w:p w14:paraId="05F1ED5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The force of infection is given by:</w:t>
      </w:r>
    </w:p>
    <w:p w14:paraId="2D2AC2FA">
      <w:pPr>
        <w:spacing w:line="480" w:lineRule="auto"/>
        <w:jc w:val="center"/>
        <w:rPr>
          <w:rFonts w:ascii="Times New Roman" w:hAnsi="Times New Roman" w:cs="Times New Roman"/>
          <w:sz w:val="24"/>
          <w:szCs w:val="24"/>
        </w:rPr>
      </w:pPr>
      <w:r>
        <w:rPr>
          <w:rFonts w:ascii="Times New Roman" w:hAnsi="Times New Roman" w:cs="Times New Roman"/>
          <w:position w:val="-30"/>
          <w:sz w:val="24"/>
          <w:szCs w:val="24"/>
        </w:rPr>
        <w:object>
          <v:shape id="_x0000_i1025" o:spt="75" type="#_x0000_t75" style="height:36.95pt;width:284.25pt;" o:ole="t" filled="f" o:preferrelative="t" stroked="f" coordsize="21600,21600">
            <v:path/>
            <v:fill on="f" focussize="0,0"/>
            <v:stroke on="f" joinstyle="miter"/>
            <v:imagedata r:id="rId10" o:title=""/>
            <o:lock v:ext="edit" aspectratio="t"/>
            <w10:wrap type="none"/>
            <w10:anchorlock/>
          </v:shape>
          <o:OLEObject Type="Embed" ProgID="Equation.KSEE3" ShapeID="_x0000_i1025" DrawAspect="Content" ObjectID="_1468075725" r:id="rId9">
            <o:LockedField>false</o:LockedField>
          </o:OLEObject>
        </w:object>
      </w:r>
      <w:r>
        <w:rPr>
          <w:rFonts w:hint="eastAsia" w:ascii="Times New Roman" w:hAnsi="Times New Roman" w:cs="Times New Roman"/>
          <w:sz w:val="24"/>
          <w:szCs w:val="24"/>
        </w:rPr>
        <w:t xml:space="preserve"> (1)</w:t>
      </w:r>
    </w:p>
    <w:p w14:paraId="5C86B647">
      <w:pPr>
        <w:spacing w:line="480" w:lineRule="auto"/>
        <w:jc w:val="center"/>
        <w:rPr>
          <w:rFonts w:ascii="Times New Roman" w:hAnsi="Times New Roman" w:cs="Times New Roman"/>
          <w:sz w:val="24"/>
          <w:szCs w:val="24"/>
        </w:rPr>
      </w:pPr>
      <w:r>
        <w:rPr>
          <w:rFonts w:ascii="Times New Roman" w:hAnsi="Times New Roman" w:cs="Times New Roman"/>
          <w:position w:val="-10"/>
          <w:sz w:val="24"/>
          <w:szCs w:val="24"/>
        </w:rPr>
        <w:object>
          <v:shape id="_x0000_i1026" o:spt="75" type="#_x0000_t75" style="height:17.5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6" DrawAspect="Content" ObjectID="_1468075726" r:id="rId11">
            <o:LockedField>false</o:LockedField>
          </o:OLEObject>
        </w:object>
      </w:r>
      <w:r>
        <w:rPr>
          <w:rFonts w:ascii="Times New Roman" w:hAnsi="Times New Roman" w:cs="Times New Roman"/>
          <w:position w:val="-12"/>
          <w:sz w:val="24"/>
          <w:szCs w:val="24"/>
        </w:rPr>
        <w:object>
          <v:shape id="_x0000_i1027" o:spt="75" type="#_x0000_t75" style="height:18.15pt;width:162.8pt;" o:ole="t" filled="f" o:preferrelative="t" stroked="f" coordsize="21600,21600">
            <v:path/>
            <v:fill on="f" focussize="0,0"/>
            <v:stroke on="f" joinstyle="miter"/>
            <v:imagedata r:id="rId14" o:title=""/>
            <o:lock v:ext="edit" aspectratio="t"/>
            <w10:wrap type="none"/>
            <w10:anchorlock/>
          </v:shape>
          <o:OLEObject Type="Embed" ProgID="Equation.KSEE3" ShapeID="_x0000_i1027" DrawAspect="Content" ObjectID="_1468075727" r:id="rId13">
            <o:LockedField>false</o:LockedField>
          </o:OLEObject>
        </w:object>
      </w:r>
      <w:r>
        <w:rPr>
          <w:rFonts w:hint="eastAsia" w:ascii="Times New Roman" w:hAnsi="Times New Roman" w:cs="Times New Roman"/>
          <w:sz w:val="24"/>
          <w:szCs w:val="24"/>
        </w:rPr>
        <w:t xml:space="preserve"> (2)</w:t>
      </w:r>
    </w:p>
    <w:p w14:paraId="370BAA3E">
      <w:pPr>
        <w:spacing w:line="480" w:lineRule="auto"/>
        <w:jc w:val="center"/>
        <w:rPr>
          <w:rFonts w:ascii="Times New Roman" w:hAnsi="Times New Roman" w:cs="Times New Roman"/>
          <w:sz w:val="24"/>
          <w:szCs w:val="24"/>
        </w:rPr>
      </w:pPr>
      <w:r>
        <w:rPr>
          <w:rFonts w:ascii="Times New Roman" w:hAnsi="Times New Roman" w:cs="Times New Roman"/>
          <w:position w:val="-10"/>
          <w:sz w:val="24"/>
          <w:szCs w:val="24"/>
        </w:rPr>
        <w:object>
          <v:shape id="_x0000_i1028" o:spt="75" type="#_x0000_t75" style="height:17.5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8" DrawAspect="Content" ObjectID="_1468075728" r:id="rId15">
            <o:LockedField>false</o:LockedField>
          </o:OLEObject>
        </w:object>
      </w:r>
      <w:r>
        <w:rPr>
          <w:rFonts w:ascii="Times New Roman" w:hAnsi="Times New Roman" w:cs="Times New Roman"/>
          <w:position w:val="-14"/>
          <w:sz w:val="24"/>
          <w:szCs w:val="24"/>
        </w:rPr>
        <w:object>
          <v:shape id="_x0000_i1029" o:spt="75" type="#_x0000_t75" style="height:18.8pt;width:167.15pt;" o:ole="t" filled="f" o:preferrelative="t" stroked="f" coordsize="21600,21600">
            <v:path/>
            <v:fill on="f" focussize="0,0"/>
            <v:stroke on="f" joinstyle="miter"/>
            <v:imagedata r:id="rId17" o:title=""/>
            <o:lock v:ext="edit" aspectratio="t"/>
            <w10:wrap type="none"/>
            <w10:anchorlock/>
          </v:shape>
          <o:OLEObject Type="Embed" ProgID="Equation.KSEE3" ShapeID="_x0000_i1029" DrawAspect="Content" ObjectID="_1468075729" r:id="rId16">
            <o:LockedField>false</o:LockedField>
          </o:OLEObject>
        </w:object>
      </w:r>
      <w:r>
        <w:rPr>
          <w:rFonts w:hint="eastAsia" w:ascii="Times New Roman" w:hAnsi="Times New Roman" w:cs="Times New Roman"/>
          <w:sz w:val="24"/>
          <w:szCs w:val="24"/>
        </w:rPr>
        <w:t xml:space="preserve"> (3)</w:t>
      </w:r>
    </w:p>
    <w:p w14:paraId="558EEE4E">
      <w:pPr>
        <w:spacing w:line="480" w:lineRule="auto"/>
        <w:jc w:val="center"/>
        <w:rPr>
          <w:rFonts w:ascii="Times New Roman" w:hAnsi="Times New Roman" w:cs="Times New Roman"/>
          <w:sz w:val="24"/>
          <w:szCs w:val="24"/>
        </w:rPr>
      </w:pPr>
      <w:r>
        <w:rPr>
          <w:rFonts w:ascii="Times New Roman" w:hAnsi="Times New Roman" w:cs="Times New Roman"/>
          <w:position w:val="-32"/>
          <w:sz w:val="24"/>
          <w:szCs w:val="24"/>
        </w:rPr>
        <w:object>
          <v:shape id="_x0000_i1030" o:spt="75" type="#_x0000_t75" style="height:38.2pt;width:329.3pt;" o:ole="t" filled="f" o:preferrelative="t" stroked="f" coordsize="21600,21600">
            <v:path/>
            <v:fill on="f" focussize="0,0"/>
            <v:stroke on="f" joinstyle="miter"/>
            <v:imagedata r:id="rId19" o:title=""/>
            <o:lock v:ext="edit" aspectratio="t"/>
            <w10:wrap type="none"/>
            <w10:anchorlock/>
          </v:shape>
          <o:OLEObject Type="Embed" ProgID="Equation.KSEE3" ShapeID="_x0000_i1030" DrawAspect="Content" ObjectID="_1468075730" r:id="rId18">
            <o:LockedField>false</o:LockedField>
          </o:OLEObject>
        </w:object>
      </w:r>
      <w:r>
        <w:rPr>
          <w:rFonts w:ascii="Times New Roman" w:hAnsi="Times New Roman" w:cs="Times New Roman"/>
          <w:position w:val="-32"/>
          <w:sz w:val="24"/>
          <w:szCs w:val="24"/>
        </w:rPr>
        <w:object>
          <v:shape id="_x0000_i1031" o:spt="75" type="#_x0000_t75" style="height:38.2pt;width:315.55pt;" o:ole="t" filled="f" o:preferrelative="t" stroked="f" coordsize="21600,21600">
            <v:path/>
            <v:fill on="f" focussize="0,0"/>
            <v:stroke on="f" joinstyle="miter"/>
            <v:imagedata r:id="rId21" o:title=""/>
            <o:lock v:ext="edit" aspectratio="t"/>
            <w10:wrap type="none"/>
            <w10:anchorlock/>
          </v:shape>
          <o:OLEObject Type="Embed" ProgID="Equation.KSEE3" ShapeID="_x0000_i1031" DrawAspect="Content" ObjectID="_1468075731" r:id="rId20">
            <o:LockedField>false</o:LockedField>
          </o:OLEObject>
        </w:object>
      </w:r>
    </w:p>
    <w:p w14:paraId="675901BF">
      <w:pPr>
        <w:spacing w:line="480" w:lineRule="auto"/>
        <w:rPr>
          <w:rFonts w:ascii="Times New Roman" w:hAnsi="Times New Roman" w:cs="Times New Roman"/>
          <w:sz w:val="24"/>
          <w:szCs w:val="24"/>
        </w:rPr>
      </w:pPr>
      <w:r>
        <w:rPr>
          <w:rFonts w:hint="eastAsia" w:ascii="Times New Roman" w:hAnsi="Times New Roman" w:cs="Times New Roman"/>
          <w:sz w:val="24"/>
          <w:szCs w:val="24"/>
        </w:rPr>
        <w:t xml:space="preserve">Note: </w:t>
      </w:r>
      <w:r>
        <w:rPr>
          <w:rFonts w:ascii="Times New Roman" w:hAnsi="Times New Roman" w:cs="Times New Roman"/>
          <w:kern w:val="0"/>
          <w:szCs w:val="16"/>
        </w:rPr>
        <w:t>c</w:t>
      </w:r>
      <w:r>
        <w:rPr>
          <w:rFonts w:hint="eastAsia" w:ascii="Times New Roman" w:hAnsi="Times New Roman" w:cs="Times New Roman"/>
          <w:kern w:val="0"/>
          <w:szCs w:val="16"/>
        </w:rPr>
        <w:t xml:space="preserve">: </w:t>
      </w:r>
      <w:r>
        <w:rPr>
          <w:rFonts w:ascii="Times New Roman" w:hAnsi="Times New Roman" w:cs="Times New Roman"/>
          <w:kern w:val="0"/>
          <w:szCs w:val="16"/>
        </w:rPr>
        <w:t>condom usage rate</w:t>
      </w:r>
      <w:r>
        <w:rPr>
          <w:rFonts w:hint="eastAsia" w:ascii="Times New Roman" w:hAnsi="Times New Roman" w:cs="Times New Roman"/>
          <w:kern w:val="0"/>
          <w:szCs w:val="16"/>
        </w:rPr>
        <w:t xml:space="preserve">; </w:t>
      </w:r>
      <w:r>
        <w:rPr>
          <w:rFonts w:ascii="Times New Roman" w:hAnsi="Times New Roman" w:cs="Times New Roman"/>
          <w:kern w:val="0"/>
          <w:szCs w:val="16"/>
        </w:rPr>
        <w:t>m</w:t>
      </w:r>
      <w:r>
        <w:rPr>
          <w:rFonts w:hint="eastAsia" w:ascii="Times New Roman" w:hAnsi="Times New Roman" w:cs="Times New Roman"/>
          <w:kern w:val="0"/>
          <w:szCs w:val="16"/>
        </w:rPr>
        <w:t xml:space="preserve">: </w:t>
      </w:r>
      <w:r>
        <w:rPr>
          <w:rFonts w:ascii="Times New Roman" w:hAnsi="Times New Roman" w:cs="Times New Roman"/>
          <w:kern w:val="0"/>
          <w:szCs w:val="16"/>
        </w:rPr>
        <w:t>average number of homosexual sexual encounters per year</w:t>
      </w:r>
      <w:r>
        <w:rPr>
          <w:rFonts w:hint="eastAsia" w:ascii="Times New Roman" w:hAnsi="Times New Roman" w:cs="Times New Roman"/>
          <w:kern w:val="0"/>
          <w:szCs w:val="16"/>
        </w:rPr>
        <w:t xml:space="preserve">; </w:t>
      </w:r>
      <w:r>
        <w:rPr>
          <w:rFonts w:ascii="Times New Roman" w:hAnsi="Times New Roman" w:cs="Times New Roman"/>
          <w:kern w:val="0"/>
          <w:szCs w:val="16"/>
        </w:rPr>
        <w:t>t</w:t>
      </w:r>
      <w:r>
        <w:rPr>
          <w:rFonts w:hint="eastAsia" w:ascii="Times New Roman" w:hAnsi="Times New Roman" w:cs="Times New Roman"/>
          <w:kern w:val="0"/>
          <w:szCs w:val="16"/>
        </w:rPr>
        <w:t xml:space="preserve">: </w:t>
      </w:r>
      <w:r>
        <w:rPr>
          <w:rFonts w:ascii="Times New Roman" w:hAnsi="Times New Roman" w:cs="Times New Roman"/>
          <w:kern w:val="0"/>
          <w:szCs w:val="16"/>
        </w:rPr>
        <w:t>the average transmission probability per encounter during homosexual sex</w:t>
      </w:r>
      <w:r>
        <w:rPr>
          <w:rFonts w:hint="eastAsia" w:ascii="Times New Roman" w:hAnsi="Times New Roman" w:cs="Times New Roman"/>
          <w:kern w:val="0"/>
          <w:szCs w:val="16"/>
        </w:rPr>
        <w:t xml:space="preserve">; </w:t>
      </w:r>
      <w:r>
        <w:rPr>
          <w:rFonts w:ascii="Times New Roman" w:hAnsi="Times New Roman" w:cs="Times New Roman"/>
          <w:kern w:val="0"/>
          <w:szCs w:val="16"/>
        </w:rPr>
        <w:t>w</w:t>
      </w:r>
      <w:r>
        <w:rPr>
          <w:rFonts w:hint="eastAsia" w:ascii="Times New Roman" w:hAnsi="Times New Roman" w:cs="Times New Roman"/>
          <w:kern w:val="0"/>
          <w:szCs w:val="16"/>
        </w:rPr>
        <w:t xml:space="preserve">: </w:t>
      </w:r>
      <w:r>
        <w:rPr>
          <w:rFonts w:ascii="Times New Roman" w:hAnsi="Times New Roman" w:cs="Times New Roman"/>
          <w:kern w:val="0"/>
          <w:szCs w:val="16"/>
        </w:rPr>
        <w:t>rate of transmission reduction in virally suppressed populations</w:t>
      </w:r>
      <w:r>
        <w:rPr>
          <w:rFonts w:hint="eastAsia" w:ascii="Times New Roman" w:hAnsi="Times New Roman" w:cs="Times New Roman"/>
          <w:kern w:val="0"/>
          <w:szCs w:val="16"/>
        </w:rPr>
        <w:t>.</w:t>
      </w:r>
    </w:p>
    <w:p w14:paraId="5CA4ED4D">
      <w:pPr>
        <w:spacing w:line="480" w:lineRule="auto"/>
        <w:rPr>
          <w:rFonts w:ascii="Times New Roman" w:hAnsi="Times New Roman" w:cs="Times New Roman"/>
          <w:i/>
          <w:iCs/>
          <w:sz w:val="24"/>
          <w:szCs w:val="24"/>
        </w:rPr>
      </w:pPr>
      <w:r>
        <w:rPr>
          <w:rFonts w:ascii="Times New Roman" w:hAnsi="Times New Roman" w:cs="Times New Roman"/>
          <w:i/>
          <w:iCs/>
          <w:sz w:val="24"/>
          <w:szCs w:val="24"/>
        </w:rPr>
        <w:t>(1)</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The susceptible:</w:t>
      </w:r>
    </w:p>
    <w:p w14:paraId="3E3098E9">
      <w:pPr>
        <w:spacing w:line="480" w:lineRule="auto"/>
        <w:rPr>
          <w:rFonts w:ascii="Times New Roman" w:hAnsi="Times New Roman" w:cs="Times New Roman"/>
          <w:i/>
          <w:iCs/>
          <w:sz w:val="24"/>
          <w:szCs w:val="24"/>
        </w:rPr>
      </w:pP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w:t>
      </w:r>
      <w:r>
        <w:rPr>
          <w:rFonts w:hint="eastAsia" w:ascii="Times New Roman" w:hAnsi="Times New Roman" w:cs="Times New Roman"/>
          <w:i/>
          <w:iCs/>
          <w:sz w:val="24"/>
          <w:szCs w:val="24"/>
        </w:rPr>
        <w:t>)</w:t>
      </w:r>
      <w:r>
        <w:rPr>
          <w:rFonts w:ascii="Times New Roman" w:hAnsi="Times New Roman" w:cs="Times New Roman"/>
          <w:i/>
          <w:iCs/>
          <w:sz w:val="24"/>
          <w:szCs w:val="24"/>
        </w:rPr>
        <w: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w:t>
      </w:r>
    </w:p>
    <w:p w14:paraId="6966F8BC">
      <w:pPr>
        <w:spacing w:line="480" w:lineRule="auto"/>
        <w:rPr>
          <w:rFonts w:ascii="Times New Roman" w:hAnsi="Times New Roman" w:cs="Times New Roman"/>
          <w:i/>
          <w:iCs/>
          <w:sz w:val="24"/>
          <w:szCs w:val="24"/>
        </w:rPr>
      </w:pPr>
    </w:p>
    <w:p w14:paraId="2E613930">
      <w:pPr>
        <w:spacing w:line="480" w:lineRule="auto"/>
        <w:rPr>
          <w:rFonts w:ascii="Times New Roman" w:hAnsi="Times New Roman" w:cs="Times New Roman"/>
          <w:i/>
          <w:iCs/>
          <w:sz w:val="24"/>
          <w:szCs w:val="24"/>
        </w:rPr>
      </w:pPr>
      <w:r>
        <w:rPr>
          <w:rFonts w:ascii="Times New Roman" w:hAnsi="Times New Roman" w:cs="Times New Roman"/>
          <w:i/>
          <w:iCs/>
          <w:sz w:val="24"/>
          <w:szCs w:val="24"/>
        </w:rPr>
        <w:t>(2)</w:t>
      </w:r>
      <w:r>
        <w:rPr>
          <w:rFonts w:hint="eastAsia" w:ascii="Times New Roman" w:hAnsi="Times New Roman" w:cs="Times New Roman"/>
          <w:i/>
          <w:iCs/>
          <w:sz w:val="24"/>
          <w:szCs w:val="24"/>
        </w:rPr>
        <w:t xml:space="preserve"> Stage 5</w:t>
      </w:r>
      <w:r>
        <w:rPr>
          <w:rFonts w:ascii="Times New Roman" w:hAnsi="Times New Roman" w:cs="Times New Roman"/>
          <w:i/>
          <w:iCs/>
          <w:sz w:val="24"/>
          <w:szCs w:val="24"/>
        </w:rPr>
        <w:t xml:space="preserve"> (CD4 cell counts &gt;500):</w:t>
      </w:r>
    </w:p>
    <w:p w14:paraId="62DBA7B3">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w:t>
      </w:r>
      <w:r>
        <w:rPr>
          <w:rFonts w:hint="eastAsia" w:ascii="Times New Roman" w:hAnsi="Times New Roman" w:cs="Times New Roman"/>
          <w:i/>
          <w:iCs/>
          <w:sz w:val="24"/>
          <w:szCs w:val="24"/>
        </w:rPr>
        <w:t>*(1-bic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)*λ(t)*pr</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p>
    <w:p w14:paraId="1FBD5FE3">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)*(1-bi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4</w:t>
      </w:r>
    </w:p>
    <w:p w14:paraId="3F14437C">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p>
    <w:p w14:paraId="076DB27C">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)*(1</w:t>
      </w:r>
      <w:r>
        <w:rPr>
          <w:rFonts w:hint="eastAsia" w:ascii="Times New Roman" w:hAnsi="Times New Roman" w:cs="Times New Roman"/>
          <w:i/>
          <w:iCs/>
          <w:sz w:val="24"/>
          <w:szCs w:val="24"/>
        </w:rPr>
        <w:t>-</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4</w:t>
      </w:r>
    </w:p>
    <w:p w14:paraId="1664E8A3">
      <w:pPr>
        <w:spacing w:line="480" w:lineRule="auto"/>
        <w:rPr>
          <w:rFonts w:ascii="Times New Roman" w:hAnsi="Times New Roman" w:cs="Times New Roman"/>
          <w:i/>
          <w:iCs/>
          <w:sz w:val="24"/>
          <w:szCs w:val="24"/>
        </w:rPr>
      </w:pPr>
    </w:p>
    <w:p w14:paraId="383D616C">
      <w:pPr>
        <w:spacing w:line="480" w:lineRule="auto"/>
        <w:rPr>
          <w:rFonts w:ascii="Times New Roman" w:hAnsi="Times New Roman" w:cs="Times New Roman"/>
          <w:i/>
          <w:iCs/>
          <w:sz w:val="24"/>
          <w:szCs w:val="24"/>
        </w:rPr>
      </w:pPr>
      <w:r>
        <w:rPr>
          <w:rFonts w:ascii="Times New Roman" w:hAnsi="Times New Roman" w:cs="Times New Roman"/>
          <w:i/>
          <w:iCs/>
          <w:sz w:val="24"/>
          <w:szCs w:val="24"/>
        </w:rPr>
        <w:t>(3)</w:t>
      </w:r>
      <w:r>
        <w:rPr>
          <w:rFonts w:hint="eastAsia" w:ascii="Times New Roman" w:hAnsi="Times New Roman" w:cs="Times New Roman"/>
          <w:i/>
          <w:iCs/>
          <w:sz w:val="24"/>
          <w:szCs w:val="24"/>
        </w:rPr>
        <w:t xml:space="preserve"> Stage 4</w:t>
      </w:r>
      <w:r>
        <w:rPr>
          <w:rFonts w:ascii="Times New Roman" w:hAnsi="Times New Roman" w:cs="Times New Roman"/>
          <w:i/>
          <w:iCs/>
          <w:sz w:val="24"/>
          <w:szCs w:val="24"/>
        </w:rPr>
        <w:t xml:space="preserve"> (350&lt; CD4 cell counts &lt;500):</w:t>
      </w:r>
    </w:p>
    <w:p w14:paraId="25CF4C85">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(1-bic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)*λ(t)*pr</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)*no</w:t>
      </w:r>
      <w:r>
        <w:rPr>
          <w:rFonts w:ascii="Times New Roman" w:hAnsi="Times New Roman" w:cs="Times New Roman"/>
          <w:i/>
          <w:iCs/>
          <w:sz w:val="24"/>
          <w:szCs w:val="24"/>
          <w:vertAlign w:val="subscript"/>
        </w:rPr>
        <w:t>P3</w:t>
      </w:r>
      <w:r>
        <w:rPr>
          <w:rFonts w:ascii="Times New Roman" w:hAnsi="Times New Roman" w:cs="Times New Roman"/>
          <w:i/>
          <w:iCs/>
          <w:sz w:val="24"/>
          <w:szCs w:val="24"/>
        </w:rPr>
        <w:t>+BIC</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5</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p>
    <w:p w14:paraId="1CB74D74">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)*(1-bi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3,s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13</w:t>
      </w: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4</w:t>
      </w:r>
    </w:p>
    <w:p w14:paraId="3F232B64">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)*no</w:t>
      </w:r>
      <w:r>
        <w:rPr>
          <w:rFonts w:ascii="Times New Roman" w:hAnsi="Times New Roman" w:cs="Times New Roman"/>
          <w:i/>
          <w:iCs/>
          <w:sz w:val="24"/>
          <w:szCs w:val="24"/>
          <w:vertAlign w:val="subscript"/>
        </w:rPr>
        <w:t>P3</w:t>
      </w:r>
      <w:r>
        <w:rPr>
          <w:rFonts w:ascii="Times New Roman" w:hAnsi="Times New Roman" w:cs="Times New Roman"/>
          <w:i/>
          <w:iCs/>
          <w:sz w:val="24"/>
          <w:szCs w:val="24"/>
        </w:rPr>
        <w:t>+EFV</w:t>
      </w:r>
      <w:r>
        <w:rPr>
          <w:rFonts w:ascii="Times New Roman" w:hAnsi="Times New Roman" w:cs="Times New Roman"/>
          <w:i/>
          <w:iCs/>
          <w:sz w:val="24"/>
          <w:szCs w:val="24"/>
          <w:vertAlign w:val="subscript"/>
        </w:rPr>
        <w:t>5</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5</w:t>
      </w:r>
      <w:r>
        <w:rPr>
          <w:rFonts w:ascii="Times New Roman" w:hAnsi="Times New Roman" w:cs="Times New Roman"/>
          <w:i/>
          <w:iCs/>
          <w:sz w:val="24"/>
          <w:szCs w:val="24"/>
        </w:rPr>
        <w:t>)*no</w:t>
      </w:r>
      <w:r>
        <w:rPr>
          <w:rFonts w:ascii="Times New Roman" w:hAnsi="Times New Roman" w:cs="Times New Roman"/>
          <w:i/>
          <w:iCs/>
          <w:sz w:val="24"/>
          <w:szCs w:val="24"/>
          <w:vertAlign w:val="subscript"/>
        </w:rPr>
        <w:t>P4</w:t>
      </w:r>
    </w:p>
    <w:p w14:paraId="43446369">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)*(1-efv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3</w:t>
      </w:r>
      <w:r>
        <w:rPr>
          <w:rFonts w:ascii="Times New Roman" w:hAnsi="Times New Roman" w:cs="Times New Roman"/>
          <w:i/>
          <w:iCs/>
          <w:sz w:val="24"/>
          <w:szCs w:val="24"/>
        </w:rPr>
        <w:t>-EFV</w:t>
      </w:r>
      <w:r>
        <w:rPr>
          <w:rFonts w:hint="eastAsia" w:ascii="Times New Roman" w:hAnsi="Times New Roman" w:cs="Times New Roman"/>
          <w:i/>
          <w:iCs/>
          <w:sz w:val="24"/>
          <w:szCs w:val="24"/>
          <w:vertAlign w:val="subscript"/>
        </w:rPr>
        <w:t>4,s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4</w:t>
      </w:r>
    </w:p>
    <w:p w14:paraId="31A682F2">
      <w:pPr>
        <w:spacing w:line="480" w:lineRule="auto"/>
        <w:rPr>
          <w:rFonts w:ascii="Times New Roman" w:hAnsi="Times New Roman" w:cs="Times New Roman"/>
          <w:i/>
          <w:iCs/>
          <w:sz w:val="24"/>
          <w:szCs w:val="24"/>
        </w:rPr>
      </w:pPr>
    </w:p>
    <w:p w14:paraId="5BFA428C">
      <w:pPr>
        <w:spacing w:line="480" w:lineRule="auto"/>
        <w:rPr>
          <w:rFonts w:ascii="Times New Roman" w:hAnsi="Times New Roman" w:cs="Times New Roman"/>
          <w:i/>
          <w:iCs/>
          <w:sz w:val="24"/>
          <w:szCs w:val="24"/>
        </w:rPr>
      </w:pPr>
      <w:r>
        <w:rPr>
          <w:rFonts w:ascii="Times New Roman" w:hAnsi="Times New Roman" w:cs="Times New Roman"/>
          <w:i/>
          <w:iCs/>
          <w:sz w:val="24"/>
          <w:szCs w:val="24"/>
        </w:rPr>
        <w:t>(4)</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Stage 3 (200&lt; CD4 cell counts &lt;350):</w:t>
      </w:r>
    </w:p>
    <w:p w14:paraId="2AD7DD63">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(1-bic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)*λ(t)*pr</w:t>
      </w:r>
      <w:r>
        <w:rPr>
          <w:rFonts w:ascii="Times New Roman" w:hAnsi="Times New Roman" w:cs="Times New Roman"/>
          <w:i/>
          <w:iCs/>
          <w:sz w:val="24"/>
          <w:szCs w:val="24"/>
          <w:vertAlign w:val="subscript"/>
        </w:rPr>
        <w:t>3</w:t>
      </w: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)*no</w:t>
      </w:r>
      <w:r>
        <w:rPr>
          <w:rFonts w:ascii="Times New Roman" w:hAnsi="Times New Roman" w:cs="Times New Roman"/>
          <w:i/>
          <w:iCs/>
          <w:sz w:val="24"/>
          <w:szCs w:val="24"/>
          <w:vertAlign w:val="subscript"/>
        </w:rPr>
        <w:t>P2</w:t>
      </w:r>
      <w:r>
        <w:rPr>
          <w:rFonts w:ascii="Times New Roman" w:hAnsi="Times New Roman" w:cs="Times New Roman"/>
          <w:i/>
          <w:iCs/>
          <w:sz w:val="24"/>
          <w:szCs w:val="24"/>
        </w:rPr>
        <w:t>+BIC</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)*no</w:t>
      </w:r>
      <w:r>
        <w:rPr>
          <w:rFonts w:ascii="Times New Roman" w:hAnsi="Times New Roman" w:cs="Times New Roman"/>
          <w:i/>
          <w:iCs/>
          <w:sz w:val="24"/>
          <w:szCs w:val="24"/>
          <w:vertAlign w:val="subscript"/>
        </w:rPr>
        <w:t>P3</w:t>
      </w:r>
    </w:p>
    <w:p w14:paraId="3654E15A">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)*(1-bi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2,s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12</w:t>
      </w: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13</w:t>
      </w:r>
    </w:p>
    <w:p w14:paraId="715610FC">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)*no</w:t>
      </w:r>
      <w:r>
        <w:rPr>
          <w:rFonts w:ascii="Times New Roman" w:hAnsi="Times New Roman" w:cs="Times New Roman"/>
          <w:i/>
          <w:iCs/>
          <w:sz w:val="24"/>
          <w:szCs w:val="24"/>
          <w:vertAlign w:val="subscript"/>
        </w:rPr>
        <w:t>P2</w:t>
      </w:r>
      <w:r>
        <w:rPr>
          <w:rFonts w:ascii="Times New Roman" w:hAnsi="Times New Roman" w:cs="Times New Roman"/>
          <w:i/>
          <w:iCs/>
          <w:sz w:val="24"/>
          <w:szCs w:val="24"/>
        </w:rPr>
        <w:t>+EFV</w:t>
      </w:r>
      <w:r>
        <w:rPr>
          <w:rFonts w:ascii="Times New Roman" w:hAnsi="Times New Roman" w:cs="Times New Roman"/>
          <w:i/>
          <w:iCs/>
          <w:sz w:val="24"/>
          <w:szCs w:val="24"/>
          <w:vertAlign w:val="subscript"/>
        </w:rPr>
        <w:t>4</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4</w:t>
      </w:r>
      <w:r>
        <w:rPr>
          <w:rFonts w:ascii="Times New Roman" w:hAnsi="Times New Roman" w:cs="Times New Roman"/>
          <w:i/>
          <w:iCs/>
          <w:sz w:val="24"/>
          <w:szCs w:val="24"/>
        </w:rPr>
        <w:t>)*no</w:t>
      </w:r>
      <w:r>
        <w:rPr>
          <w:rFonts w:ascii="Times New Roman" w:hAnsi="Times New Roman" w:cs="Times New Roman"/>
          <w:i/>
          <w:iCs/>
          <w:sz w:val="24"/>
          <w:szCs w:val="24"/>
          <w:vertAlign w:val="subscript"/>
        </w:rPr>
        <w:t>P3</w:t>
      </w:r>
    </w:p>
    <w:p w14:paraId="0DD684D8">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)*(1-efv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2</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3</w:t>
      </w:r>
    </w:p>
    <w:p w14:paraId="79B2F828">
      <w:pPr>
        <w:spacing w:line="480" w:lineRule="auto"/>
        <w:rPr>
          <w:rFonts w:ascii="Times New Roman" w:hAnsi="Times New Roman" w:cs="Times New Roman"/>
          <w:i/>
          <w:iCs/>
          <w:sz w:val="24"/>
          <w:szCs w:val="24"/>
        </w:rPr>
      </w:pPr>
    </w:p>
    <w:p w14:paraId="61E6FE61">
      <w:pPr>
        <w:spacing w:line="480" w:lineRule="auto"/>
        <w:rPr>
          <w:rFonts w:ascii="Times New Roman" w:hAnsi="Times New Roman" w:cs="Times New Roman"/>
          <w:i/>
          <w:iCs/>
          <w:sz w:val="24"/>
          <w:szCs w:val="24"/>
        </w:rPr>
      </w:pPr>
      <w:r>
        <w:rPr>
          <w:rFonts w:ascii="Times New Roman" w:hAnsi="Times New Roman" w:cs="Times New Roman"/>
          <w:i/>
          <w:iCs/>
          <w:sz w:val="24"/>
          <w:szCs w:val="24"/>
        </w:rPr>
        <w:t>(5)</w:t>
      </w:r>
      <w:r>
        <w:rPr>
          <w:rFonts w:hint="eastAsia" w:ascii="Times New Roman" w:hAnsi="Times New Roman" w:cs="Times New Roman"/>
          <w:i/>
          <w:iCs/>
          <w:sz w:val="24"/>
          <w:szCs w:val="24"/>
        </w:rPr>
        <w:t xml:space="preserve"> Stage 2</w:t>
      </w:r>
      <w:r>
        <w:rPr>
          <w:rFonts w:ascii="Times New Roman" w:hAnsi="Times New Roman" w:cs="Times New Roman"/>
          <w:i/>
          <w:iCs/>
          <w:sz w:val="24"/>
          <w:szCs w:val="24"/>
        </w:rPr>
        <w:t xml:space="preserve"> (100&lt; CD4 cell counts &lt;200):</w:t>
      </w:r>
    </w:p>
    <w:p w14:paraId="75B9C626">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(1-bic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)*λ(t)*pr</w:t>
      </w:r>
      <w:r>
        <w:rPr>
          <w:rFonts w:ascii="Times New Roman" w:hAnsi="Times New Roman" w:cs="Times New Roman"/>
          <w:i/>
          <w:iCs/>
          <w:sz w:val="24"/>
          <w:szCs w:val="24"/>
          <w:vertAlign w:val="subscript"/>
        </w:rPr>
        <w:t>4</w:t>
      </w: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)*no</w:t>
      </w:r>
      <w:r>
        <w:rPr>
          <w:rFonts w:ascii="Times New Roman" w:hAnsi="Times New Roman" w:cs="Times New Roman"/>
          <w:i/>
          <w:iCs/>
          <w:sz w:val="24"/>
          <w:szCs w:val="24"/>
          <w:vertAlign w:val="subscript"/>
        </w:rPr>
        <w:t>P1</w:t>
      </w:r>
      <w:r>
        <w:rPr>
          <w:rFonts w:ascii="Times New Roman" w:hAnsi="Times New Roman" w:cs="Times New Roman"/>
          <w:i/>
          <w:iCs/>
          <w:sz w:val="24"/>
          <w:szCs w:val="24"/>
        </w:rPr>
        <w:t>+BIC</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)*no</w:t>
      </w:r>
      <w:r>
        <w:rPr>
          <w:rFonts w:ascii="Times New Roman" w:hAnsi="Times New Roman" w:cs="Times New Roman"/>
          <w:i/>
          <w:iCs/>
          <w:sz w:val="24"/>
          <w:szCs w:val="24"/>
          <w:vertAlign w:val="subscript"/>
        </w:rPr>
        <w:t>P2</w:t>
      </w:r>
    </w:p>
    <w:p w14:paraId="72F383C2">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)*(1-bi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11</w:t>
      </w: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2</w:t>
      </w:r>
    </w:p>
    <w:p w14:paraId="03128F4F">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)*no</w:t>
      </w:r>
      <w:r>
        <w:rPr>
          <w:rFonts w:ascii="Times New Roman" w:hAnsi="Times New Roman" w:cs="Times New Roman"/>
          <w:i/>
          <w:iCs/>
          <w:sz w:val="24"/>
          <w:szCs w:val="24"/>
          <w:vertAlign w:val="subscript"/>
        </w:rPr>
        <w:t>P1</w:t>
      </w:r>
      <w:r>
        <w:rPr>
          <w:rFonts w:ascii="Times New Roman" w:hAnsi="Times New Roman" w:cs="Times New Roman"/>
          <w:i/>
          <w:iCs/>
          <w:sz w:val="24"/>
          <w:szCs w:val="24"/>
        </w:rPr>
        <w:t>+EFV</w:t>
      </w:r>
      <w:r>
        <w:rPr>
          <w:rFonts w:ascii="Times New Roman" w:hAnsi="Times New Roman" w:cs="Times New Roman"/>
          <w:i/>
          <w:iCs/>
          <w:sz w:val="24"/>
          <w:szCs w:val="24"/>
          <w:vertAlign w:val="subscript"/>
        </w:rPr>
        <w:t>3</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3</w:t>
      </w:r>
      <w:r>
        <w:rPr>
          <w:rFonts w:ascii="Times New Roman" w:hAnsi="Times New Roman" w:cs="Times New Roman"/>
          <w:i/>
          <w:iCs/>
          <w:sz w:val="24"/>
          <w:szCs w:val="24"/>
        </w:rPr>
        <w:t>)*no</w:t>
      </w:r>
      <w:r>
        <w:rPr>
          <w:rFonts w:ascii="Times New Roman" w:hAnsi="Times New Roman" w:cs="Times New Roman"/>
          <w:i/>
          <w:iCs/>
          <w:sz w:val="24"/>
          <w:szCs w:val="24"/>
          <w:vertAlign w:val="subscript"/>
        </w:rPr>
        <w:t>P2</w:t>
      </w:r>
    </w:p>
    <w:p w14:paraId="7A10777A">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)*(1-efv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11</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vertAlign w:val="subscript"/>
        </w:rPr>
        <w:t>2</w:t>
      </w:r>
    </w:p>
    <w:p w14:paraId="64C482D9">
      <w:pPr>
        <w:spacing w:line="480" w:lineRule="auto"/>
        <w:rPr>
          <w:rFonts w:ascii="Times New Roman" w:hAnsi="Times New Roman" w:cs="Times New Roman"/>
          <w:i/>
          <w:iCs/>
          <w:sz w:val="24"/>
          <w:szCs w:val="24"/>
        </w:rPr>
      </w:pPr>
    </w:p>
    <w:p w14:paraId="61DCB597">
      <w:pPr>
        <w:spacing w:line="480" w:lineRule="auto"/>
        <w:rPr>
          <w:rFonts w:ascii="Times New Roman" w:hAnsi="Times New Roman" w:cs="Times New Roman"/>
          <w:i/>
          <w:iCs/>
          <w:sz w:val="24"/>
          <w:szCs w:val="24"/>
        </w:rPr>
      </w:pPr>
      <w:r>
        <w:rPr>
          <w:rFonts w:ascii="Times New Roman" w:hAnsi="Times New Roman" w:cs="Times New Roman"/>
          <w:i/>
          <w:iCs/>
          <w:sz w:val="24"/>
          <w:szCs w:val="24"/>
        </w:rPr>
        <w:t>(6)</w:t>
      </w:r>
      <w:r>
        <w:rPr>
          <w:rFonts w:hint="eastAsia" w:ascii="Times New Roman" w:hAnsi="Times New Roman" w:cs="Times New Roman"/>
          <w:i/>
          <w:iCs/>
          <w:sz w:val="24"/>
          <w:szCs w:val="24"/>
        </w:rPr>
        <w:t xml:space="preserve"> </w:t>
      </w:r>
      <w:r>
        <w:rPr>
          <w:rFonts w:ascii="Times New Roman" w:hAnsi="Times New Roman" w:cs="Times New Roman"/>
          <w:i/>
          <w:iCs/>
          <w:sz w:val="24"/>
          <w:szCs w:val="24"/>
        </w:rPr>
        <w:t xml:space="preserve">Stage </w:t>
      </w:r>
      <w:r>
        <w:rPr>
          <w:rFonts w:hint="eastAsia" w:ascii="Times New Roman" w:hAnsi="Times New Roman" w:cs="Times New Roman"/>
          <w:i/>
          <w:iCs/>
          <w:sz w:val="24"/>
          <w:szCs w:val="24"/>
        </w:rPr>
        <w:t>1</w:t>
      </w:r>
      <w:r>
        <w:rPr>
          <w:rFonts w:ascii="Times New Roman" w:hAnsi="Times New Roman" w:cs="Times New Roman"/>
          <w:i/>
          <w:iCs/>
          <w:sz w:val="24"/>
          <w:szCs w:val="24"/>
        </w:rPr>
        <w:t xml:space="preserve"> (CD4 cell counts &lt;100):</w:t>
      </w:r>
    </w:p>
    <w:p w14:paraId="6B2F5E3C">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(1-bic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hint="eastAsia" w:ascii="Times New Roman" w:hAnsi="Times New Roman" w:cs="Times New Roman"/>
          <w:i/>
          <w:iCs/>
          <w:sz w:val="24"/>
          <w:szCs w:val="24"/>
        </w:rPr>
        <w:t>)</w:t>
      </w:r>
      <w:r>
        <w:rPr>
          <w:rFonts w:ascii="Times New Roman" w:hAnsi="Times New Roman" w:cs="Times New Roman"/>
          <w:i/>
          <w:iCs/>
          <w:sz w:val="24"/>
          <w:szCs w:val="24"/>
        </w:rPr>
        <w:t>+MSM</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)*λ(t)*pr</w:t>
      </w:r>
      <w:r>
        <w:rPr>
          <w:rFonts w:hint="eastAsia" w:ascii="Times New Roman" w:hAnsi="Times New Roman" w:cs="Times New Roman"/>
          <w:i/>
          <w:iCs/>
          <w:sz w:val="24"/>
          <w:szCs w:val="24"/>
          <w:vertAlign w:val="subscript"/>
        </w:rPr>
        <w:t>5</w:t>
      </w:r>
      <w:r>
        <w:rPr>
          <w:rFonts w:ascii="Times New Roman" w:hAnsi="Times New Roman" w:cs="Times New Roman"/>
          <w:i/>
          <w:iCs/>
          <w:sz w:val="24"/>
          <w:szCs w:val="24"/>
        </w:rPr>
        <w:t>+BIC</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)*no</w:t>
      </w:r>
      <w:r>
        <w:rPr>
          <w:rFonts w:ascii="Times New Roman" w:hAnsi="Times New Roman" w:cs="Times New Roman"/>
          <w:i/>
          <w:iCs/>
          <w:sz w:val="24"/>
          <w:szCs w:val="24"/>
          <w:vertAlign w:val="subscript"/>
        </w:rPr>
        <w:t>P1</w:t>
      </w:r>
    </w:p>
    <w:p w14:paraId="133F11B8">
      <w:pPr>
        <w:spacing w:line="480" w:lineRule="auto"/>
        <w:rPr>
          <w:rFonts w:ascii="Times New Roman" w:hAnsi="Times New Roman" w:cs="Times New Roman"/>
          <w:i/>
          <w:iCs/>
          <w:sz w:val="24"/>
          <w:szCs w:val="24"/>
        </w:rPr>
      </w:pPr>
      <w:r>
        <w:rPr>
          <w:rFonts w:ascii="Times New Roman" w:hAnsi="Times New Roman" w:cs="Times New Roman"/>
          <w:i/>
          <w:iCs/>
          <w:sz w:val="24"/>
          <w:szCs w:val="24"/>
        </w:rPr>
        <w:t>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)*(1-bi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-BIC</w:t>
      </w:r>
      <w:r>
        <w:rPr>
          <w:rFonts w:hint="eastAsia" w:ascii="Times New Roman" w:hAnsi="Times New Roman" w:cs="Times New Roman"/>
          <w:i/>
          <w:iCs/>
          <w:sz w:val="24"/>
          <w:szCs w:val="24"/>
          <w:vertAlign w:val="subscript"/>
        </w:rPr>
        <w:t>1,s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11</w:t>
      </w:r>
    </w:p>
    <w:p w14:paraId="7597854D">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)+BIC</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ascii="Times New Roman" w:hAnsi="Times New Roman" w:cs="Times New Roman"/>
          <w:i/>
          <w:iCs/>
          <w:sz w:val="24"/>
          <w:szCs w:val="24"/>
          <w:vertAlign w:val="subscript"/>
        </w:rPr>
        <w:t>nd</w:t>
      </w:r>
      <w:r>
        <w:rPr>
          <w:rFonts w:ascii="Times New Roman" w:hAnsi="Times New Roman" w:cs="Times New Roman"/>
          <w:i/>
          <w:iCs/>
          <w:sz w:val="24"/>
          <w:szCs w:val="24"/>
        </w:rPr>
        <w:t>+bi</w:t>
      </w:r>
      <w:r>
        <w:rPr>
          <w:rFonts w:hint="eastAsia" w:ascii="Times New Roman" w:hAnsi="Times New Roman" w:cs="Times New Roman"/>
          <w:i/>
          <w:iCs/>
          <w:sz w:val="24"/>
          <w:szCs w:val="24"/>
        </w:rPr>
        <w:t>c</w:t>
      </w:r>
      <w:r>
        <w:rPr>
          <w:rFonts w:hint="eastAsia" w:ascii="Times New Roman" w:hAnsi="Times New Roman" w:cs="Times New Roman"/>
          <w:i/>
          <w:iCs/>
          <w:sz w:val="24"/>
          <w:szCs w:val="24"/>
          <w:vertAlign w:val="subscript"/>
        </w:rPr>
        <w:t>v</w:t>
      </w:r>
      <w:r>
        <w:rPr>
          <w:rFonts w:ascii="Times New Roman" w:hAnsi="Times New Roman" w:cs="Times New Roman"/>
          <w:i/>
          <w:iCs/>
          <w:sz w:val="24"/>
          <w:szCs w:val="24"/>
          <w:vertAlign w:val="subscript"/>
        </w:rPr>
        <w:t>d</w:t>
      </w: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nd</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2</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2</w:t>
      </w:r>
      <w:r>
        <w:rPr>
          <w:rFonts w:ascii="Times New Roman" w:hAnsi="Times New Roman" w:cs="Times New Roman"/>
          <w:i/>
          <w:iCs/>
          <w:sz w:val="24"/>
          <w:szCs w:val="24"/>
        </w:rPr>
        <w:t>)*no</w:t>
      </w:r>
      <w:r>
        <w:rPr>
          <w:rFonts w:ascii="Times New Roman" w:hAnsi="Times New Roman" w:cs="Times New Roman"/>
          <w:i/>
          <w:iCs/>
          <w:sz w:val="24"/>
          <w:szCs w:val="24"/>
          <w:vertAlign w:val="subscript"/>
        </w:rPr>
        <w:t>P1</w:t>
      </w:r>
    </w:p>
    <w:p w14:paraId="50E1C36C">
      <w:pPr>
        <w:spacing w:line="480" w:lineRule="auto"/>
        <w:rPr>
          <w:rFonts w:ascii="Times New Roman" w:hAnsi="Times New Roman" w:cs="Times New Roman"/>
          <w:i/>
          <w:iCs/>
          <w:sz w:val="24"/>
          <w:szCs w:val="24"/>
        </w:rPr>
      </w:pP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)*(1-efv</w:t>
      </w:r>
      <w:r>
        <w:rPr>
          <w:rFonts w:ascii="Times New Roman" w:hAnsi="Times New Roman" w:cs="Times New Roman"/>
          <w:i/>
          <w:iCs/>
          <w:sz w:val="24"/>
          <w:szCs w:val="24"/>
          <w:vertAlign w:val="subscript"/>
        </w:rPr>
        <w:t>nd</w:t>
      </w:r>
      <w:r>
        <w:rPr>
          <w:rFonts w:hint="eastAsia" w:ascii="Times New Roman" w:hAnsi="Times New Roman" w:cs="Times New Roman"/>
          <w:i/>
          <w:iCs/>
          <w:sz w:val="24"/>
          <w:szCs w:val="24"/>
        </w:rPr>
        <w:t>-</w:t>
      </w:r>
      <w:r>
        <w:rPr>
          <w:rFonts w:ascii="Times New Roman" w:hAnsi="Times New Roman" w:cs="Times New Roman"/>
          <w:i/>
          <w:iCs/>
          <w:sz w:val="24"/>
          <w:szCs w:val="24"/>
        </w:rPr>
        <w:t>efv</w:t>
      </w:r>
      <w:r>
        <w:rPr>
          <w:rFonts w:ascii="Times New Roman" w:hAnsi="Times New Roman" w:cs="Times New Roman"/>
          <w:i/>
          <w:iCs/>
          <w:sz w:val="24"/>
          <w:szCs w:val="24"/>
          <w:vertAlign w:val="subscript"/>
        </w:rPr>
        <w:t>vd</w:t>
      </w: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n</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s</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-EFV</w:t>
      </w:r>
      <w:r>
        <w:rPr>
          <w:rFonts w:ascii="Times New Roman" w:hAnsi="Times New Roman" w:cs="Times New Roman"/>
          <w:i/>
          <w:iCs/>
          <w:sz w:val="24"/>
          <w:szCs w:val="24"/>
          <w:vertAlign w:val="subscript"/>
        </w:rPr>
        <w:t>1</w:t>
      </w:r>
      <w:r>
        <w:rPr>
          <w:rFonts w:hint="eastAsia" w:ascii="Times New Roman" w:hAnsi="Times New Roman" w:cs="Times New Roman"/>
          <w:i/>
          <w:iCs/>
          <w:sz w:val="24"/>
          <w:szCs w:val="24"/>
          <w:vertAlign w:val="subscript"/>
        </w:rPr>
        <w:t>,</w:t>
      </w:r>
      <w:r>
        <w:rPr>
          <w:rFonts w:ascii="Times New Roman" w:hAnsi="Times New Roman" w:cs="Times New Roman"/>
          <w:i/>
          <w:iCs/>
          <w:sz w:val="24"/>
          <w:szCs w:val="24"/>
          <w:vertAlign w:val="subscript"/>
        </w:rPr>
        <w:t>s</w:t>
      </w:r>
      <w:r>
        <w:rPr>
          <w:rFonts w:ascii="Times New Roman" w:hAnsi="Times New Roman" w:cs="Times New Roman"/>
          <w:i/>
          <w:iCs/>
          <w:sz w:val="24"/>
          <w:szCs w:val="24"/>
        </w:rPr>
        <w:t>(t)*(1-dn</w:t>
      </w:r>
      <w:r>
        <w:rPr>
          <w:rFonts w:hint="eastAsia" w:ascii="Times New Roman" w:hAnsi="Times New Roman" w:cs="Times New Roman"/>
          <w:i/>
          <w:iCs/>
          <w:sz w:val="24"/>
          <w:szCs w:val="24"/>
          <w:vertAlign w:val="subscript"/>
        </w:rPr>
        <w:t>18</w:t>
      </w:r>
      <w:r>
        <w:rPr>
          <w:rFonts w:ascii="Times New Roman" w:hAnsi="Times New Roman" w:cs="Times New Roman"/>
          <w:i/>
          <w:iCs/>
          <w:sz w:val="24"/>
          <w:szCs w:val="24"/>
        </w:rPr>
        <w:t>-d</w:t>
      </w:r>
      <w:r>
        <w:rPr>
          <w:rFonts w:hint="eastAsia" w:ascii="Times New Roman" w:hAnsi="Times New Roman" w:cs="Times New Roman"/>
          <w:i/>
          <w:iCs/>
          <w:sz w:val="24"/>
          <w:szCs w:val="24"/>
          <w:vertAlign w:val="subscript"/>
        </w:rPr>
        <w:t>1</w:t>
      </w:r>
      <w:r>
        <w:rPr>
          <w:rFonts w:ascii="Times New Roman" w:hAnsi="Times New Roman" w:cs="Times New Roman"/>
          <w:i/>
          <w:iCs/>
          <w:sz w:val="24"/>
          <w:szCs w:val="24"/>
        </w:rPr>
        <w:t>)*</w:t>
      </w:r>
      <w:r>
        <w:rPr>
          <w:rFonts w:hint="eastAsia" w:ascii="Times New Roman" w:hAnsi="Times New Roman" w:cs="Times New Roman"/>
          <w:i/>
          <w:iCs/>
          <w:sz w:val="24"/>
          <w:szCs w:val="24"/>
        </w:rPr>
        <w:t>bic</w:t>
      </w:r>
      <w:r>
        <w:rPr>
          <w:rFonts w:ascii="Times New Roman" w:hAnsi="Times New Roman" w:cs="Times New Roman"/>
          <w:i/>
          <w:iCs/>
          <w:sz w:val="24"/>
          <w:szCs w:val="24"/>
          <w:vertAlign w:val="subscript"/>
        </w:rPr>
        <w:t>P</w:t>
      </w:r>
      <w:r>
        <w:rPr>
          <w:rFonts w:hint="eastAsia" w:ascii="Times New Roman" w:hAnsi="Times New Roman" w:cs="Times New Roman"/>
          <w:i/>
          <w:iCs/>
          <w:sz w:val="24"/>
          <w:szCs w:val="24"/>
          <w:vertAlign w:val="subscript"/>
        </w:rPr>
        <w:t>11</w:t>
      </w:r>
    </w:p>
    <w:p w14:paraId="0012E82B">
      <w:pPr>
        <w:spacing w:line="48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70617C9B">
      <w:pPr>
        <w:pStyle w:val="2"/>
        <w:rPr>
          <w:rFonts w:ascii="Times New Roman" w:hAnsi="Times New Roman" w:cs="Times New Roman"/>
          <w:szCs w:val="24"/>
        </w:rPr>
      </w:pPr>
      <w:bookmarkStart w:id="47" w:name="_Toc182242751"/>
      <w:bookmarkStart w:id="48" w:name="_Toc216103812"/>
      <w:r>
        <w:rPr>
          <w:rFonts w:ascii="Times New Roman" w:hAnsi="Times New Roman" w:cs="Times New Roman"/>
        </w:rPr>
        <w:t>Supplementary Data on Results</w:t>
      </w:r>
      <w:bookmarkEnd w:id="47"/>
      <w:bookmarkEnd w:id="48"/>
    </w:p>
    <w:p w14:paraId="66F62EFC">
      <w:pPr>
        <w:pStyle w:val="4"/>
        <w:spacing w:before="0" w:after="0" w:line="480" w:lineRule="auto"/>
        <w:rPr>
          <w:rFonts w:ascii="Times New Roman" w:hAnsi="Times New Roman" w:cs="Times New Roman"/>
          <w:sz w:val="24"/>
          <w:szCs w:val="24"/>
        </w:rPr>
      </w:pPr>
      <w:r>
        <w:rPr>
          <w:rFonts w:ascii="Times New Roman" w:hAnsi="Times New Roman" w:cs="Times New Roman"/>
          <w:sz w:val="24"/>
          <w:szCs w:val="24"/>
        </w:rPr>
        <w:t>Patient Baseline Characteristics</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PP</w:t>
      </w:r>
      <w:r>
        <w:rPr>
          <w:rFonts w:ascii="Times New Roman" w:hAnsi="Times New Roman" w:cs="Times New Roman"/>
          <w:sz w:val="24"/>
          <w:szCs w:val="24"/>
        </w:rPr>
        <w:t xml:space="preserve"> dataset)</w:t>
      </w:r>
    </w:p>
    <w:p w14:paraId="0D755796">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The baseline characteristics for the Per-Protocol (PP) population are presented in </w:t>
      </w:r>
      <w:r>
        <w:rPr>
          <w:rFonts w:hint="eastAsia" w:ascii="Times New Roman" w:hAnsi="Times New Roman" w:cs="Times New Roman"/>
          <w:b/>
          <w:bCs/>
          <w:sz w:val="24"/>
          <w:szCs w:val="24"/>
        </w:rPr>
        <w:t>Appendix Table 16</w:t>
      </w:r>
      <w:r>
        <w:rPr>
          <w:rFonts w:hint="eastAsia" w:ascii="Times New Roman" w:hAnsi="Times New Roman" w:cs="Times New Roman"/>
          <w:sz w:val="24"/>
          <w:szCs w:val="24"/>
        </w:rPr>
        <w:t>. Consistent with the findings in the main analysis, the median age across all groups was approximately 31 years, with no significant differences observed (p = 0.958). As expected, the initiation time of antiretroviral therapy differed significantly among the groups (p &lt; 0.001), with rapid initiation groups (G1 and G2) starting treatment within days (median: 3.00 days) and non-rapid initiation groups (G3 and G4) starting after several weeks (median: 24.00 and 25.00 days, respectively).</w:t>
      </w:r>
    </w:p>
    <w:p w14:paraId="69ADC764">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Regarding the biochemical profile in the PP cohort, none of the indicators—including AST, ALT, total cholesterol, HDL-C, LDL-C, triglycerides, blood glucose, and creatinine—showed statistically significant differences at baseline (all p &gt; 0.05). Similarly, all HIV-specific indicators, including CD4+ cell count, CD4/CD8 ratio, and plasma HIV-1 RNA levels, were well-balanced across the four groups, showing no significant variation (all p &gt; 0.05).</w:t>
      </w:r>
    </w:p>
    <w:p w14:paraId="4AC7467B">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A comparison between the PP dataset (</w:t>
      </w:r>
      <w:r>
        <w:rPr>
          <w:rFonts w:hint="eastAsia" w:ascii="Times New Roman" w:hAnsi="Times New Roman" w:cs="Times New Roman"/>
          <w:b/>
          <w:bCs/>
          <w:sz w:val="24"/>
          <w:szCs w:val="24"/>
        </w:rPr>
        <w:t>Appendix Table 16</w:t>
      </w:r>
      <w:r>
        <w:rPr>
          <w:rFonts w:hint="eastAsia" w:ascii="Times New Roman" w:hAnsi="Times New Roman" w:cs="Times New Roman"/>
          <w:sz w:val="24"/>
          <w:szCs w:val="24"/>
        </w:rPr>
        <w:t>) and the matched ITT dataset from the main text (Table 1B) reveals a high degree of consistency. In both cohorts, the matching or selection procedure resulted in well-balanced groups for all demographic, biochemical, and HIV-related baseline characteristics, with no statistically significant differences. This concordance between the ITT and PP populations indicates that the baseline comparability achieved through matching in the primary analysis was robust and maintained in the protocol-adherent population, thereby strengthening the internal validity of the study findings by minimizing concerns of baseline confounding in both analytic sets. The fundamental conclusion regarding baseline equivalence remains unchanged.</w:t>
      </w:r>
    </w:p>
    <w:p w14:paraId="59E7BFE3">
      <w:pPr>
        <w:pStyle w:val="7"/>
        <w:spacing w:line="480" w:lineRule="auto"/>
        <w:jc w:val="center"/>
        <w:rPr>
          <w:rFonts w:ascii="Times New Roman" w:hAnsi="Times New Roman" w:cs="Times New Roman"/>
          <w:b/>
          <w:bCs/>
          <w:sz w:val="24"/>
          <w:szCs w:val="24"/>
        </w:rPr>
      </w:pPr>
      <w:bookmarkStart w:id="49" w:name="_Toc216103926"/>
      <w:r>
        <w:rPr>
          <w:rFonts w:ascii="Times New Roman" w:hAnsi="Times New Roman" w:cs="Times New Roman"/>
          <w:b/>
          <w:bCs/>
          <w:sz w:val="24"/>
          <w:szCs w:val="24"/>
        </w:rPr>
        <w:t xml:space="preserve">Appendix Table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Appendix_Table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16</w:t>
      </w:r>
      <w:r>
        <w:rPr>
          <w:rFonts w:ascii="Times New Roman" w:hAnsi="Times New Roman" w:cs="Times New Roman"/>
          <w:b/>
          <w:bCs/>
          <w:sz w:val="24"/>
          <w:szCs w:val="24"/>
        </w:rPr>
        <w:fldChar w:fldCharType="end"/>
      </w:r>
      <w:r>
        <w:rPr>
          <w:rFonts w:hint="eastAsia" w:ascii="Times New Roman" w:hAnsi="Times New Roman" w:cs="Times New Roman"/>
          <w:b/>
          <w:bCs/>
          <w:sz w:val="24"/>
          <w:szCs w:val="24"/>
        </w:rPr>
        <w:t xml:space="preserve"> Patient Baseline Characteristics of PP Dataset</w:t>
      </w:r>
      <w:bookmarkEnd w:id="49"/>
    </w:p>
    <w:tbl>
      <w:tblPr>
        <w:tblStyle w:val="11"/>
        <w:tblW w:w="4997" w:type="pct"/>
        <w:tblInd w:w="0" w:type="dxa"/>
        <w:tblLayout w:type="autofit"/>
        <w:tblCellMar>
          <w:top w:w="0" w:type="dxa"/>
          <w:left w:w="108" w:type="dxa"/>
          <w:bottom w:w="0" w:type="dxa"/>
          <w:right w:w="108" w:type="dxa"/>
        </w:tblCellMar>
      </w:tblPr>
      <w:tblGrid>
        <w:gridCol w:w="1288"/>
        <w:gridCol w:w="1694"/>
        <w:gridCol w:w="1239"/>
        <w:gridCol w:w="1239"/>
        <w:gridCol w:w="1239"/>
        <w:gridCol w:w="1239"/>
        <w:gridCol w:w="584"/>
      </w:tblGrid>
      <w:tr w14:paraId="0EB7D381">
        <w:tblPrEx>
          <w:tblCellMar>
            <w:top w:w="0" w:type="dxa"/>
            <w:left w:w="108" w:type="dxa"/>
            <w:bottom w:w="0" w:type="dxa"/>
            <w:right w:w="108" w:type="dxa"/>
          </w:tblCellMar>
        </w:tblPrEx>
        <w:trPr>
          <w:trHeight w:val="570" w:hRule="atLeast"/>
        </w:trPr>
        <w:tc>
          <w:tcPr>
            <w:tcW w:w="788" w:type="pct"/>
            <w:tcBorders>
              <w:top w:val="single" w:color="000000" w:sz="12" w:space="0"/>
              <w:left w:val="nil"/>
              <w:bottom w:val="single" w:color="000000" w:sz="8" w:space="0"/>
              <w:right w:val="nil"/>
            </w:tcBorders>
            <w:noWrap/>
            <w:vAlign w:val="center"/>
          </w:tcPr>
          <w:p w14:paraId="2AB95430">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Characteristic, median (IQR)</w:t>
            </w:r>
          </w:p>
        </w:tc>
        <w:tc>
          <w:tcPr>
            <w:tcW w:w="1056" w:type="pct"/>
            <w:tcBorders>
              <w:top w:val="single" w:color="000000" w:sz="12" w:space="0"/>
              <w:left w:val="nil"/>
              <w:bottom w:val="single" w:color="000000" w:sz="8" w:space="0"/>
              <w:right w:val="nil"/>
            </w:tcBorders>
            <w:noWrap/>
            <w:vAlign w:val="center"/>
          </w:tcPr>
          <w:p w14:paraId="22DF7E6B">
            <w:pPr>
              <w:jc w:val="center"/>
              <w:rPr>
                <w:rFonts w:ascii="Times New Roman" w:hAnsi="Times New Roman" w:eastAsia="宋体" w:cs="Times New Roman"/>
                <w:color w:val="000000"/>
                <w:sz w:val="18"/>
                <w:szCs w:val="18"/>
              </w:rPr>
            </w:pPr>
          </w:p>
        </w:tc>
        <w:tc>
          <w:tcPr>
            <w:tcW w:w="717" w:type="pct"/>
            <w:tcBorders>
              <w:top w:val="single" w:color="000000" w:sz="12" w:space="0"/>
              <w:left w:val="nil"/>
              <w:bottom w:val="single" w:color="000000" w:sz="8" w:space="0"/>
              <w:right w:val="nil"/>
            </w:tcBorders>
            <w:vAlign w:val="center"/>
          </w:tcPr>
          <w:p w14:paraId="7301A58F">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G1: Rapid Initiation BIC group (n=54.54)</w:t>
            </w:r>
          </w:p>
        </w:tc>
        <w:tc>
          <w:tcPr>
            <w:tcW w:w="717" w:type="pct"/>
            <w:tcBorders>
              <w:top w:val="single" w:color="000000" w:sz="12" w:space="0"/>
              <w:left w:val="nil"/>
              <w:bottom w:val="single" w:color="000000" w:sz="8" w:space="0"/>
              <w:right w:val="nil"/>
            </w:tcBorders>
            <w:vAlign w:val="center"/>
          </w:tcPr>
          <w:p w14:paraId="21396539">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G2: Rapid Initiation EFV group (n=36.60)</w:t>
            </w:r>
          </w:p>
        </w:tc>
        <w:tc>
          <w:tcPr>
            <w:tcW w:w="717" w:type="pct"/>
            <w:tcBorders>
              <w:top w:val="single" w:color="000000" w:sz="12" w:space="0"/>
              <w:left w:val="nil"/>
              <w:bottom w:val="single" w:color="000000" w:sz="8" w:space="0"/>
              <w:right w:val="nil"/>
            </w:tcBorders>
            <w:vAlign w:val="center"/>
          </w:tcPr>
          <w:p w14:paraId="31ED025E">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G3: Non-Rapid Initiation BIC group (n=68.87)</w:t>
            </w:r>
          </w:p>
        </w:tc>
        <w:tc>
          <w:tcPr>
            <w:tcW w:w="717" w:type="pct"/>
            <w:tcBorders>
              <w:top w:val="single" w:color="000000" w:sz="12" w:space="0"/>
              <w:left w:val="nil"/>
              <w:bottom w:val="single" w:color="000000" w:sz="8" w:space="0"/>
              <w:right w:val="nil"/>
            </w:tcBorders>
            <w:vAlign w:val="center"/>
          </w:tcPr>
          <w:p w14:paraId="6C808EA3">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G4: Non-Rapid Initiation EFV group (n=53.30)</w:t>
            </w:r>
          </w:p>
        </w:tc>
        <w:tc>
          <w:tcPr>
            <w:tcW w:w="285" w:type="pct"/>
            <w:tcBorders>
              <w:top w:val="single" w:color="000000" w:sz="12" w:space="0"/>
              <w:left w:val="nil"/>
              <w:bottom w:val="single" w:color="000000" w:sz="8" w:space="0"/>
              <w:right w:val="nil"/>
            </w:tcBorders>
            <w:noWrap/>
            <w:vAlign w:val="center"/>
          </w:tcPr>
          <w:p w14:paraId="1AECEFCA">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P Value</w:t>
            </w:r>
          </w:p>
        </w:tc>
      </w:tr>
      <w:tr w14:paraId="0964D7E7">
        <w:tblPrEx>
          <w:tblCellMar>
            <w:top w:w="0" w:type="dxa"/>
            <w:left w:w="108" w:type="dxa"/>
            <w:bottom w:w="0" w:type="dxa"/>
            <w:right w:w="108" w:type="dxa"/>
          </w:tblCellMar>
        </w:tblPrEx>
        <w:trPr>
          <w:trHeight w:val="300" w:hRule="atLeast"/>
        </w:trPr>
        <w:tc>
          <w:tcPr>
            <w:tcW w:w="788" w:type="pct"/>
            <w:tcBorders>
              <w:top w:val="single" w:color="000000" w:sz="8" w:space="0"/>
              <w:left w:val="nil"/>
              <w:bottom w:val="nil"/>
              <w:right w:val="nil"/>
            </w:tcBorders>
            <w:noWrap/>
            <w:vAlign w:val="center"/>
          </w:tcPr>
          <w:p w14:paraId="3D39BB67">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Initiation time, day</w:t>
            </w:r>
          </w:p>
        </w:tc>
        <w:tc>
          <w:tcPr>
            <w:tcW w:w="1056" w:type="pct"/>
            <w:tcBorders>
              <w:top w:val="single" w:color="000000" w:sz="8" w:space="0"/>
              <w:left w:val="nil"/>
              <w:bottom w:val="nil"/>
              <w:right w:val="nil"/>
            </w:tcBorders>
            <w:noWrap/>
            <w:vAlign w:val="center"/>
          </w:tcPr>
          <w:p w14:paraId="6AD73974">
            <w:pPr>
              <w:jc w:val="center"/>
              <w:rPr>
                <w:rFonts w:ascii="Times New Roman" w:hAnsi="Times New Roman" w:eastAsia="宋体" w:cs="Times New Roman"/>
                <w:color w:val="000000"/>
                <w:sz w:val="18"/>
                <w:szCs w:val="18"/>
              </w:rPr>
            </w:pPr>
          </w:p>
        </w:tc>
        <w:tc>
          <w:tcPr>
            <w:tcW w:w="717" w:type="pct"/>
            <w:tcBorders>
              <w:top w:val="single" w:color="000000" w:sz="8" w:space="0"/>
              <w:left w:val="nil"/>
              <w:bottom w:val="nil"/>
              <w:right w:val="nil"/>
            </w:tcBorders>
            <w:noWrap/>
            <w:vAlign w:val="center"/>
          </w:tcPr>
          <w:p w14:paraId="5DC40B9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3.00 (2.00-7.00)</w:t>
            </w:r>
          </w:p>
        </w:tc>
        <w:tc>
          <w:tcPr>
            <w:tcW w:w="717" w:type="pct"/>
            <w:tcBorders>
              <w:top w:val="single" w:color="000000" w:sz="8" w:space="0"/>
              <w:left w:val="nil"/>
              <w:bottom w:val="nil"/>
              <w:right w:val="nil"/>
            </w:tcBorders>
            <w:noWrap/>
            <w:vAlign w:val="center"/>
          </w:tcPr>
          <w:p w14:paraId="44FD11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3.00 (1.00-8.00)</w:t>
            </w:r>
          </w:p>
        </w:tc>
        <w:tc>
          <w:tcPr>
            <w:tcW w:w="717" w:type="pct"/>
            <w:tcBorders>
              <w:top w:val="single" w:color="000000" w:sz="8" w:space="0"/>
              <w:left w:val="nil"/>
              <w:bottom w:val="nil"/>
              <w:right w:val="nil"/>
            </w:tcBorders>
            <w:noWrap/>
            <w:vAlign w:val="center"/>
          </w:tcPr>
          <w:p w14:paraId="3B85A7E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24.00 (18.00-33.00)</w:t>
            </w:r>
          </w:p>
        </w:tc>
        <w:tc>
          <w:tcPr>
            <w:tcW w:w="717" w:type="pct"/>
            <w:tcBorders>
              <w:top w:val="single" w:color="000000" w:sz="8" w:space="0"/>
              <w:left w:val="nil"/>
              <w:bottom w:val="nil"/>
              <w:right w:val="nil"/>
            </w:tcBorders>
            <w:noWrap/>
            <w:vAlign w:val="center"/>
          </w:tcPr>
          <w:p w14:paraId="1186144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25.00 (20.00-49.00)</w:t>
            </w:r>
          </w:p>
        </w:tc>
        <w:tc>
          <w:tcPr>
            <w:tcW w:w="285" w:type="pct"/>
            <w:tcBorders>
              <w:top w:val="single" w:color="000000" w:sz="8" w:space="0"/>
              <w:left w:val="nil"/>
              <w:bottom w:val="nil"/>
              <w:right w:val="nil"/>
            </w:tcBorders>
            <w:noWrap/>
            <w:vAlign w:val="center"/>
          </w:tcPr>
          <w:p w14:paraId="5FC4510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&lt;0.001***</w:t>
            </w:r>
          </w:p>
        </w:tc>
      </w:tr>
      <w:tr w14:paraId="228FD525">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7CBB7D66">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Age, year</w:t>
            </w:r>
          </w:p>
        </w:tc>
        <w:tc>
          <w:tcPr>
            <w:tcW w:w="1056" w:type="pct"/>
            <w:tcBorders>
              <w:top w:val="nil"/>
              <w:left w:val="nil"/>
              <w:bottom w:val="nil"/>
              <w:right w:val="nil"/>
            </w:tcBorders>
            <w:noWrap/>
            <w:vAlign w:val="center"/>
          </w:tcPr>
          <w:p w14:paraId="3FC6B302">
            <w:pPr>
              <w:jc w:val="center"/>
              <w:rPr>
                <w:rFonts w:ascii="Times New Roman" w:hAnsi="Times New Roman" w:eastAsia="宋体" w:cs="Times New Roman"/>
                <w:color w:val="000000"/>
                <w:sz w:val="18"/>
                <w:szCs w:val="18"/>
              </w:rPr>
            </w:pPr>
          </w:p>
        </w:tc>
        <w:tc>
          <w:tcPr>
            <w:tcW w:w="717" w:type="pct"/>
            <w:tcBorders>
              <w:top w:val="nil"/>
              <w:left w:val="nil"/>
              <w:bottom w:val="nil"/>
              <w:right w:val="nil"/>
            </w:tcBorders>
            <w:noWrap/>
            <w:vAlign w:val="center"/>
          </w:tcPr>
          <w:p w14:paraId="44CE1E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30.08 (26.13-37.95)</w:t>
            </w:r>
          </w:p>
        </w:tc>
        <w:tc>
          <w:tcPr>
            <w:tcW w:w="717" w:type="pct"/>
            <w:tcBorders>
              <w:top w:val="nil"/>
              <w:left w:val="nil"/>
              <w:bottom w:val="nil"/>
              <w:right w:val="nil"/>
            </w:tcBorders>
            <w:noWrap/>
            <w:vAlign w:val="center"/>
          </w:tcPr>
          <w:p w14:paraId="32723F7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31.56 (25.42-38.75)</w:t>
            </w:r>
          </w:p>
        </w:tc>
        <w:tc>
          <w:tcPr>
            <w:tcW w:w="717" w:type="pct"/>
            <w:tcBorders>
              <w:top w:val="nil"/>
              <w:left w:val="nil"/>
              <w:bottom w:val="nil"/>
              <w:right w:val="nil"/>
            </w:tcBorders>
            <w:noWrap/>
            <w:vAlign w:val="center"/>
          </w:tcPr>
          <w:p w14:paraId="63F9D2C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30.01 (26.16-38.54)</w:t>
            </w:r>
          </w:p>
        </w:tc>
        <w:tc>
          <w:tcPr>
            <w:tcW w:w="717" w:type="pct"/>
            <w:tcBorders>
              <w:top w:val="nil"/>
              <w:left w:val="nil"/>
              <w:bottom w:val="nil"/>
              <w:right w:val="nil"/>
            </w:tcBorders>
            <w:noWrap/>
            <w:vAlign w:val="center"/>
          </w:tcPr>
          <w:p w14:paraId="02191E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30.52 (27.65-36.35)</w:t>
            </w:r>
          </w:p>
        </w:tc>
        <w:tc>
          <w:tcPr>
            <w:tcW w:w="285" w:type="pct"/>
            <w:tcBorders>
              <w:top w:val="nil"/>
              <w:left w:val="nil"/>
              <w:bottom w:val="nil"/>
              <w:right w:val="nil"/>
            </w:tcBorders>
            <w:noWrap/>
            <w:vAlign w:val="center"/>
          </w:tcPr>
          <w:p w14:paraId="18B2E88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0.958</w:t>
            </w:r>
          </w:p>
        </w:tc>
      </w:tr>
      <w:tr w14:paraId="7E403DBE">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02F0C336">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Biochemical indicators</w:t>
            </w:r>
          </w:p>
        </w:tc>
        <w:tc>
          <w:tcPr>
            <w:tcW w:w="1056" w:type="pct"/>
            <w:tcBorders>
              <w:top w:val="nil"/>
              <w:left w:val="nil"/>
              <w:bottom w:val="nil"/>
              <w:right w:val="nil"/>
            </w:tcBorders>
            <w:noWrap/>
            <w:vAlign w:val="center"/>
          </w:tcPr>
          <w:p w14:paraId="697DAF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AST, U/L</w:t>
            </w:r>
          </w:p>
        </w:tc>
        <w:tc>
          <w:tcPr>
            <w:tcW w:w="717" w:type="pct"/>
            <w:tcBorders>
              <w:top w:val="nil"/>
              <w:left w:val="nil"/>
              <w:bottom w:val="nil"/>
              <w:right w:val="nil"/>
            </w:tcBorders>
            <w:noWrap/>
            <w:vAlign w:val="center"/>
          </w:tcPr>
          <w:p w14:paraId="15B46D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23.00 (20.00-28.00)</w:t>
            </w:r>
          </w:p>
        </w:tc>
        <w:tc>
          <w:tcPr>
            <w:tcW w:w="717" w:type="pct"/>
            <w:tcBorders>
              <w:top w:val="nil"/>
              <w:left w:val="nil"/>
              <w:bottom w:val="nil"/>
              <w:right w:val="nil"/>
            </w:tcBorders>
            <w:noWrap/>
            <w:vAlign w:val="center"/>
          </w:tcPr>
          <w:p w14:paraId="45E899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21.00 (18.00-27.00)</w:t>
            </w:r>
          </w:p>
        </w:tc>
        <w:tc>
          <w:tcPr>
            <w:tcW w:w="717" w:type="pct"/>
            <w:tcBorders>
              <w:top w:val="nil"/>
              <w:left w:val="nil"/>
              <w:bottom w:val="nil"/>
              <w:right w:val="nil"/>
            </w:tcBorders>
            <w:noWrap/>
            <w:vAlign w:val="center"/>
          </w:tcPr>
          <w:p w14:paraId="075D21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23.00 (20.00-27.00)</w:t>
            </w:r>
          </w:p>
        </w:tc>
        <w:tc>
          <w:tcPr>
            <w:tcW w:w="717" w:type="pct"/>
            <w:tcBorders>
              <w:top w:val="nil"/>
              <w:left w:val="nil"/>
              <w:bottom w:val="nil"/>
              <w:right w:val="nil"/>
            </w:tcBorders>
            <w:noWrap/>
            <w:vAlign w:val="center"/>
          </w:tcPr>
          <w:p w14:paraId="1AE0AAE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24.00 (21.00-35.00)</w:t>
            </w:r>
          </w:p>
        </w:tc>
        <w:tc>
          <w:tcPr>
            <w:tcW w:w="285" w:type="pct"/>
            <w:tcBorders>
              <w:top w:val="nil"/>
              <w:left w:val="nil"/>
              <w:bottom w:val="nil"/>
              <w:right w:val="nil"/>
            </w:tcBorders>
            <w:noWrap/>
            <w:vAlign w:val="center"/>
          </w:tcPr>
          <w:p w14:paraId="380A4D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0.195</w:t>
            </w:r>
          </w:p>
        </w:tc>
      </w:tr>
      <w:tr w14:paraId="6072BF44">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018DA647">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323095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ALT,n</w:t>
            </w:r>
          </w:p>
        </w:tc>
        <w:tc>
          <w:tcPr>
            <w:tcW w:w="717" w:type="pct"/>
            <w:tcBorders>
              <w:top w:val="nil"/>
              <w:left w:val="nil"/>
              <w:bottom w:val="nil"/>
              <w:right w:val="nil"/>
            </w:tcBorders>
            <w:noWrap/>
            <w:vAlign w:val="center"/>
          </w:tcPr>
          <w:p w14:paraId="0CF0F4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22.00 (17.00-33.00)</w:t>
            </w:r>
          </w:p>
        </w:tc>
        <w:tc>
          <w:tcPr>
            <w:tcW w:w="717" w:type="pct"/>
            <w:tcBorders>
              <w:top w:val="nil"/>
              <w:left w:val="nil"/>
              <w:bottom w:val="nil"/>
              <w:right w:val="nil"/>
            </w:tcBorders>
            <w:noWrap/>
            <w:vAlign w:val="center"/>
          </w:tcPr>
          <w:p w14:paraId="12DC17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20.00 (16.00-25.00)</w:t>
            </w:r>
          </w:p>
        </w:tc>
        <w:tc>
          <w:tcPr>
            <w:tcW w:w="717" w:type="pct"/>
            <w:tcBorders>
              <w:top w:val="nil"/>
              <w:left w:val="nil"/>
              <w:bottom w:val="nil"/>
              <w:right w:val="nil"/>
            </w:tcBorders>
            <w:noWrap/>
            <w:vAlign w:val="center"/>
          </w:tcPr>
          <w:p w14:paraId="206E10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20.00 (15.00-29.00)</w:t>
            </w:r>
          </w:p>
        </w:tc>
        <w:tc>
          <w:tcPr>
            <w:tcW w:w="717" w:type="pct"/>
            <w:tcBorders>
              <w:top w:val="nil"/>
              <w:left w:val="nil"/>
              <w:bottom w:val="nil"/>
              <w:right w:val="nil"/>
            </w:tcBorders>
            <w:noWrap/>
            <w:vAlign w:val="center"/>
          </w:tcPr>
          <w:p w14:paraId="39752F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26.00 (18.00-35.00)</w:t>
            </w:r>
          </w:p>
        </w:tc>
        <w:tc>
          <w:tcPr>
            <w:tcW w:w="285" w:type="pct"/>
            <w:tcBorders>
              <w:top w:val="nil"/>
              <w:left w:val="nil"/>
              <w:bottom w:val="nil"/>
              <w:right w:val="nil"/>
            </w:tcBorders>
            <w:noWrap/>
            <w:vAlign w:val="center"/>
          </w:tcPr>
          <w:p w14:paraId="5FA1E2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0.093</w:t>
            </w:r>
          </w:p>
        </w:tc>
      </w:tr>
      <w:tr w14:paraId="7355AC5B">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2D208F1D">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551F053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Cholesterol, mmol/L</w:t>
            </w:r>
          </w:p>
        </w:tc>
        <w:tc>
          <w:tcPr>
            <w:tcW w:w="717" w:type="pct"/>
            <w:tcBorders>
              <w:top w:val="nil"/>
              <w:left w:val="nil"/>
              <w:bottom w:val="nil"/>
              <w:right w:val="nil"/>
            </w:tcBorders>
            <w:noWrap/>
            <w:vAlign w:val="center"/>
          </w:tcPr>
          <w:p w14:paraId="22187D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4.21 (3.76-4.82)</w:t>
            </w:r>
          </w:p>
        </w:tc>
        <w:tc>
          <w:tcPr>
            <w:tcW w:w="717" w:type="pct"/>
            <w:tcBorders>
              <w:top w:val="nil"/>
              <w:left w:val="nil"/>
              <w:bottom w:val="nil"/>
              <w:right w:val="nil"/>
            </w:tcBorders>
            <w:noWrap/>
            <w:vAlign w:val="center"/>
          </w:tcPr>
          <w:p w14:paraId="2081522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4.27 (3.86-4.81)</w:t>
            </w:r>
          </w:p>
        </w:tc>
        <w:tc>
          <w:tcPr>
            <w:tcW w:w="717" w:type="pct"/>
            <w:tcBorders>
              <w:top w:val="nil"/>
              <w:left w:val="nil"/>
              <w:bottom w:val="nil"/>
              <w:right w:val="nil"/>
            </w:tcBorders>
            <w:noWrap/>
            <w:vAlign w:val="center"/>
          </w:tcPr>
          <w:p w14:paraId="1C398F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4.21 (3.84-4.77)</w:t>
            </w:r>
          </w:p>
        </w:tc>
        <w:tc>
          <w:tcPr>
            <w:tcW w:w="717" w:type="pct"/>
            <w:tcBorders>
              <w:top w:val="nil"/>
              <w:left w:val="nil"/>
              <w:bottom w:val="nil"/>
              <w:right w:val="nil"/>
            </w:tcBorders>
            <w:noWrap/>
            <w:vAlign w:val="center"/>
          </w:tcPr>
          <w:p w14:paraId="674288C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4.44 (3.74-4.90)</w:t>
            </w:r>
          </w:p>
        </w:tc>
        <w:tc>
          <w:tcPr>
            <w:tcW w:w="285" w:type="pct"/>
            <w:tcBorders>
              <w:top w:val="nil"/>
              <w:left w:val="nil"/>
              <w:bottom w:val="nil"/>
              <w:right w:val="nil"/>
            </w:tcBorders>
            <w:noWrap/>
            <w:vAlign w:val="center"/>
          </w:tcPr>
          <w:p w14:paraId="7E85F00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0.913</w:t>
            </w:r>
          </w:p>
        </w:tc>
      </w:tr>
      <w:tr w14:paraId="11BE1C4A">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38C21645">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08DD2E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HDL-C, mmol/L</w:t>
            </w:r>
          </w:p>
        </w:tc>
        <w:tc>
          <w:tcPr>
            <w:tcW w:w="717" w:type="pct"/>
            <w:tcBorders>
              <w:top w:val="nil"/>
              <w:left w:val="nil"/>
              <w:bottom w:val="nil"/>
              <w:right w:val="nil"/>
            </w:tcBorders>
            <w:noWrap/>
            <w:vAlign w:val="center"/>
          </w:tcPr>
          <w:p w14:paraId="2851CC7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0.93 (0.79-1.01)</w:t>
            </w:r>
          </w:p>
        </w:tc>
        <w:tc>
          <w:tcPr>
            <w:tcW w:w="717" w:type="pct"/>
            <w:tcBorders>
              <w:top w:val="nil"/>
              <w:left w:val="nil"/>
              <w:bottom w:val="nil"/>
              <w:right w:val="nil"/>
            </w:tcBorders>
            <w:noWrap/>
            <w:vAlign w:val="center"/>
          </w:tcPr>
          <w:p w14:paraId="651E017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0.96 (0.88-1.11)</w:t>
            </w:r>
          </w:p>
        </w:tc>
        <w:tc>
          <w:tcPr>
            <w:tcW w:w="717" w:type="pct"/>
            <w:tcBorders>
              <w:top w:val="nil"/>
              <w:left w:val="nil"/>
              <w:bottom w:val="nil"/>
              <w:right w:val="nil"/>
            </w:tcBorders>
            <w:noWrap/>
            <w:vAlign w:val="center"/>
          </w:tcPr>
          <w:p w14:paraId="4B2B255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1.05 (0.86-1.17)</w:t>
            </w:r>
          </w:p>
        </w:tc>
        <w:tc>
          <w:tcPr>
            <w:tcW w:w="717" w:type="pct"/>
            <w:tcBorders>
              <w:top w:val="nil"/>
              <w:left w:val="nil"/>
              <w:bottom w:val="nil"/>
              <w:right w:val="nil"/>
            </w:tcBorders>
            <w:noWrap/>
            <w:vAlign w:val="center"/>
          </w:tcPr>
          <w:p w14:paraId="514394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1.02 (0.86-1.18)</w:t>
            </w:r>
          </w:p>
        </w:tc>
        <w:tc>
          <w:tcPr>
            <w:tcW w:w="285" w:type="pct"/>
            <w:tcBorders>
              <w:top w:val="nil"/>
              <w:left w:val="nil"/>
              <w:bottom w:val="nil"/>
              <w:right w:val="nil"/>
            </w:tcBorders>
            <w:noWrap/>
            <w:vAlign w:val="center"/>
          </w:tcPr>
          <w:p w14:paraId="28A9B6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0.153</w:t>
            </w:r>
          </w:p>
        </w:tc>
      </w:tr>
      <w:tr w14:paraId="2E0AF3BE">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454FEABF">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25ED6D2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LDL-C, mmol/L</w:t>
            </w:r>
          </w:p>
        </w:tc>
        <w:tc>
          <w:tcPr>
            <w:tcW w:w="717" w:type="pct"/>
            <w:tcBorders>
              <w:top w:val="nil"/>
              <w:left w:val="nil"/>
              <w:bottom w:val="nil"/>
              <w:right w:val="nil"/>
            </w:tcBorders>
            <w:noWrap/>
            <w:vAlign w:val="center"/>
          </w:tcPr>
          <w:p w14:paraId="2080CA0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2.68 (2.22-3.12)</w:t>
            </w:r>
          </w:p>
        </w:tc>
        <w:tc>
          <w:tcPr>
            <w:tcW w:w="717" w:type="pct"/>
            <w:tcBorders>
              <w:top w:val="nil"/>
              <w:left w:val="nil"/>
              <w:bottom w:val="nil"/>
              <w:right w:val="nil"/>
            </w:tcBorders>
            <w:noWrap/>
            <w:vAlign w:val="center"/>
          </w:tcPr>
          <w:p w14:paraId="07D45B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2.78 (2.32-3.12)</w:t>
            </w:r>
          </w:p>
        </w:tc>
        <w:tc>
          <w:tcPr>
            <w:tcW w:w="717" w:type="pct"/>
            <w:tcBorders>
              <w:top w:val="nil"/>
              <w:left w:val="nil"/>
              <w:bottom w:val="nil"/>
              <w:right w:val="nil"/>
            </w:tcBorders>
            <w:noWrap/>
            <w:vAlign w:val="center"/>
          </w:tcPr>
          <w:p w14:paraId="78D90D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2.68 (2.34-3.04)</w:t>
            </w:r>
          </w:p>
        </w:tc>
        <w:tc>
          <w:tcPr>
            <w:tcW w:w="717" w:type="pct"/>
            <w:tcBorders>
              <w:top w:val="nil"/>
              <w:left w:val="nil"/>
              <w:bottom w:val="nil"/>
              <w:right w:val="nil"/>
            </w:tcBorders>
            <w:noWrap/>
            <w:vAlign w:val="center"/>
          </w:tcPr>
          <w:p w14:paraId="39EC15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2.84 (2.35-3.17)</w:t>
            </w:r>
          </w:p>
        </w:tc>
        <w:tc>
          <w:tcPr>
            <w:tcW w:w="285" w:type="pct"/>
            <w:tcBorders>
              <w:top w:val="nil"/>
              <w:left w:val="nil"/>
              <w:bottom w:val="nil"/>
              <w:right w:val="nil"/>
            </w:tcBorders>
            <w:noWrap/>
            <w:vAlign w:val="center"/>
          </w:tcPr>
          <w:p w14:paraId="31087F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0.276</w:t>
            </w:r>
          </w:p>
        </w:tc>
      </w:tr>
      <w:tr w14:paraId="36F045BC">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75359B82">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249BC2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Triglycerides, mmol/L</w:t>
            </w:r>
          </w:p>
        </w:tc>
        <w:tc>
          <w:tcPr>
            <w:tcW w:w="717" w:type="pct"/>
            <w:tcBorders>
              <w:top w:val="nil"/>
              <w:left w:val="nil"/>
              <w:bottom w:val="nil"/>
              <w:right w:val="nil"/>
            </w:tcBorders>
            <w:noWrap/>
            <w:vAlign w:val="center"/>
          </w:tcPr>
          <w:p w14:paraId="06729DF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1.41 (1.08-1.86)</w:t>
            </w:r>
          </w:p>
        </w:tc>
        <w:tc>
          <w:tcPr>
            <w:tcW w:w="717" w:type="pct"/>
            <w:tcBorders>
              <w:top w:val="nil"/>
              <w:left w:val="nil"/>
              <w:bottom w:val="nil"/>
              <w:right w:val="nil"/>
            </w:tcBorders>
            <w:noWrap/>
            <w:vAlign w:val="center"/>
          </w:tcPr>
          <w:p w14:paraId="7623C96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1.46 (1.00-1.86)</w:t>
            </w:r>
          </w:p>
        </w:tc>
        <w:tc>
          <w:tcPr>
            <w:tcW w:w="717" w:type="pct"/>
            <w:tcBorders>
              <w:top w:val="nil"/>
              <w:left w:val="nil"/>
              <w:bottom w:val="nil"/>
              <w:right w:val="nil"/>
            </w:tcBorders>
            <w:noWrap/>
            <w:vAlign w:val="center"/>
          </w:tcPr>
          <w:p w14:paraId="55F1593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1.37 (0.99-1.86)</w:t>
            </w:r>
          </w:p>
        </w:tc>
        <w:tc>
          <w:tcPr>
            <w:tcW w:w="717" w:type="pct"/>
            <w:tcBorders>
              <w:top w:val="nil"/>
              <w:left w:val="nil"/>
              <w:bottom w:val="nil"/>
              <w:right w:val="nil"/>
            </w:tcBorders>
            <w:noWrap/>
            <w:vAlign w:val="center"/>
          </w:tcPr>
          <w:p w14:paraId="26F9729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1.39 (0.95-1.82)</w:t>
            </w:r>
          </w:p>
        </w:tc>
        <w:tc>
          <w:tcPr>
            <w:tcW w:w="285" w:type="pct"/>
            <w:tcBorders>
              <w:top w:val="nil"/>
              <w:left w:val="nil"/>
              <w:bottom w:val="nil"/>
              <w:right w:val="nil"/>
            </w:tcBorders>
            <w:noWrap/>
            <w:vAlign w:val="center"/>
          </w:tcPr>
          <w:p w14:paraId="4AAF02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0.7</w:t>
            </w:r>
          </w:p>
        </w:tc>
      </w:tr>
      <w:tr w14:paraId="69540E6D">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3AB0102B">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0F6917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Blood Glucose, mmol/L</w:t>
            </w:r>
          </w:p>
        </w:tc>
        <w:tc>
          <w:tcPr>
            <w:tcW w:w="717" w:type="pct"/>
            <w:tcBorders>
              <w:top w:val="nil"/>
              <w:left w:val="nil"/>
              <w:bottom w:val="nil"/>
              <w:right w:val="nil"/>
            </w:tcBorders>
            <w:noWrap/>
            <w:vAlign w:val="center"/>
          </w:tcPr>
          <w:p w14:paraId="4DB4168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4.99 (4.69-5.49)</w:t>
            </w:r>
          </w:p>
        </w:tc>
        <w:tc>
          <w:tcPr>
            <w:tcW w:w="717" w:type="pct"/>
            <w:tcBorders>
              <w:top w:val="nil"/>
              <w:left w:val="nil"/>
              <w:bottom w:val="nil"/>
              <w:right w:val="nil"/>
            </w:tcBorders>
            <w:noWrap/>
            <w:vAlign w:val="center"/>
          </w:tcPr>
          <w:p w14:paraId="10D0E4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5.07 (4.75-5.40)</w:t>
            </w:r>
          </w:p>
        </w:tc>
        <w:tc>
          <w:tcPr>
            <w:tcW w:w="717" w:type="pct"/>
            <w:tcBorders>
              <w:top w:val="nil"/>
              <w:left w:val="nil"/>
              <w:bottom w:val="nil"/>
              <w:right w:val="nil"/>
            </w:tcBorders>
            <w:noWrap/>
            <w:vAlign w:val="center"/>
          </w:tcPr>
          <w:p w14:paraId="38D809F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5.26 (4.99-5.78)</w:t>
            </w:r>
          </w:p>
        </w:tc>
        <w:tc>
          <w:tcPr>
            <w:tcW w:w="717" w:type="pct"/>
            <w:tcBorders>
              <w:top w:val="nil"/>
              <w:left w:val="nil"/>
              <w:bottom w:val="nil"/>
              <w:right w:val="nil"/>
            </w:tcBorders>
            <w:noWrap/>
            <w:vAlign w:val="center"/>
          </w:tcPr>
          <w:p w14:paraId="5302C6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5.45 (5.14-5.96)</w:t>
            </w:r>
          </w:p>
        </w:tc>
        <w:tc>
          <w:tcPr>
            <w:tcW w:w="285" w:type="pct"/>
            <w:tcBorders>
              <w:top w:val="nil"/>
              <w:left w:val="nil"/>
              <w:bottom w:val="nil"/>
              <w:right w:val="nil"/>
            </w:tcBorders>
            <w:noWrap/>
            <w:vAlign w:val="center"/>
          </w:tcPr>
          <w:p w14:paraId="2C76EC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0.567</w:t>
            </w:r>
          </w:p>
        </w:tc>
      </w:tr>
      <w:tr w14:paraId="5508E752">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58BA5E3D">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00BE208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Creatinine, µmol/L</w:t>
            </w:r>
          </w:p>
        </w:tc>
        <w:tc>
          <w:tcPr>
            <w:tcW w:w="717" w:type="pct"/>
            <w:tcBorders>
              <w:top w:val="nil"/>
              <w:left w:val="nil"/>
              <w:bottom w:val="nil"/>
              <w:right w:val="nil"/>
            </w:tcBorders>
            <w:noWrap/>
            <w:vAlign w:val="center"/>
          </w:tcPr>
          <w:p w14:paraId="18F3ABA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71.00 (64.00-75.00)</w:t>
            </w:r>
          </w:p>
        </w:tc>
        <w:tc>
          <w:tcPr>
            <w:tcW w:w="717" w:type="pct"/>
            <w:tcBorders>
              <w:top w:val="nil"/>
              <w:left w:val="nil"/>
              <w:bottom w:val="nil"/>
              <w:right w:val="nil"/>
            </w:tcBorders>
            <w:noWrap/>
            <w:vAlign w:val="center"/>
          </w:tcPr>
          <w:p w14:paraId="570BC9E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71.00 (64.00-75.00)</w:t>
            </w:r>
          </w:p>
        </w:tc>
        <w:tc>
          <w:tcPr>
            <w:tcW w:w="717" w:type="pct"/>
            <w:tcBorders>
              <w:top w:val="nil"/>
              <w:left w:val="nil"/>
              <w:bottom w:val="nil"/>
              <w:right w:val="nil"/>
            </w:tcBorders>
            <w:noWrap/>
            <w:vAlign w:val="center"/>
          </w:tcPr>
          <w:p w14:paraId="7A4D91C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68.00 (61.00-75.00)</w:t>
            </w:r>
          </w:p>
        </w:tc>
        <w:tc>
          <w:tcPr>
            <w:tcW w:w="717" w:type="pct"/>
            <w:tcBorders>
              <w:top w:val="nil"/>
              <w:left w:val="nil"/>
              <w:bottom w:val="nil"/>
              <w:right w:val="nil"/>
            </w:tcBorders>
            <w:noWrap/>
            <w:vAlign w:val="center"/>
          </w:tcPr>
          <w:p w14:paraId="0CDE3BD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67.00 (61.00-73.00)</w:t>
            </w:r>
          </w:p>
        </w:tc>
        <w:tc>
          <w:tcPr>
            <w:tcW w:w="285" w:type="pct"/>
            <w:tcBorders>
              <w:top w:val="nil"/>
              <w:left w:val="nil"/>
              <w:bottom w:val="nil"/>
              <w:right w:val="nil"/>
            </w:tcBorders>
            <w:noWrap/>
            <w:vAlign w:val="center"/>
          </w:tcPr>
          <w:p w14:paraId="44AA519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0.959</w:t>
            </w:r>
          </w:p>
        </w:tc>
      </w:tr>
      <w:tr w14:paraId="7B7A9845">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519F09FB">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HIV-related indicators</w:t>
            </w:r>
          </w:p>
        </w:tc>
        <w:tc>
          <w:tcPr>
            <w:tcW w:w="1056" w:type="pct"/>
            <w:tcBorders>
              <w:top w:val="nil"/>
              <w:left w:val="nil"/>
              <w:bottom w:val="nil"/>
              <w:right w:val="nil"/>
            </w:tcBorders>
            <w:noWrap/>
            <w:vAlign w:val="center"/>
          </w:tcPr>
          <w:p w14:paraId="5D4ED02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 cell count at baseline, cells/μL</w:t>
            </w:r>
          </w:p>
        </w:tc>
        <w:tc>
          <w:tcPr>
            <w:tcW w:w="717" w:type="pct"/>
            <w:tcBorders>
              <w:top w:val="nil"/>
              <w:left w:val="nil"/>
              <w:bottom w:val="nil"/>
              <w:right w:val="nil"/>
            </w:tcBorders>
            <w:noWrap/>
            <w:vAlign w:val="center"/>
          </w:tcPr>
          <w:p w14:paraId="3395411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350.00 (246.83-449.57)</w:t>
            </w:r>
          </w:p>
        </w:tc>
        <w:tc>
          <w:tcPr>
            <w:tcW w:w="717" w:type="pct"/>
            <w:tcBorders>
              <w:top w:val="nil"/>
              <w:left w:val="nil"/>
              <w:bottom w:val="nil"/>
              <w:right w:val="nil"/>
            </w:tcBorders>
            <w:noWrap/>
            <w:vAlign w:val="center"/>
          </w:tcPr>
          <w:p w14:paraId="7FEDE02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310.00 (248.13-461.00)</w:t>
            </w:r>
          </w:p>
        </w:tc>
        <w:tc>
          <w:tcPr>
            <w:tcW w:w="717" w:type="pct"/>
            <w:tcBorders>
              <w:top w:val="nil"/>
              <w:left w:val="nil"/>
              <w:bottom w:val="nil"/>
              <w:right w:val="nil"/>
            </w:tcBorders>
            <w:noWrap/>
            <w:vAlign w:val="center"/>
          </w:tcPr>
          <w:p w14:paraId="63BDDE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327.00 (236.00-473.00)</w:t>
            </w:r>
          </w:p>
        </w:tc>
        <w:tc>
          <w:tcPr>
            <w:tcW w:w="717" w:type="pct"/>
            <w:tcBorders>
              <w:top w:val="nil"/>
              <w:left w:val="nil"/>
              <w:bottom w:val="nil"/>
              <w:right w:val="nil"/>
            </w:tcBorders>
            <w:noWrap/>
            <w:vAlign w:val="center"/>
          </w:tcPr>
          <w:p w14:paraId="060487E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335.00 (208.00-490.00)</w:t>
            </w:r>
          </w:p>
        </w:tc>
        <w:tc>
          <w:tcPr>
            <w:tcW w:w="285" w:type="pct"/>
            <w:tcBorders>
              <w:top w:val="nil"/>
              <w:left w:val="nil"/>
              <w:bottom w:val="nil"/>
              <w:right w:val="nil"/>
            </w:tcBorders>
            <w:noWrap/>
            <w:vAlign w:val="center"/>
          </w:tcPr>
          <w:p w14:paraId="76DF9C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r>
      <w:tr w14:paraId="3F1C8078">
        <w:tblPrEx>
          <w:tblCellMar>
            <w:top w:w="0" w:type="dxa"/>
            <w:left w:w="108" w:type="dxa"/>
            <w:bottom w:w="0" w:type="dxa"/>
            <w:right w:w="108" w:type="dxa"/>
          </w:tblCellMar>
        </w:tblPrEx>
        <w:trPr>
          <w:trHeight w:val="300" w:hRule="atLeast"/>
        </w:trPr>
        <w:tc>
          <w:tcPr>
            <w:tcW w:w="788" w:type="pct"/>
            <w:tcBorders>
              <w:top w:val="nil"/>
              <w:left w:val="nil"/>
              <w:bottom w:val="nil"/>
              <w:right w:val="nil"/>
            </w:tcBorders>
            <w:noWrap/>
            <w:vAlign w:val="center"/>
          </w:tcPr>
          <w:p w14:paraId="2930787E">
            <w:pPr>
              <w:jc w:val="center"/>
              <w:rPr>
                <w:rFonts w:ascii="Times New Roman" w:hAnsi="Times New Roman" w:eastAsia="宋体" w:cs="Times New Roman"/>
                <w:color w:val="000000"/>
                <w:sz w:val="18"/>
                <w:szCs w:val="18"/>
              </w:rPr>
            </w:pPr>
          </w:p>
        </w:tc>
        <w:tc>
          <w:tcPr>
            <w:tcW w:w="1056" w:type="pct"/>
            <w:tcBorders>
              <w:top w:val="nil"/>
              <w:left w:val="nil"/>
              <w:bottom w:val="nil"/>
              <w:right w:val="nil"/>
            </w:tcBorders>
            <w:noWrap/>
            <w:vAlign w:val="center"/>
          </w:tcPr>
          <w:p w14:paraId="438B43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CD4/CD8 ratio at baseline</w:t>
            </w:r>
          </w:p>
        </w:tc>
        <w:tc>
          <w:tcPr>
            <w:tcW w:w="717" w:type="pct"/>
            <w:tcBorders>
              <w:top w:val="nil"/>
              <w:left w:val="nil"/>
              <w:bottom w:val="nil"/>
              <w:right w:val="nil"/>
            </w:tcBorders>
            <w:noWrap/>
            <w:vAlign w:val="center"/>
          </w:tcPr>
          <w:p w14:paraId="509B1C2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0.37 (0.22-0.48)</w:t>
            </w:r>
          </w:p>
        </w:tc>
        <w:tc>
          <w:tcPr>
            <w:tcW w:w="717" w:type="pct"/>
            <w:tcBorders>
              <w:top w:val="nil"/>
              <w:left w:val="nil"/>
              <w:bottom w:val="nil"/>
              <w:right w:val="nil"/>
            </w:tcBorders>
            <w:noWrap/>
            <w:vAlign w:val="center"/>
          </w:tcPr>
          <w:p w14:paraId="69941C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0.31 (0.25-0.53)</w:t>
            </w:r>
          </w:p>
        </w:tc>
        <w:tc>
          <w:tcPr>
            <w:tcW w:w="717" w:type="pct"/>
            <w:tcBorders>
              <w:top w:val="nil"/>
              <w:left w:val="nil"/>
              <w:bottom w:val="nil"/>
              <w:right w:val="nil"/>
            </w:tcBorders>
            <w:noWrap/>
            <w:vAlign w:val="center"/>
          </w:tcPr>
          <w:p w14:paraId="720A99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0.34 (0.24-0.55)</w:t>
            </w:r>
          </w:p>
        </w:tc>
        <w:tc>
          <w:tcPr>
            <w:tcW w:w="717" w:type="pct"/>
            <w:tcBorders>
              <w:top w:val="nil"/>
              <w:left w:val="nil"/>
              <w:bottom w:val="nil"/>
              <w:right w:val="nil"/>
            </w:tcBorders>
            <w:noWrap/>
            <w:vAlign w:val="center"/>
          </w:tcPr>
          <w:p w14:paraId="1B9EA7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0.32 (0.24-0.54)</w:t>
            </w:r>
          </w:p>
        </w:tc>
        <w:tc>
          <w:tcPr>
            <w:tcW w:w="285" w:type="pct"/>
            <w:tcBorders>
              <w:top w:val="nil"/>
              <w:left w:val="nil"/>
              <w:bottom w:val="nil"/>
              <w:right w:val="nil"/>
            </w:tcBorders>
            <w:noWrap/>
            <w:vAlign w:val="center"/>
          </w:tcPr>
          <w:p w14:paraId="30942A0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r>
      <w:tr w14:paraId="5C4E391F">
        <w:tblPrEx>
          <w:tblCellMar>
            <w:top w:w="0" w:type="dxa"/>
            <w:left w:w="108" w:type="dxa"/>
            <w:bottom w:w="0" w:type="dxa"/>
            <w:right w:w="108" w:type="dxa"/>
          </w:tblCellMar>
        </w:tblPrEx>
        <w:trPr>
          <w:trHeight w:val="300" w:hRule="atLeast"/>
        </w:trPr>
        <w:tc>
          <w:tcPr>
            <w:tcW w:w="788" w:type="pct"/>
            <w:tcBorders>
              <w:top w:val="nil"/>
              <w:left w:val="nil"/>
              <w:bottom w:val="single" w:color="000000" w:sz="12" w:space="0"/>
              <w:right w:val="nil"/>
            </w:tcBorders>
            <w:noWrap/>
            <w:vAlign w:val="center"/>
          </w:tcPr>
          <w:p w14:paraId="43794B18">
            <w:pPr>
              <w:jc w:val="center"/>
              <w:rPr>
                <w:rFonts w:ascii="Times New Roman" w:hAnsi="Times New Roman" w:eastAsia="宋体" w:cs="Times New Roman"/>
                <w:color w:val="000000"/>
                <w:sz w:val="18"/>
                <w:szCs w:val="18"/>
              </w:rPr>
            </w:pPr>
          </w:p>
        </w:tc>
        <w:tc>
          <w:tcPr>
            <w:tcW w:w="1056" w:type="pct"/>
            <w:tcBorders>
              <w:top w:val="nil"/>
              <w:left w:val="nil"/>
              <w:bottom w:val="single" w:color="000000" w:sz="12" w:space="0"/>
              <w:right w:val="nil"/>
            </w:tcBorders>
            <w:noWrap/>
            <w:vAlign w:val="center"/>
          </w:tcPr>
          <w:p w14:paraId="1F42A6D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Plasma HIV-1 RNA at baseline, copies/mL</w:t>
            </w:r>
          </w:p>
        </w:tc>
        <w:tc>
          <w:tcPr>
            <w:tcW w:w="717" w:type="pct"/>
            <w:tcBorders>
              <w:top w:val="nil"/>
              <w:left w:val="nil"/>
              <w:bottom w:val="single" w:color="000000" w:sz="12" w:space="0"/>
              <w:right w:val="nil"/>
            </w:tcBorders>
            <w:noWrap/>
            <w:vAlign w:val="center"/>
          </w:tcPr>
          <w:p w14:paraId="5B077F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17208.00 (4565.00-70656.00)</w:t>
            </w:r>
          </w:p>
        </w:tc>
        <w:tc>
          <w:tcPr>
            <w:tcW w:w="717" w:type="pct"/>
            <w:tcBorders>
              <w:top w:val="nil"/>
              <w:left w:val="nil"/>
              <w:bottom w:val="single" w:color="000000" w:sz="12" w:space="0"/>
              <w:right w:val="nil"/>
            </w:tcBorders>
            <w:noWrap/>
            <w:vAlign w:val="center"/>
          </w:tcPr>
          <w:p w14:paraId="49A462C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15720.00 (4193.00-45673.00)</w:t>
            </w:r>
          </w:p>
        </w:tc>
        <w:tc>
          <w:tcPr>
            <w:tcW w:w="717" w:type="pct"/>
            <w:tcBorders>
              <w:top w:val="nil"/>
              <w:left w:val="nil"/>
              <w:bottom w:val="single" w:color="000000" w:sz="12" w:space="0"/>
              <w:right w:val="nil"/>
            </w:tcBorders>
            <w:noWrap/>
            <w:vAlign w:val="center"/>
          </w:tcPr>
          <w:p w14:paraId="426E9E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10111.00 (5026.00-51142.00)</w:t>
            </w:r>
          </w:p>
        </w:tc>
        <w:tc>
          <w:tcPr>
            <w:tcW w:w="717" w:type="pct"/>
            <w:tcBorders>
              <w:top w:val="nil"/>
              <w:left w:val="nil"/>
              <w:bottom w:val="single" w:color="000000" w:sz="12" w:space="0"/>
              <w:right w:val="nil"/>
            </w:tcBorders>
            <w:noWrap/>
            <w:vAlign w:val="center"/>
          </w:tcPr>
          <w:p w14:paraId="28BF7F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21320.00 (3438.00-62045.00)</w:t>
            </w:r>
          </w:p>
        </w:tc>
        <w:tc>
          <w:tcPr>
            <w:tcW w:w="285" w:type="pct"/>
            <w:tcBorders>
              <w:top w:val="nil"/>
              <w:left w:val="nil"/>
              <w:bottom w:val="single" w:color="000000" w:sz="12" w:space="0"/>
              <w:right w:val="nil"/>
            </w:tcBorders>
            <w:noWrap/>
            <w:vAlign w:val="center"/>
          </w:tcPr>
          <w:p w14:paraId="5591FAC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0.222</w:t>
            </w:r>
          </w:p>
        </w:tc>
      </w:tr>
    </w:tbl>
    <w:p w14:paraId="3FF24722">
      <w:pPr>
        <w:spacing w:line="480" w:lineRule="auto"/>
        <w:rPr>
          <w:rFonts w:ascii="Times New Roman" w:hAnsi="Times New Roman" w:cs="Times New Roman"/>
          <w:i/>
          <w:iCs/>
          <w:sz w:val="24"/>
          <w:szCs w:val="24"/>
        </w:rPr>
      </w:pPr>
    </w:p>
    <w:p w14:paraId="4C9FBA45">
      <w:pPr>
        <w:pStyle w:val="4"/>
        <w:spacing w:before="0" w:after="0" w:line="480" w:lineRule="auto"/>
        <w:rPr>
          <w:rFonts w:ascii="Times New Roman" w:hAnsi="Times New Roman" w:cs="Times New Roman"/>
          <w:sz w:val="24"/>
          <w:szCs w:val="24"/>
        </w:rPr>
      </w:pPr>
      <w:r>
        <w:rPr>
          <w:rFonts w:hint="eastAsia" w:ascii="Times New Roman" w:hAnsi="Times New Roman" w:cs="Times New Roman"/>
          <w:sz w:val="24"/>
          <w:szCs w:val="24"/>
        </w:rPr>
        <w:t>Clinical Outcomes</w:t>
      </w:r>
    </w:p>
    <w:p w14:paraId="26B9B785">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(1) CD4+ Cell Count Recovery</w:t>
      </w:r>
    </w:p>
    <w:p w14:paraId="3DC2239C">
      <w:pPr>
        <w:spacing w:line="480" w:lineRule="auto"/>
        <w:ind w:firstLine="482" w:firstLineChars="200"/>
        <w:rPr>
          <w:rFonts w:ascii="Times New Roman" w:hAnsi="Times New Roman" w:eastAsia="黑体" w:cs="Times New Roman"/>
          <w:sz w:val="24"/>
          <w:szCs w:val="24"/>
        </w:rPr>
      </w:pPr>
      <w:r>
        <w:rPr>
          <w:rFonts w:hint="eastAsia" w:ascii="Times New Roman" w:hAnsi="Times New Roman" w:eastAsia="黑体" w:cs="Times New Roman"/>
          <w:b/>
          <w:bCs/>
          <w:sz w:val="24"/>
          <w:szCs w:val="24"/>
        </w:rPr>
        <w:t>Appendix Table 17</w:t>
      </w:r>
      <w:r>
        <w:rPr>
          <w:rFonts w:hint="eastAsia" w:ascii="Times New Roman" w:hAnsi="Times New Roman" w:eastAsia="黑体" w:cs="Times New Roman"/>
          <w:sz w:val="24"/>
          <w:szCs w:val="24"/>
        </w:rPr>
        <w:t xml:space="preserve"> presented the longitudinal immunological and virological outcomes for both the Intention-to-Treat (ITT) and Per-Protocol (PP) populations. The analysis of CD4+ cell counts in the PP dataset (Table 17B) closely corroborated the findings from the primary ITT analysis (Table 17A). At baseline, no significant differences in median CD4+ counts were observed between rapid and non-rapid initiation groups within each regimen in the PP cohort.</w:t>
      </w:r>
    </w:p>
    <w:p w14:paraId="5BDCFDA6">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By week 48, the numerical trends favored rapid initiation in both regimens, although these differences did not reach statistical significance, which was consistent with the ITT results. The between-regimen comparison at week 48 was significant, showing an advantage for BIC over EFV in the non-rapid initiation arm.</w:t>
      </w:r>
    </w:p>
    <w:p w14:paraId="47FBAB50">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By week 96, the key findings from the ITT analysis were precisely replicated in the PP population. The difference in CD4+ recovery between rapid and non-rapid initiation became statistically significant and substantial in the EFV group, while the counts in the BIC groups remained nearly identical between initiation strategies. Furthermore, the significant advantage of BIC over EFV in the non-rapid initiation setting was confirmed in the PP analysis.</w:t>
      </w:r>
    </w:p>
    <w:p w14:paraId="1CE7E605">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(2) Virologic Suppression</w:t>
      </w:r>
    </w:p>
    <w:p w14:paraId="07700C03">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Virologic outcomes, as measured by the proportion with plasma HIV-1 RNA &lt; 50 copies/mL, were detailed in Tables 17C (ITT) and 17D (PP). In both datasets, virologic suppression rates were high across all groups at weeks 48 and 96, with no statistically significant differences observed between rapid and non-rapid initiation within either regimen at any time point. Similarly, between-regimen comparisons showed no significant differences in suppression rates.</w:t>
      </w:r>
    </w:p>
    <w:p w14:paraId="7089796C">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(3) Comparative Analysis</w:t>
      </w:r>
    </w:p>
    <w:p w14:paraId="65041620">
      <w:pPr>
        <w:spacing w:line="480"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 xml:space="preserve">The results from the supplementary PP analysis in </w:t>
      </w:r>
      <w:r>
        <w:rPr>
          <w:rFonts w:ascii="Times New Roman" w:hAnsi="Times New Roman" w:eastAsia="黑体" w:cs="Times New Roman"/>
          <w:b/>
          <w:bCs/>
          <w:sz w:val="24"/>
          <w:szCs w:val="24"/>
        </w:rPr>
        <w:t>Appendix Table 17</w:t>
      </w:r>
      <w:r>
        <w:rPr>
          <w:rFonts w:ascii="Times New Roman" w:hAnsi="Times New Roman" w:eastAsia="黑体" w:cs="Times New Roman"/>
          <w:sz w:val="24"/>
          <w:szCs w:val="24"/>
        </w:rPr>
        <w:t xml:space="preserve"> demonstrated remarkable consistency with the primary ITT findings described in the main text. The central conclusions regarding immunological recovery were robustly supported across both analytic sets. The significant benefit of rapid initiation on CD4+ recovery at week 96 in the EFV group was identical in both the ITT and PP analyses, underscoring the robustness of this finding. The lack of a significant effect of initiation timing on CD4+ outcomes for the BIC regimen was confirmed in the protocol-adherent PP population. Furthermore, the significant superiority of BIC over EFV in the non-rapid initiation context was also perfectly replicated in the PP dataset. The high and comparable rates of virologic suppression across all groups were confirmed in the PP analysis.</w:t>
      </w:r>
    </w:p>
    <w:p w14:paraId="68D1A70F">
      <w:pPr>
        <w:spacing w:line="480"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This concordance between the ITT and PP datasets strengthened the validity of the study's conclusions, indicating that the observed effects on immunological recovery were not driven by protocol deviations and were a reliable reflection of the treatment strategies.</w:t>
      </w:r>
    </w:p>
    <w:p w14:paraId="4E02D7B2">
      <w:pPr>
        <w:pStyle w:val="4"/>
        <w:spacing w:before="0" w:after="0" w:line="480" w:lineRule="auto"/>
        <w:jc w:val="center"/>
        <w:rPr>
          <w:rFonts w:ascii="Times New Roman" w:hAnsi="Times New Roman" w:cs="Times New Roman"/>
          <w:bCs/>
          <w:sz w:val="24"/>
          <w:szCs w:val="24"/>
        </w:rPr>
      </w:pPr>
      <w:bookmarkStart w:id="50" w:name="_Toc216103927"/>
      <w:r>
        <w:rPr>
          <w:rFonts w:ascii="Times New Roman" w:hAnsi="Times New Roman" w:cs="Times New Roman"/>
          <w:bCs/>
          <w:sz w:val="24"/>
          <w:szCs w:val="24"/>
        </w:rPr>
        <w:t xml:space="preserve">Appendix Table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SEQ Appendix_Table \* ARABIC </w:instrText>
      </w:r>
      <w:r>
        <w:rPr>
          <w:rFonts w:ascii="Times New Roman" w:hAnsi="Times New Roman" w:cs="Times New Roman"/>
          <w:bCs/>
          <w:sz w:val="24"/>
          <w:szCs w:val="24"/>
        </w:rPr>
        <w:fldChar w:fldCharType="separate"/>
      </w:r>
      <w:r>
        <w:rPr>
          <w:rFonts w:ascii="Times New Roman" w:hAnsi="Times New Roman" w:cs="Times New Roman"/>
          <w:bCs/>
          <w:sz w:val="24"/>
          <w:szCs w:val="24"/>
        </w:rPr>
        <w:t>17</w:t>
      </w:r>
      <w:r>
        <w:rPr>
          <w:rFonts w:ascii="Times New Roman" w:hAnsi="Times New Roman" w:cs="Times New Roman"/>
          <w:bCs/>
          <w:sz w:val="24"/>
          <w:szCs w:val="24"/>
        </w:rPr>
        <w:fldChar w:fldCharType="end"/>
      </w:r>
      <w:r>
        <w:rPr>
          <w:rFonts w:hint="eastAsia" w:ascii="Times New Roman" w:hAnsi="Times New Roman" w:cs="Times New Roman"/>
          <w:bCs/>
          <w:sz w:val="24"/>
          <w:szCs w:val="24"/>
        </w:rPr>
        <w:t xml:space="preserve"> </w:t>
      </w:r>
      <w:r>
        <w:rPr>
          <w:rFonts w:hint="eastAsia" w:ascii="Times New Roman" w:hAnsi="Times New Roman" w:cs="Times New Roman"/>
          <w:sz w:val="24"/>
          <w:szCs w:val="24"/>
        </w:rPr>
        <w:t>Clinical outcomes of CD4+ T-cell Counts and Plasma HIV-1 RNA in ITT and PP datasets</w:t>
      </w:r>
      <w:bookmarkEnd w:id="50"/>
    </w:p>
    <w:tbl>
      <w:tblPr>
        <w:tblStyle w:val="11"/>
        <w:tblW w:w="5000" w:type="pct"/>
        <w:tblInd w:w="0" w:type="dxa"/>
        <w:tblLayout w:type="autofit"/>
        <w:tblCellMar>
          <w:top w:w="0" w:type="dxa"/>
          <w:left w:w="108" w:type="dxa"/>
          <w:bottom w:w="0" w:type="dxa"/>
          <w:right w:w="108" w:type="dxa"/>
        </w:tblCellMar>
      </w:tblPr>
      <w:tblGrid>
        <w:gridCol w:w="2146"/>
        <w:gridCol w:w="1940"/>
        <w:gridCol w:w="1940"/>
        <w:gridCol w:w="1329"/>
        <w:gridCol w:w="1167"/>
      </w:tblGrid>
      <w:tr w14:paraId="175E6EA9">
        <w:trPr>
          <w:trHeight w:val="570" w:hRule="atLeast"/>
        </w:trPr>
        <w:tc>
          <w:tcPr>
            <w:tcW w:w="5000" w:type="pct"/>
            <w:gridSpan w:val="5"/>
            <w:tcBorders>
              <w:top w:val="nil"/>
              <w:left w:val="nil"/>
              <w:bottom w:val="single" w:color="000000" w:sz="12" w:space="0"/>
              <w:right w:val="nil"/>
            </w:tcBorders>
            <w:vAlign w:val="center"/>
          </w:tcPr>
          <w:p w14:paraId="5E199B0F">
            <w:pPr>
              <w:jc w:val="left"/>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(A) CD4+ Cell Counts, cells/μL (ITT dataset)</w:t>
            </w:r>
          </w:p>
        </w:tc>
      </w:tr>
      <w:tr w14:paraId="2D1D249B">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8" w:space="0"/>
              <w:right w:val="nil"/>
            </w:tcBorders>
            <w:noWrap/>
            <w:vAlign w:val="center"/>
          </w:tcPr>
          <w:p w14:paraId="1CC8059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Baseline</w:t>
            </w:r>
          </w:p>
        </w:tc>
        <w:tc>
          <w:tcPr>
            <w:tcW w:w="878" w:type="pct"/>
            <w:tcBorders>
              <w:top w:val="single" w:color="000000" w:sz="12" w:space="0"/>
              <w:left w:val="nil"/>
              <w:bottom w:val="single" w:color="000000" w:sz="8" w:space="0"/>
              <w:right w:val="nil"/>
            </w:tcBorders>
            <w:vAlign w:val="center"/>
          </w:tcPr>
          <w:p w14:paraId="408A39AF">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8" w:space="0"/>
              <w:right w:val="nil"/>
            </w:tcBorders>
            <w:vAlign w:val="center"/>
          </w:tcPr>
          <w:p w14:paraId="11D3B64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8" w:space="0"/>
              <w:right w:val="nil"/>
            </w:tcBorders>
            <w:vAlign w:val="center"/>
          </w:tcPr>
          <w:p w14:paraId="0204BB7B">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8" w:space="0"/>
              <w:right w:val="nil"/>
            </w:tcBorders>
            <w:noWrap/>
            <w:vAlign w:val="center"/>
          </w:tcPr>
          <w:p w14:paraId="0A99109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0A903C1F">
        <w:tblPrEx>
          <w:tblCellMar>
            <w:top w:w="0" w:type="dxa"/>
            <w:left w:w="108" w:type="dxa"/>
            <w:bottom w:w="0" w:type="dxa"/>
            <w:right w:w="108" w:type="dxa"/>
          </w:tblCellMar>
        </w:tblPrEx>
        <w:trPr>
          <w:trHeight w:val="600" w:hRule="atLeast"/>
        </w:trPr>
        <w:tc>
          <w:tcPr>
            <w:tcW w:w="2090" w:type="pct"/>
            <w:tcBorders>
              <w:top w:val="single" w:color="000000" w:sz="8" w:space="0"/>
              <w:left w:val="nil"/>
              <w:bottom w:val="nil"/>
              <w:right w:val="nil"/>
            </w:tcBorders>
            <w:noWrap/>
            <w:vAlign w:val="center"/>
          </w:tcPr>
          <w:p w14:paraId="521212EF">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single" w:color="000000" w:sz="8" w:space="0"/>
              <w:left w:val="nil"/>
              <w:bottom w:val="nil"/>
              <w:right w:val="nil"/>
            </w:tcBorders>
            <w:vAlign w:val="center"/>
          </w:tcPr>
          <w:p w14:paraId="1A6D341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350.51</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(315.00-414.00)</w:t>
            </w:r>
          </w:p>
        </w:tc>
        <w:tc>
          <w:tcPr>
            <w:tcW w:w="878" w:type="pct"/>
            <w:tcBorders>
              <w:top w:val="single" w:color="000000" w:sz="8" w:space="0"/>
              <w:left w:val="nil"/>
              <w:bottom w:val="nil"/>
              <w:right w:val="nil"/>
            </w:tcBorders>
            <w:vAlign w:val="center"/>
          </w:tcPr>
          <w:p w14:paraId="6A74A05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340.00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(313.00-393.00)</w:t>
            </w:r>
          </w:p>
        </w:tc>
        <w:tc>
          <w:tcPr>
            <w:tcW w:w="612" w:type="pct"/>
            <w:tcBorders>
              <w:top w:val="single" w:color="000000" w:sz="8" w:space="0"/>
              <w:left w:val="nil"/>
              <w:bottom w:val="nil"/>
              <w:right w:val="nil"/>
            </w:tcBorders>
            <w:noWrap/>
            <w:vAlign w:val="center"/>
          </w:tcPr>
          <w:p w14:paraId="1738DE3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10.51</w:t>
            </w:r>
          </w:p>
        </w:tc>
        <w:tc>
          <w:tcPr>
            <w:tcW w:w="541" w:type="pct"/>
            <w:tcBorders>
              <w:top w:val="single" w:color="000000" w:sz="8" w:space="0"/>
              <w:left w:val="nil"/>
              <w:bottom w:val="nil"/>
              <w:right w:val="nil"/>
            </w:tcBorders>
            <w:noWrap/>
            <w:vAlign w:val="center"/>
          </w:tcPr>
          <w:p w14:paraId="7BB2847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0.966</w:t>
            </w:r>
          </w:p>
        </w:tc>
      </w:tr>
      <w:tr w14:paraId="77D283C2">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5A5F2CF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104D6A1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334.00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(294.00-428.80)</w:t>
            </w:r>
          </w:p>
        </w:tc>
        <w:tc>
          <w:tcPr>
            <w:tcW w:w="878" w:type="pct"/>
            <w:tcBorders>
              <w:top w:val="nil"/>
              <w:left w:val="nil"/>
              <w:bottom w:val="nil"/>
              <w:right w:val="nil"/>
            </w:tcBorders>
            <w:vAlign w:val="center"/>
          </w:tcPr>
          <w:p w14:paraId="04EC6E3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328.00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(269.00-424.00)</w:t>
            </w:r>
          </w:p>
        </w:tc>
        <w:tc>
          <w:tcPr>
            <w:tcW w:w="612" w:type="pct"/>
            <w:tcBorders>
              <w:top w:val="nil"/>
              <w:left w:val="nil"/>
              <w:bottom w:val="nil"/>
              <w:right w:val="nil"/>
            </w:tcBorders>
            <w:noWrap/>
            <w:vAlign w:val="center"/>
          </w:tcPr>
          <w:p w14:paraId="7D4E119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w:t>
            </w:r>
          </w:p>
        </w:tc>
        <w:tc>
          <w:tcPr>
            <w:tcW w:w="541" w:type="pct"/>
            <w:tcBorders>
              <w:top w:val="nil"/>
              <w:left w:val="nil"/>
              <w:bottom w:val="nil"/>
              <w:right w:val="nil"/>
            </w:tcBorders>
            <w:noWrap/>
            <w:vAlign w:val="center"/>
          </w:tcPr>
          <w:p w14:paraId="3705E29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0.664</w:t>
            </w:r>
          </w:p>
        </w:tc>
      </w:tr>
      <w:tr w14:paraId="44E95EA7">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62159F9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noWrap/>
            <w:vAlign w:val="center"/>
          </w:tcPr>
          <w:p w14:paraId="72973B5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16.51</w:t>
            </w:r>
          </w:p>
        </w:tc>
        <w:tc>
          <w:tcPr>
            <w:tcW w:w="878" w:type="pct"/>
            <w:tcBorders>
              <w:top w:val="nil"/>
              <w:left w:val="nil"/>
              <w:bottom w:val="nil"/>
              <w:right w:val="nil"/>
            </w:tcBorders>
            <w:noWrap/>
            <w:vAlign w:val="center"/>
          </w:tcPr>
          <w:p w14:paraId="2ECC654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12</w:t>
            </w:r>
          </w:p>
        </w:tc>
        <w:tc>
          <w:tcPr>
            <w:tcW w:w="612" w:type="pct"/>
            <w:tcBorders>
              <w:top w:val="nil"/>
              <w:left w:val="nil"/>
              <w:bottom w:val="nil"/>
              <w:right w:val="nil"/>
            </w:tcBorders>
            <w:noWrap/>
            <w:vAlign w:val="center"/>
          </w:tcPr>
          <w:p w14:paraId="725530C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4.51</w:t>
            </w:r>
          </w:p>
        </w:tc>
        <w:tc>
          <w:tcPr>
            <w:tcW w:w="541" w:type="pct"/>
            <w:tcBorders>
              <w:top w:val="nil"/>
              <w:left w:val="nil"/>
              <w:bottom w:val="nil"/>
              <w:right w:val="nil"/>
            </w:tcBorders>
            <w:noWrap/>
            <w:vAlign w:val="center"/>
          </w:tcPr>
          <w:p w14:paraId="493D04AE">
            <w:pPr>
              <w:jc w:val="center"/>
              <w:rPr>
                <w:rFonts w:ascii="Times New Roman" w:hAnsi="Times New Roman" w:eastAsia="宋体" w:cs="Times New Roman"/>
                <w:color w:val="000000"/>
                <w:sz w:val="22"/>
              </w:rPr>
            </w:pPr>
          </w:p>
        </w:tc>
      </w:tr>
      <w:tr w14:paraId="6AA10D92">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47E1058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noWrap/>
            <w:vAlign w:val="center"/>
          </w:tcPr>
          <w:p w14:paraId="1E9E1C9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0.859</w:t>
            </w:r>
          </w:p>
        </w:tc>
        <w:tc>
          <w:tcPr>
            <w:tcW w:w="878" w:type="pct"/>
            <w:tcBorders>
              <w:top w:val="nil"/>
              <w:left w:val="nil"/>
              <w:bottom w:val="single" w:color="000000" w:sz="12" w:space="0"/>
              <w:right w:val="nil"/>
            </w:tcBorders>
            <w:noWrap/>
            <w:vAlign w:val="center"/>
          </w:tcPr>
          <w:p w14:paraId="32BB425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0.692</w:t>
            </w:r>
          </w:p>
        </w:tc>
        <w:tc>
          <w:tcPr>
            <w:tcW w:w="612" w:type="pct"/>
            <w:tcBorders>
              <w:top w:val="nil"/>
              <w:left w:val="nil"/>
              <w:bottom w:val="single" w:color="000000" w:sz="12" w:space="0"/>
              <w:right w:val="nil"/>
            </w:tcBorders>
            <w:noWrap/>
            <w:vAlign w:val="center"/>
          </w:tcPr>
          <w:p w14:paraId="54EDD981">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noWrap/>
            <w:vAlign w:val="center"/>
          </w:tcPr>
          <w:p w14:paraId="43BDFD0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0.6</w:t>
            </w:r>
          </w:p>
        </w:tc>
      </w:tr>
      <w:tr w14:paraId="7DC4BCCB">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nil"/>
              <w:right w:val="nil"/>
            </w:tcBorders>
            <w:noWrap/>
            <w:vAlign w:val="center"/>
          </w:tcPr>
          <w:p w14:paraId="3F9288EF">
            <w:pPr>
              <w:jc w:val="center"/>
              <w:rPr>
                <w:rFonts w:ascii="Times New Roman" w:hAnsi="Times New Roman" w:eastAsia="宋体" w:cs="Times New Roman"/>
                <w:b/>
                <w:bCs/>
                <w:color w:val="000000"/>
                <w:sz w:val="22"/>
              </w:rPr>
            </w:pPr>
          </w:p>
        </w:tc>
        <w:tc>
          <w:tcPr>
            <w:tcW w:w="878" w:type="pct"/>
            <w:tcBorders>
              <w:top w:val="single" w:color="000000" w:sz="12" w:space="0"/>
              <w:left w:val="nil"/>
              <w:bottom w:val="nil"/>
              <w:right w:val="nil"/>
            </w:tcBorders>
            <w:noWrap/>
            <w:vAlign w:val="center"/>
          </w:tcPr>
          <w:p w14:paraId="739C0C11">
            <w:pPr>
              <w:jc w:val="center"/>
              <w:rPr>
                <w:rFonts w:ascii="Times New Roman" w:hAnsi="Times New Roman" w:eastAsia="宋体" w:cs="Times New Roman"/>
                <w:color w:val="000000"/>
                <w:sz w:val="22"/>
              </w:rPr>
            </w:pPr>
          </w:p>
        </w:tc>
        <w:tc>
          <w:tcPr>
            <w:tcW w:w="878" w:type="pct"/>
            <w:tcBorders>
              <w:top w:val="single" w:color="000000" w:sz="12" w:space="0"/>
              <w:left w:val="nil"/>
              <w:bottom w:val="nil"/>
              <w:right w:val="nil"/>
            </w:tcBorders>
            <w:noWrap/>
            <w:vAlign w:val="center"/>
          </w:tcPr>
          <w:p w14:paraId="4487E0CF">
            <w:pPr>
              <w:jc w:val="center"/>
              <w:rPr>
                <w:rFonts w:ascii="Times New Roman" w:hAnsi="Times New Roman" w:eastAsia="宋体" w:cs="Times New Roman"/>
                <w:color w:val="000000"/>
                <w:sz w:val="22"/>
              </w:rPr>
            </w:pPr>
          </w:p>
        </w:tc>
        <w:tc>
          <w:tcPr>
            <w:tcW w:w="612" w:type="pct"/>
            <w:tcBorders>
              <w:top w:val="single" w:color="000000" w:sz="12" w:space="0"/>
              <w:left w:val="nil"/>
              <w:bottom w:val="nil"/>
              <w:right w:val="nil"/>
            </w:tcBorders>
            <w:noWrap/>
            <w:vAlign w:val="center"/>
          </w:tcPr>
          <w:p w14:paraId="2BC85020">
            <w:pPr>
              <w:jc w:val="center"/>
              <w:rPr>
                <w:rFonts w:ascii="Times New Roman" w:hAnsi="Times New Roman" w:eastAsia="宋体" w:cs="Times New Roman"/>
                <w:color w:val="000000"/>
                <w:sz w:val="22"/>
              </w:rPr>
            </w:pPr>
          </w:p>
        </w:tc>
        <w:tc>
          <w:tcPr>
            <w:tcW w:w="541" w:type="pct"/>
            <w:tcBorders>
              <w:top w:val="single" w:color="000000" w:sz="12" w:space="0"/>
              <w:left w:val="nil"/>
              <w:bottom w:val="nil"/>
              <w:right w:val="nil"/>
            </w:tcBorders>
            <w:noWrap/>
            <w:vAlign w:val="center"/>
          </w:tcPr>
          <w:p w14:paraId="3EB696D2">
            <w:pPr>
              <w:jc w:val="center"/>
              <w:rPr>
                <w:rFonts w:ascii="Times New Roman" w:hAnsi="Times New Roman" w:eastAsia="宋体" w:cs="Times New Roman"/>
                <w:color w:val="000000"/>
                <w:sz w:val="22"/>
              </w:rPr>
            </w:pPr>
          </w:p>
        </w:tc>
      </w:tr>
      <w:tr w14:paraId="42ADD3E5">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8" w:space="0"/>
              <w:right w:val="nil"/>
            </w:tcBorders>
            <w:noWrap/>
            <w:vAlign w:val="center"/>
          </w:tcPr>
          <w:p w14:paraId="7F8BB50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48 Week</w:t>
            </w:r>
          </w:p>
        </w:tc>
        <w:tc>
          <w:tcPr>
            <w:tcW w:w="878" w:type="pct"/>
            <w:tcBorders>
              <w:top w:val="single" w:color="000000" w:sz="12" w:space="0"/>
              <w:left w:val="nil"/>
              <w:bottom w:val="single" w:color="000000" w:sz="8" w:space="0"/>
              <w:right w:val="nil"/>
            </w:tcBorders>
            <w:vAlign w:val="center"/>
          </w:tcPr>
          <w:p w14:paraId="2DAC9BFF">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8" w:space="0"/>
              <w:right w:val="nil"/>
            </w:tcBorders>
            <w:vAlign w:val="center"/>
          </w:tcPr>
          <w:p w14:paraId="51E9400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8" w:space="0"/>
              <w:right w:val="nil"/>
            </w:tcBorders>
            <w:vAlign w:val="center"/>
          </w:tcPr>
          <w:p w14:paraId="7C49534E">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8" w:space="0"/>
              <w:right w:val="nil"/>
            </w:tcBorders>
            <w:noWrap/>
            <w:vAlign w:val="center"/>
          </w:tcPr>
          <w:p w14:paraId="240DDB9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43F9ABBA">
        <w:tblPrEx>
          <w:tblCellMar>
            <w:top w:w="0" w:type="dxa"/>
            <w:left w:w="108" w:type="dxa"/>
            <w:bottom w:w="0" w:type="dxa"/>
            <w:right w:w="108" w:type="dxa"/>
          </w:tblCellMar>
        </w:tblPrEx>
        <w:trPr>
          <w:trHeight w:val="600" w:hRule="atLeast"/>
        </w:trPr>
        <w:tc>
          <w:tcPr>
            <w:tcW w:w="2090" w:type="pct"/>
            <w:tcBorders>
              <w:top w:val="single" w:color="000000" w:sz="8" w:space="0"/>
              <w:left w:val="nil"/>
              <w:bottom w:val="nil"/>
              <w:right w:val="nil"/>
            </w:tcBorders>
            <w:noWrap/>
            <w:vAlign w:val="center"/>
          </w:tcPr>
          <w:p w14:paraId="21A6E03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single" w:color="000000" w:sz="8" w:space="0"/>
              <w:left w:val="nil"/>
              <w:bottom w:val="nil"/>
              <w:right w:val="nil"/>
            </w:tcBorders>
            <w:vAlign w:val="center"/>
          </w:tcPr>
          <w:p w14:paraId="19F3962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643.50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589.00-697.00</w:t>
            </w:r>
            <w:r>
              <w:rPr>
                <w:rStyle w:val="24"/>
                <w:rFonts w:hint="default"/>
                <w:lang w:bidi="ar"/>
              </w:rPr>
              <w:t>）</w:t>
            </w:r>
          </w:p>
        </w:tc>
        <w:tc>
          <w:tcPr>
            <w:tcW w:w="878" w:type="pct"/>
            <w:tcBorders>
              <w:top w:val="single" w:color="000000" w:sz="8" w:space="0"/>
              <w:left w:val="nil"/>
              <w:bottom w:val="nil"/>
              <w:right w:val="nil"/>
            </w:tcBorders>
            <w:vAlign w:val="center"/>
          </w:tcPr>
          <w:p w14:paraId="30D38A7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602.00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602.00-698.00</w:t>
            </w:r>
            <w:r>
              <w:rPr>
                <w:rStyle w:val="24"/>
                <w:rFonts w:hint="default"/>
                <w:lang w:bidi="ar"/>
              </w:rPr>
              <w:t>）</w:t>
            </w:r>
          </w:p>
        </w:tc>
        <w:tc>
          <w:tcPr>
            <w:tcW w:w="612" w:type="pct"/>
            <w:tcBorders>
              <w:top w:val="single" w:color="000000" w:sz="8" w:space="0"/>
              <w:left w:val="nil"/>
              <w:bottom w:val="nil"/>
              <w:right w:val="nil"/>
            </w:tcBorders>
            <w:noWrap/>
            <w:vAlign w:val="center"/>
          </w:tcPr>
          <w:p w14:paraId="3E74CC1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41.5</w:t>
            </w:r>
          </w:p>
        </w:tc>
        <w:tc>
          <w:tcPr>
            <w:tcW w:w="541" w:type="pct"/>
            <w:tcBorders>
              <w:top w:val="single" w:color="000000" w:sz="8" w:space="0"/>
              <w:left w:val="nil"/>
              <w:bottom w:val="nil"/>
              <w:right w:val="nil"/>
            </w:tcBorders>
            <w:noWrap/>
            <w:vAlign w:val="center"/>
          </w:tcPr>
          <w:p w14:paraId="21C5FFF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0.284 </w:t>
            </w:r>
          </w:p>
        </w:tc>
      </w:tr>
      <w:tr w14:paraId="1A318FA0">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5C3DE83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4E028A8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567.00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492.00-641.00</w:t>
            </w:r>
            <w:r>
              <w:rPr>
                <w:rStyle w:val="24"/>
                <w:rFonts w:hint="default"/>
                <w:lang w:bidi="ar"/>
              </w:rPr>
              <w:t>）</w:t>
            </w:r>
          </w:p>
        </w:tc>
        <w:tc>
          <w:tcPr>
            <w:tcW w:w="878" w:type="pct"/>
            <w:tcBorders>
              <w:top w:val="nil"/>
              <w:left w:val="nil"/>
              <w:bottom w:val="nil"/>
              <w:right w:val="nil"/>
            </w:tcBorders>
            <w:vAlign w:val="center"/>
          </w:tcPr>
          <w:p w14:paraId="5289433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481.50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481.50-581.00</w:t>
            </w:r>
            <w:r>
              <w:rPr>
                <w:rStyle w:val="24"/>
                <w:rFonts w:hint="default"/>
                <w:lang w:bidi="ar"/>
              </w:rPr>
              <w:t>）</w:t>
            </w:r>
          </w:p>
        </w:tc>
        <w:tc>
          <w:tcPr>
            <w:tcW w:w="612" w:type="pct"/>
            <w:tcBorders>
              <w:top w:val="nil"/>
              <w:left w:val="nil"/>
              <w:bottom w:val="nil"/>
              <w:right w:val="nil"/>
            </w:tcBorders>
            <w:noWrap/>
            <w:vAlign w:val="center"/>
          </w:tcPr>
          <w:p w14:paraId="76E5986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85.5</w:t>
            </w:r>
          </w:p>
        </w:tc>
        <w:tc>
          <w:tcPr>
            <w:tcW w:w="541" w:type="pct"/>
            <w:tcBorders>
              <w:top w:val="nil"/>
              <w:left w:val="nil"/>
              <w:bottom w:val="nil"/>
              <w:right w:val="nil"/>
            </w:tcBorders>
            <w:noWrap/>
            <w:vAlign w:val="center"/>
          </w:tcPr>
          <w:p w14:paraId="6115BE4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0.122 </w:t>
            </w:r>
          </w:p>
        </w:tc>
      </w:tr>
      <w:tr w14:paraId="610AEBFB">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7A5F9AD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noWrap/>
            <w:vAlign w:val="center"/>
          </w:tcPr>
          <w:p w14:paraId="40C3AF9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76.5</w:t>
            </w:r>
          </w:p>
        </w:tc>
        <w:tc>
          <w:tcPr>
            <w:tcW w:w="878" w:type="pct"/>
            <w:tcBorders>
              <w:top w:val="nil"/>
              <w:left w:val="nil"/>
              <w:bottom w:val="nil"/>
              <w:right w:val="nil"/>
            </w:tcBorders>
            <w:noWrap/>
            <w:vAlign w:val="center"/>
          </w:tcPr>
          <w:p w14:paraId="2E337E4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120.5</w:t>
            </w:r>
          </w:p>
        </w:tc>
        <w:tc>
          <w:tcPr>
            <w:tcW w:w="612" w:type="pct"/>
            <w:tcBorders>
              <w:top w:val="nil"/>
              <w:left w:val="nil"/>
              <w:bottom w:val="nil"/>
              <w:right w:val="nil"/>
            </w:tcBorders>
            <w:noWrap/>
            <w:vAlign w:val="center"/>
          </w:tcPr>
          <w:p w14:paraId="08806ED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541" w:type="pct"/>
            <w:tcBorders>
              <w:top w:val="nil"/>
              <w:left w:val="nil"/>
              <w:bottom w:val="nil"/>
              <w:right w:val="nil"/>
            </w:tcBorders>
            <w:noWrap/>
            <w:vAlign w:val="center"/>
          </w:tcPr>
          <w:p w14:paraId="422A04E7">
            <w:pPr>
              <w:jc w:val="center"/>
              <w:rPr>
                <w:rFonts w:ascii="Times New Roman" w:hAnsi="Times New Roman" w:eastAsia="宋体" w:cs="Times New Roman"/>
                <w:color w:val="000000"/>
                <w:sz w:val="22"/>
              </w:rPr>
            </w:pPr>
          </w:p>
        </w:tc>
      </w:tr>
      <w:tr w14:paraId="0A79EEA8">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7B0BE2C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noWrap/>
            <w:vAlign w:val="center"/>
          </w:tcPr>
          <w:p w14:paraId="12071FD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0.206</w:t>
            </w:r>
          </w:p>
        </w:tc>
        <w:tc>
          <w:tcPr>
            <w:tcW w:w="878" w:type="pct"/>
            <w:tcBorders>
              <w:top w:val="nil"/>
              <w:left w:val="nil"/>
              <w:bottom w:val="single" w:color="000000" w:sz="12" w:space="0"/>
              <w:right w:val="nil"/>
            </w:tcBorders>
            <w:noWrap/>
            <w:vAlign w:val="center"/>
          </w:tcPr>
          <w:p w14:paraId="365E570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c>
          <w:tcPr>
            <w:tcW w:w="612" w:type="pct"/>
            <w:tcBorders>
              <w:top w:val="nil"/>
              <w:left w:val="nil"/>
              <w:bottom w:val="single" w:color="000000" w:sz="12" w:space="0"/>
              <w:right w:val="nil"/>
            </w:tcBorders>
            <w:noWrap/>
            <w:vAlign w:val="center"/>
          </w:tcPr>
          <w:p w14:paraId="5C3C5C30">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noWrap/>
            <w:vAlign w:val="center"/>
          </w:tcPr>
          <w:p w14:paraId="12A9785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0.0014**</w:t>
            </w:r>
          </w:p>
        </w:tc>
      </w:tr>
      <w:tr w14:paraId="09725097">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single" w:color="000000" w:sz="12" w:space="0"/>
              <w:right w:val="nil"/>
            </w:tcBorders>
            <w:noWrap/>
            <w:vAlign w:val="center"/>
          </w:tcPr>
          <w:p w14:paraId="02C56918">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6A5D6AD3">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1CD807D5">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26B1456E">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79C158A3">
            <w:pPr>
              <w:jc w:val="center"/>
              <w:rPr>
                <w:rFonts w:ascii="Times New Roman" w:hAnsi="Times New Roman" w:eastAsia="宋体" w:cs="Times New Roman"/>
                <w:color w:val="000000"/>
                <w:sz w:val="22"/>
              </w:rPr>
            </w:pPr>
          </w:p>
        </w:tc>
      </w:tr>
      <w:tr w14:paraId="06EFC0F0">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8" w:space="0"/>
              <w:right w:val="nil"/>
            </w:tcBorders>
            <w:noWrap/>
            <w:vAlign w:val="center"/>
          </w:tcPr>
          <w:p w14:paraId="018A6F9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96 Week</w:t>
            </w:r>
          </w:p>
        </w:tc>
        <w:tc>
          <w:tcPr>
            <w:tcW w:w="878" w:type="pct"/>
            <w:tcBorders>
              <w:top w:val="single" w:color="000000" w:sz="12" w:space="0"/>
              <w:left w:val="nil"/>
              <w:bottom w:val="single" w:color="000000" w:sz="8" w:space="0"/>
              <w:right w:val="nil"/>
            </w:tcBorders>
            <w:vAlign w:val="center"/>
          </w:tcPr>
          <w:p w14:paraId="36E70F2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8" w:space="0"/>
              <w:right w:val="nil"/>
            </w:tcBorders>
            <w:vAlign w:val="center"/>
          </w:tcPr>
          <w:p w14:paraId="593D203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8" w:space="0"/>
              <w:right w:val="nil"/>
            </w:tcBorders>
            <w:vAlign w:val="center"/>
          </w:tcPr>
          <w:p w14:paraId="1909A32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8" w:space="0"/>
              <w:right w:val="nil"/>
            </w:tcBorders>
            <w:noWrap/>
            <w:vAlign w:val="center"/>
          </w:tcPr>
          <w:p w14:paraId="21C468A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721ACF4B">
        <w:tblPrEx>
          <w:tblCellMar>
            <w:top w:w="0" w:type="dxa"/>
            <w:left w:w="108" w:type="dxa"/>
            <w:bottom w:w="0" w:type="dxa"/>
            <w:right w:w="108" w:type="dxa"/>
          </w:tblCellMar>
        </w:tblPrEx>
        <w:trPr>
          <w:trHeight w:val="600" w:hRule="atLeast"/>
        </w:trPr>
        <w:tc>
          <w:tcPr>
            <w:tcW w:w="2090" w:type="pct"/>
            <w:tcBorders>
              <w:top w:val="single" w:color="000000" w:sz="8" w:space="0"/>
              <w:left w:val="nil"/>
              <w:bottom w:val="nil"/>
              <w:right w:val="nil"/>
            </w:tcBorders>
            <w:noWrap/>
            <w:vAlign w:val="center"/>
          </w:tcPr>
          <w:p w14:paraId="36C96ABD">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single" w:color="000000" w:sz="8" w:space="0"/>
              <w:left w:val="nil"/>
              <w:bottom w:val="nil"/>
              <w:right w:val="nil"/>
            </w:tcBorders>
            <w:vAlign w:val="center"/>
          </w:tcPr>
          <w:p w14:paraId="6810AD4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632.00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632.00-693.00</w:t>
            </w:r>
            <w:r>
              <w:rPr>
                <w:rStyle w:val="24"/>
                <w:rFonts w:hint="default"/>
                <w:lang w:bidi="ar"/>
              </w:rPr>
              <w:t>）</w:t>
            </w:r>
          </w:p>
        </w:tc>
        <w:tc>
          <w:tcPr>
            <w:tcW w:w="878" w:type="pct"/>
            <w:tcBorders>
              <w:top w:val="single" w:color="000000" w:sz="8" w:space="0"/>
              <w:left w:val="nil"/>
              <w:bottom w:val="nil"/>
              <w:right w:val="nil"/>
            </w:tcBorders>
            <w:vAlign w:val="center"/>
          </w:tcPr>
          <w:p w14:paraId="62D5383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629.00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629.00-742.00</w:t>
            </w:r>
            <w:r>
              <w:rPr>
                <w:rStyle w:val="24"/>
                <w:rFonts w:hint="default"/>
                <w:lang w:bidi="ar"/>
              </w:rPr>
              <w:t>）</w:t>
            </w:r>
          </w:p>
        </w:tc>
        <w:tc>
          <w:tcPr>
            <w:tcW w:w="612" w:type="pct"/>
            <w:tcBorders>
              <w:top w:val="single" w:color="000000" w:sz="8" w:space="0"/>
              <w:left w:val="nil"/>
              <w:bottom w:val="nil"/>
              <w:right w:val="nil"/>
            </w:tcBorders>
            <w:noWrap/>
            <w:vAlign w:val="center"/>
          </w:tcPr>
          <w:p w14:paraId="28DB712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w:t>
            </w:r>
          </w:p>
        </w:tc>
        <w:tc>
          <w:tcPr>
            <w:tcW w:w="541" w:type="pct"/>
            <w:tcBorders>
              <w:top w:val="single" w:color="000000" w:sz="8" w:space="0"/>
              <w:left w:val="nil"/>
              <w:bottom w:val="nil"/>
              <w:right w:val="nil"/>
            </w:tcBorders>
            <w:noWrap/>
            <w:vAlign w:val="center"/>
          </w:tcPr>
          <w:p w14:paraId="058FA0D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0.613 </w:t>
            </w:r>
          </w:p>
        </w:tc>
      </w:tr>
      <w:tr w14:paraId="172A7BFB">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098F530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5A70106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622.00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622.00-788.00</w:t>
            </w:r>
            <w:r>
              <w:rPr>
                <w:rStyle w:val="24"/>
                <w:rFonts w:hint="default"/>
                <w:lang w:bidi="ar"/>
              </w:rPr>
              <w:t>）</w:t>
            </w:r>
          </w:p>
        </w:tc>
        <w:tc>
          <w:tcPr>
            <w:tcW w:w="878" w:type="pct"/>
            <w:tcBorders>
              <w:top w:val="nil"/>
              <w:left w:val="nil"/>
              <w:bottom w:val="nil"/>
              <w:right w:val="nil"/>
            </w:tcBorders>
            <w:vAlign w:val="center"/>
          </w:tcPr>
          <w:p w14:paraId="1832EEE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478.00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478.00-627.00</w:t>
            </w:r>
            <w:r>
              <w:rPr>
                <w:rStyle w:val="24"/>
                <w:rFonts w:hint="default"/>
                <w:lang w:bidi="ar"/>
              </w:rPr>
              <w:t>）</w:t>
            </w:r>
          </w:p>
        </w:tc>
        <w:tc>
          <w:tcPr>
            <w:tcW w:w="612" w:type="pct"/>
            <w:tcBorders>
              <w:top w:val="nil"/>
              <w:left w:val="nil"/>
              <w:bottom w:val="nil"/>
              <w:right w:val="nil"/>
            </w:tcBorders>
            <w:noWrap/>
            <w:vAlign w:val="center"/>
          </w:tcPr>
          <w:p w14:paraId="7502F9F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144</w:t>
            </w:r>
          </w:p>
        </w:tc>
        <w:tc>
          <w:tcPr>
            <w:tcW w:w="541" w:type="pct"/>
            <w:tcBorders>
              <w:top w:val="nil"/>
              <w:left w:val="nil"/>
              <w:bottom w:val="nil"/>
              <w:right w:val="nil"/>
            </w:tcBorders>
            <w:noWrap/>
            <w:vAlign w:val="center"/>
          </w:tcPr>
          <w:p w14:paraId="0E3B61F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r>
      <w:tr w14:paraId="4FC00972">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3E2FC9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noWrap/>
            <w:vAlign w:val="center"/>
          </w:tcPr>
          <w:p w14:paraId="4600ED5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w:t>
            </w:r>
          </w:p>
        </w:tc>
        <w:tc>
          <w:tcPr>
            <w:tcW w:w="878" w:type="pct"/>
            <w:tcBorders>
              <w:top w:val="nil"/>
              <w:left w:val="nil"/>
              <w:bottom w:val="nil"/>
              <w:right w:val="nil"/>
            </w:tcBorders>
            <w:noWrap/>
            <w:vAlign w:val="center"/>
          </w:tcPr>
          <w:p w14:paraId="2C9F180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151</w:t>
            </w:r>
          </w:p>
        </w:tc>
        <w:tc>
          <w:tcPr>
            <w:tcW w:w="612" w:type="pct"/>
            <w:tcBorders>
              <w:top w:val="nil"/>
              <w:left w:val="nil"/>
              <w:bottom w:val="nil"/>
              <w:right w:val="nil"/>
            </w:tcBorders>
            <w:noWrap/>
            <w:vAlign w:val="center"/>
          </w:tcPr>
          <w:p w14:paraId="6E6A699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-141</w:t>
            </w:r>
          </w:p>
        </w:tc>
        <w:tc>
          <w:tcPr>
            <w:tcW w:w="541" w:type="pct"/>
            <w:tcBorders>
              <w:top w:val="nil"/>
              <w:left w:val="nil"/>
              <w:bottom w:val="nil"/>
              <w:right w:val="nil"/>
            </w:tcBorders>
            <w:noWrap/>
            <w:vAlign w:val="center"/>
          </w:tcPr>
          <w:p w14:paraId="0361888C">
            <w:pPr>
              <w:jc w:val="center"/>
              <w:rPr>
                <w:rFonts w:ascii="Times New Roman" w:hAnsi="Times New Roman" w:eastAsia="宋体" w:cs="Times New Roman"/>
                <w:color w:val="000000"/>
                <w:sz w:val="22"/>
              </w:rPr>
            </w:pPr>
          </w:p>
        </w:tc>
      </w:tr>
      <w:tr w14:paraId="7877FC13">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1537492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noWrap/>
            <w:vAlign w:val="center"/>
          </w:tcPr>
          <w:p w14:paraId="04FE6F3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0.488</w:t>
            </w:r>
          </w:p>
        </w:tc>
        <w:tc>
          <w:tcPr>
            <w:tcW w:w="878" w:type="pct"/>
            <w:tcBorders>
              <w:top w:val="nil"/>
              <w:left w:val="nil"/>
              <w:bottom w:val="single" w:color="000000" w:sz="12" w:space="0"/>
              <w:right w:val="nil"/>
            </w:tcBorders>
            <w:noWrap/>
            <w:vAlign w:val="center"/>
          </w:tcPr>
          <w:p w14:paraId="2FFCF86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c>
          <w:tcPr>
            <w:tcW w:w="612" w:type="pct"/>
            <w:tcBorders>
              <w:top w:val="nil"/>
              <w:left w:val="nil"/>
              <w:bottom w:val="single" w:color="000000" w:sz="12" w:space="0"/>
              <w:right w:val="nil"/>
            </w:tcBorders>
            <w:noWrap/>
            <w:vAlign w:val="center"/>
          </w:tcPr>
          <w:p w14:paraId="16D27172">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noWrap/>
            <w:vAlign w:val="center"/>
          </w:tcPr>
          <w:p w14:paraId="2256D6B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r>
      <w:tr w14:paraId="782CFB48">
        <w:tblPrEx>
          <w:tblCellMar>
            <w:top w:w="0" w:type="dxa"/>
            <w:left w:w="108" w:type="dxa"/>
            <w:bottom w:w="0" w:type="dxa"/>
            <w:right w:w="108" w:type="dxa"/>
          </w:tblCellMar>
        </w:tblPrEx>
        <w:trPr>
          <w:trHeight w:val="570" w:hRule="atLeast"/>
        </w:trPr>
        <w:tc>
          <w:tcPr>
            <w:tcW w:w="5000" w:type="pct"/>
            <w:gridSpan w:val="5"/>
            <w:tcBorders>
              <w:top w:val="single" w:color="000000" w:sz="12" w:space="0"/>
              <w:left w:val="nil"/>
              <w:bottom w:val="single" w:color="000000" w:sz="12" w:space="0"/>
              <w:right w:val="nil"/>
            </w:tcBorders>
            <w:vAlign w:val="center"/>
          </w:tcPr>
          <w:p w14:paraId="2E0E5DB0">
            <w:pPr>
              <w:jc w:val="left"/>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 CD4+ Cell Counts, cells/μL (PP dataset)</w:t>
            </w:r>
          </w:p>
        </w:tc>
      </w:tr>
      <w:tr w14:paraId="7C4FED2C">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8" w:space="0"/>
              <w:right w:val="nil"/>
            </w:tcBorders>
            <w:noWrap/>
            <w:vAlign w:val="center"/>
          </w:tcPr>
          <w:p w14:paraId="70B0EAE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Baseline</w:t>
            </w:r>
          </w:p>
        </w:tc>
        <w:tc>
          <w:tcPr>
            <w:tcW w:w="878" w:type="pct"/>
            <w:tcBorders>
              <w:top w:val="single" w:color="000000" w:sz="12" w:space="0"/>
              <w:left w:val="nil"/>
              <w:bottom w:val="single" w:color="000000" w:sz="8" w:space="0"/>
              <w:right w:val="nil"/>
            </w:tcBorders>
            <w:vAlign w:val="center"/>
          </w:tcPr>
          <w:p w14:paraId="4E30493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8" w:space="0"/>
              <w:right w:val="nil"/>
            </w:tcBorders>
            <w:vAlign w:val="center"/>
          </w:tcPr>
          <w:p w14:paraId="2D752D0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8" w:space="0"/>
              <w:right w:val="nil"/>
            </w:tcBorders>
            <w:vAlign w:val="center"/>
          </w:tcPr>
          <w:p w14:paraId="034D36EB">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8" w:space="0"/>
              <w:right w:val="nil"/>
            </w:tcBorders>
            <w:noWrap/>
            <w:vAlign w:val="center"/>
          </w:tcPr>
          <w:p w14:paraId="444092E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350ECCEB">
        <w:tblPrEx>
          <w:tblCellMar>
            <w:top w:w="0" w:type="dxa"/>
            <w:left w:w="108" w:type="dxa"/>
            <w:bottom w:w="0" w:type="dxa"/>
            <w:right w:w="108" w:type="dxa"/>
          </w:tblCellMar>
        </w:tblPrEx>
        <w:trPr>
          <w:trHeight w:val="600" w:hRule="atLeast"/>
        </w:trPr>
        <w:tc>
          <w:tcPr>
            <w:tcW w:w="2090" w:type="pct"/>
            <w:tcBorders>
              <w:top w:val="single" w:color="000000" w:sz="8" w:space="0"/>
              <w:left w:val="nil"/>
              <w:bottom w:val="nil"/>
              <w:right w:val="nil"/>
            </w:tcBorders>
            <w:noWrap/>
            <w:vAlign w:val="center"/>
          </w:tcPr>
          <w:p w14:paraId="214AB89B">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single" w:color="000000" w:sz="8" w:space="0"/>
              <w:left w:val="nil"/>
              <w:bottom w:val="nil"/>
              <w:right w:val="nil"/>
            </w:tcBorders>
            <w:vAlign w:val="center"/>
          </w:tcPr>
          <w:p w14:paraId="4A98E37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350.00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301.36-414.00</w:t>
            </w:r>
            <w:r>
              <w:rPr>
                <w:rStyle w:val="24"/>
                <w:rFonts w:hint="default"/>
                <w:lang w:bidi="ar"/>
              </w:rPr>
              <w:t>）</w:t>
            </w:r>
          </w:p>
        </w:tc>
        <w:tc>
          <w:tcPr>
            <w:tcW w:w="878" w:type="pct"/>
            <w:tcBorders>
              <w:top w:val="single" w:color="000000" w:sz="8" w:space="0"/>
              <w:left w:val="nil"/>
              <w:bottom w:val="nil"/>
              <w:right w:val="nil"/>
            </w:tcBorders>
            <w:vAlign w:val="center"/>
          </w:tcPr>
          <w:p w14:paraId="665ACE7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327.00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310.00-394.00</w:t>
            </w:r>
            <w:r>
              <w:rPr>
                <w:rStyle w:val="24"/>
                <w:rFonts w:hint="default"/>
                <w:lang w:bidi="ar"/>
              </w:rPr>
              <w:t>）</w:t>
            </w:r>
          </w:p>
        </w:tc>
        <w:tc>
          <w:tcPr>
            <w:tcW w:w="612" w:type="pct"/>
            <w:tcBorders>
              <w:top w:val="single" w:color="000000" w:sz="8" w:space="0"/>
              <w:left w:val="nil"/>
              <w:bottom w:val="nil"/>
              <w:right w:val="nil"/>
            </w:tcBorders>
            <w:vAlign w:val="center"/>
          </w:tcPr>
          <w:p w14:paraId="44B0096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23</w:t>
            </w:r>
          </w:p>
        </w:tc>
        <w:tc>
          <w:tcPr>
            <w:tcW w:w="541" w:type="pct"/>
            <w:tcBorders>
              <w:top w:val="single" w:color="000000" w:sz="8" w:space="0"/>
              <w:left w:val="nil"/>
              <w:bottom w:val="nil"/>
              <w:right w:val="nil"/>
            </w:tcBorders>
            <w:vAlign w:val="center"/>
          </w:tcPr>
          <w:p w14:paraId="306530D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0.971</w:t>
            </w:r>
          </w:p>
        </w:tc>
      </w:tr>
      <w:tr w14:paraId="3ACFE3B6">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13D82B0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66F7E60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310.00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 xml:space="preserve"> </w:t>
            </w:r>
            <w:r>
              <w:rPr>
                <w:rStyle w:val="24"/>
                <w:rFonts w:hint="default"/>
                <w:lang w:bidi="ar"/>
              </w:rPr>
              <w:t>（</w:t>
            </w:r>
            <w:r>
              <w:rPr>
                <w:rFonts w:ascii="Times New Roman" w:hAnsi="Times New Roman" w:eastAsia="宋体" w:cs="Times New Roman"/>
                <w:color w:val="000000"/>
                <w:kern w:val="0"/>
                <w:sz w:val="22"/>
                <w:lang w:bidi="ar"/>
              </w:rPr>
              <w:t>265.01-412.04</w:t>
            </w:r>
            <w:r>
              <w:rPr>
                <w:rStyle w:val="24"/>
                <w:rFonts w:hint="default"/>
                <w:lang w:bidi="ar"/>
              </w:rPr>
              <w:t>）</w:t>
            </w:r>
          </w:p>
        </w:tc>
        <w:tc>
          <w:tcPr>
            <w:tcW w:w="878" w:type="pct"/>
            <w:tcBorders>
              <w:top w:val="nil"/>
              <w:left w:val="nil"/>
              <w:bottom w:val="nil"/>
              <w:right w:val="nil"/>
            </w:tcBorders>
            <w:vAlign w:val="center"/>
          </w:tcPr>
          <w:p w14:paraId="4F40EB7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335.00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273.00-424.00</w:t>
            </w:r>
            <w:r>
              <w:rPr>
                <w:rStyle w:val="24"/>
                <w:rFonts w:hint="default"/>
                <w:lang w:bidi="ar"/>
              </w:rPr>
              <w:t>）</w:t>
            </w:r>
          </w:p>
        </w:tc>
        <w:tc>
          <w:tcPr>
            <w:tcW w:w="612" w:type="pct"/>
            <w:tcBorders>
              <w:top w:val="nil"/>
              <w:left w:val="nil"/>
              <w:bottom w:val="nil"/>
              <w:right w:val="nil"/>
            </w:tcBorders>
            <w:vAlign w:val="center"/>
          </w:tcPr>
          <w:p w14:paraId="089537C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541" w:type="pct"/>
            <w:tcBorders>
              <w:top w:val="nil"/>
              <w:left w:val="nil"/>
              <w:bottom w:val="nil"/>
              <w:right w:val="nil"/>
            </w:tcBorders>
            <w:vAlign w:val="center"/>
          </w:tcPr>
          <w:p w14:paraId="5F898C1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0.938</w:t>
            </w:r>
          </w:p>
        </w:tc>
      </w:tr>
      <w:tr w14:paraId="31405BBD">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45F8E0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70D8F61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40</w:t>
            </w:r>
          </w:p>
        </w:tc>
        <w:tc>
          <w:tcPr>
            <w:tcW w:w="878" w:type="pct"/>
            <w:tcBorders>
              <w:top w:val="nil"/>
              <w:left w:val="nil"/>
              <w:bottom w:val="nil"/>
              <w:right w:val="nil"/>
            </w:tcBorders>
            <w:vAlign w:val="center"/>
          </w:tcPr>
          <w:p w14:paraId="4E64BB3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w:t>
            </w:r>
          </w:p>
        </w:tc>
        <w:tc>
          <w:tcPr>
            <w:tcW w:w="612" w:type="pct"/>
            <w:tcBorders>
              <w:top w:val="nil"/>
              <w:left w:val="nil"/>
              <w:bottom w:val="nil"/>
              <w:right w:val="nil"/>
            </w:tcBorders>
            <w:vAlign w:val="center"/>
          </w:tcPr>
          <w:p w14:paraId="09704E6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48</w:t>
            </w:r>
          </w:p>
        </w:tc>
        <w:tc>
          <w:tcPr>
            <w:tcW w:w="541" w:type="pct"/>
            <w:tcBorders>
              <w:top w:val="nil"/>
              <w:left w:val="nil"/>
              <w:bottom w:val="nil"/>
              <w:right w:val="nil"/>
            </w:tcBorders>
            <w:noWrap/>
            <w:vAlign w:val="center"/>
          </w:tcPr>
          <w:p w14:paraId="347CC28D">
            <w:pPr>
              <w:jc w:val="center"/>
              <w:rPr>
                <w:rFonts w:ascii="Times New Roman" w:hAnsi="Times New Roman" w:eastAsia="宋体" w:cs="Times New Roman"/>
                <w:color w:val="000000"/>
                <w:sz w:val="22"/>
              </w:rPr>
            </w:pPr>
          </w:p>
        </w:tc>
      </w:tr>
      <w:tr w14:paraId="6A25C299">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0D0C243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25D5776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0.723</w:t>
            </w:r>
          </w:p>
        </w:tc>
        <w:tc>
          <w:tcPr>
            <w:tcW w:w="878" w:type="pct"/>
            <w:tcBorders>
              <w:top w:val="nil"/>
              <w:left w:val="nil"/>
              <w:bottom w:val="single" w:color="000000" w:sz="12" w:space="0"/>
              <w:right w:val="nil"/>
            </w:tcBorders>
            <w:vAlign w:val="center"/>
          </w:tcPr>
          <w:p w14:paraId="0952206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0.829</w:t>
            </w:r>
          </w:p>
        </w:tc>
        <w:tc>
          <w:tcPr>
            <w:tcW w:w="612" w:type="pct"/>
            <w:tcBorders>
              <w:top w:val="nil"/>
              <w:left w:val="nil"/>
              <w:bottom w:val="single" w:color="000000" w:sz="12" w:space="0"/>
              <w:right w:val="nil"/>
            </w:tcBorders>
            <w:vAlign w:val="center"/>
          </w:tcPr>
          <w:p w14:paraId="2EB0F60B">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vAlign w:val="center"/>
          </w:tcPr>
          <w:p w14:paraId="55DBBE7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0.76</w:t>
            </w:r>
          </w:p>
        </w:tc>
      </w:tr>
      <w:tr w14:paraId="14C66355">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45A767B6">
            <w:pPr>
              <w:jc w:val="center"/>
              <w:rPr>
                <w:rFonts w:ascii="Times New Roman" w:hAnsi="Times New Roman" w:eastAsia="宋体" w:cs="Times New Roman"/>
                <w:b/>
                <w:bCs/>
                <w:color w:val="000000"/>
                <w:sz w:val="22"/>
              </w:rPr>
            </w:pPr>
          </w:p>
        </w:tc>
        <w:tc>
          <w:tcPr>
            <w:tcW w:w="878" w:type="pct"/>
            <w:tcBorders>
              <w:top w:val="nil"/>
              <w:left w:val="nil"/>
              <w:bottom w:val="single" w:color="000000" w:sz="12" w:space="0"/>
              <w:right w:val="nil"/>
            </w:tcBorders>
            <w:noWrap/>
            <w:vAlign w:val="center"/>
          </w:tcPr>
          <w:p w14:paraId="42427BD2">
            <w:pPr>
              <w:jc w:val="center"/>
              <w:rPr>
                <w:rFonts w:ascii="Times New Roman" w:hAnsi="Times New Roman" w:eastAsia="宋体" w:cs="Times New Roman"/>
                <w:color w:val="000000"/>
                <w:sz w:val="22"/>
              </w:rPr>
            </w:pPr>
          </w:p>
        </w:tc>
        <w:tc>
          <w:tcPr>
            <w:tcW w:w="878" w:type="pct"/>
            <w:tcBorders>
              <w:top w:val="nil"/>
              <w:left w:val="nil"/>
              <w:bottom w:val="single" w:color="000000" w:sz="12" w:space="0"/>
              <w:right w:val="nil"/>
            </w:tcBorders>
            <w:noWrap/>
            <w:vAlign w:val="center"/>
          </w:tcPr>
          <w:p w14:paraId="0B9504CE">
            <w:pPr>
              <w:jc w:val="center"/>
              <w:rPr>
                <w:rFonts w:ascii="Times New Roman" w:hAnsi="Times New Roman" w:eastAsia="宋体" w:cs="Times New Roman"/>
                <w:color w:val="000000"/>
                <w:sz w:val="22"/>
              </w:rPr>
            </w:pPr>
          </w:p>
        </w:tc>
        <w:tc>
          <w:tcPr>
            <w:tcW w:w="612" w:type="pct"/>
            <w:tcBorders>
              <w:top w:val="nil"/>
              <w:left w:val="nil"/>
              <w:bottom w:val="single" w:color="000000" w:sz="12" w:space="0"/>
              <w:right w:val="nil"/>
            </w:tcBorders>
            <w:noWrap/>
            <w:vAlign w:val="center"/>
          </w:tcPr>
          <w:p w14:paraId="6EE5FA52">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noWrap/>
            <w:vAlign w:val="center"/>
          </w:tcPr>
          <w:p w14:paraId="07C1116E">
            <w:pPr>
              <w:jc w:val="center"/>
              <w:rPr>
                <w:rFonts w:ascii="Times New Roman" w:hAnsi="Times New Roman" w:eastAsia="宋体" w:cs="Times New Roman"/>
                <w:color w:val="000000"/>
                <w:sz w:val="22"/>
              </w:rPr>
            </w:pPr>
          </w:p>
        </w:tc>
      </w:tr>
      <w:tr w14:paraId="5FF21D64">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8" w:space="0"/>
              <w:right w:val="nil"/>
            </w:tcBorders>
            <w:noWrap/>
            <w:vAlign w:val="center"/>
          </w:tcPr>
          <w:p w14:paraId="19DD7A7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48 Week</w:t>
            </w:r>
          </w:p>
        </w:tc>
        <w:tc>
          <w:tcPr>
            <w:tcW w:w="878" w:type="pct"/>
            <w:tcBorders>
              <w:top w:val="single" w:color="000000" w:sz="12" w:space="0"/>
              <w:left w:val="nil"/>
              <w:bottom w:val="single" w:color="000000" w:sz="8" w:space="0"/>
              <w:right w:val="nil"/>
            </w:tcBorders>
            <w:vAlign w:val="center"/>
          </w:tcPr>
          <w:p w14:paraId="60AFDEC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8" w:space="0"/>
              <w:right w:val="nil"/>
            </w:tcBorders>
            <w:vAlign w:val="center"/>
          </w:tcPr>
          <w:p w14:paraId="56015C7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8" w:space="0"/>
              <w:right w:val="nil"/>
            </w:tcBorders>
            <w:vAlign w:val="center"/>
          </w:tcPr>
          <w:p w14:paraId="0D443C1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8" w:space="0"/>
              <w:right w:val="nil"/>
            </w:tcBorders>
            <w:noWrap/>
            <w:vAlign w:val="center"/>
          </w:tcPr>
          <w:p w14:paraId="0DC1D41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74AA9467">
        <w:tblPrEx>
          <w:tblCellMar>
            <w:top w:w="0" w:type="dxa"/>
            <w:left w:w="108" w:type="dxa"/>
            <w:bottom w:w="0" w:type="dxa"/>
            <w:right w:w="108" w:type="dxa"/>
          </w:tblCellMar>
        </w:tblPrEx>
        <w:trPr>
          <w:trHeight w:val="600" w:hRule="atLeast"/>
        </w:trPr>
        <w:tc>
          <w:tcPr>
            <w:tcW w:w="2090" w:type="pct"/>
            <w:tcBorders>
              <w:top w:val="single" w:color="000000" w:sz="8" w:space="0"/>
              <w:left w:val="nil"/>
              <w:bottom w:val="nil"/>
              <w:right w:val="nil"/>
            </w:tcBorders>
            <w:noWrap/>
            <w:vAlign w:val="center"/>
          </w:tcPr>
          <w:p w14:paraId="665E778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single" w:color="000000" w:sz="8" w:space="0"/>
              <w:left w:val="nil"/>
              <w:bottom w:val="nil"/>
              <w:right w:val="nil"/>
            </w:tcBorders>
            <w:vAlign w:val="center"/>
          </w:tcPr>
          <w:p w14:paraId="511BFC4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643.50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(589.00-725.00)</w:t>
            </w:r>
          </w:p>
        </w:tc>
        <w:tc>
          <w:tcPr>
            <w:tcW w:w="878" w:type="pct"/>
            <w:tcBorders>
              <w:top w:val="single" w:color="000000" w:sz="8" w:space="0"/>
              <w:left w:val="nil"/>
              <w:bottom w:val="nil"/>
              <w:right w:val="nil"/>
            </w:tcBorders>
            <w:vAlign w:val="center"/>
          </w:tcPr>
          <w:p w14:paraId="39A9731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602.00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602.00-698.00</w:t>
            </w:r>
            <w:r>
              <w:rPr>
                <w:rStyle w:val="24"/>
                <w:rFonts w:hint="default"/>
                <w:lang w:bidi="ar"/>
              </w:rPr>
              <w:t>）</w:t>
            </w:r>
          </w:p>
        </w:tc>
        <w:tc>
          <w:tcPr>
            <w:tcW w:w="612" w:type="pct"/>
            <w:tcBorders>
              <w:top w:val="single" w:color="000000" w:sz="8" w:space="0"/>
              <w:left w:val="nil"/>
              <w:bottom w:val="nil"/>
              <w:right w:val="nil"/>
            </w:tcBorders>
            <w:vAlign w:val="center"/>
          </w:tcPr>
          <w:p w14:paraId="34B1815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41.5</w:t>
            </w:r>
          </w:p>
        </w:tc>
        <w:tc>
          <w:tcPr>
            <w:tcW w:w="541" w:type="pct"/>
            <w:tcBorders>
              <w:top w:val="single" w:color="000000" w:sz="8" w:space="0"/>
              <w:left w:val="nil"/>
              <w:bottom w:val="nil"/>
              <w:right w:val="nil"/>
            </w:tcBorders>
            <w:vAlign w:val="center"/>
          </w:tcPr>
          <w:p w14:paraId="18BBB8B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0.183</w:t>
            </w:r>
          </w:p>
        </w:tc>
      </w:tr>
      <w:tr w14:paraId="26AD406B">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4F0C35A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2272C91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567.00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(434.00-705.00)</w:t>
            </w:r>
          </w:p>
        </w:tc>
        <w:tc>
          <w:tcPr>
            <w:tcW w:w="878" w:type="pct"/>
            <w:tcBorders>
              <w:top w:val="nil"/>
              <w:left w:val="nil"/>
              <w:bottom w:val="nil"/>
              <w:right w:val="nil"/>
            </w:tcBorders>
            <w:vAlign w:val="center"/>
          </w:tcPr>
          <w:p w14:paraId="2899628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481.50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481.50-581.00</w:t>
            </w:r>
            <w:r>
              <w:rPr>
                <w:rStyle w:val="24"/>
                <w:rFonts w:hint="default"/>
                <w:lang w:bidi="ar"/>
              </w:rPr>
              <w:t>）</w:t>
            </w:r>
          </w:p>
        </w:tc>
        <w:tc>
          <w:tcPr>
            <w:tcW w:w="612" w:type="pct"/>
            <w:tcBorders>
              <w:top w:val="nil"/>
              <w:left w:val="nil"/>
              <w:bottom w:val="nil"/>
              <w:right w:val="nil"/>
            </w:tcBorders>
            <w:vAlign w:val="center"/>
          </w:tcPr>
          <w:p w14:paraId="1F64BEF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85.5</w:t>
            </w:r>
          </w:p>
        </w:tc>
        <w:tc>
          <w:tcPr>
            <w:tcW w:w="541" w:type="pct"/>
            <w:tcBorders>
              <w:top w:val="nil"/>
              <w:left w:val="nil"/>
              <w:bottom w:val="nil"/>
              <w:right w:val="nil"/>
            </w:tcBorders>
            <w:vAlign w:val="center"/>
          </w:tcPr>
          <w:p w14:paraId="76FEC3D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0.245</w:t>
            </w:r>
          </w:p>
        </w:tc>
      </w:tr>
      <w:tr w14:paraId="31926ED1">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F8D0CD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4132178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76.5</w:t>
            </w:r>
          </w:p>
        </w:tc>
        <w:tc>
          <w:tcPr>
            <w:tcW w:w="878" w:type="pct"/>
            <w:tcBorders>
              <w:top w:val="nil"/>
              <w:left w:val="nil"/>
              <w:bottom w:val="nil"/>
              <w:right w:val="nil"/>
            </w:tcBorders>
            <w:vAlign w:val="center"/>
          </w:tcPr>
          <w:p w14:paraId="39BE63B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120.5</w:t>
            </w:r>
          </w:p>
        </w:tc>
        <w:tc>
          <w:tcPr>
            <w:tcW w:w="612" w:type="pct"/>
            <w:tcBorders>
              <w:top w:val="nil"/>
              <w:left w:val="nil"/>
              <w:bottom w:val="nil"/>
              <w:right w:val="nil"/>
            </w:tcBorders>
            <w:vAlign w:val="center"/>
          </w:tcPr>
          <w:p w14:paraId="58039DF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541" w:type="pct"/>
            <w:tcBorders>
              <w:top w:val="nil"/>
              <w:left w:val="nil"/>
              <w:bottom w:val="nil"/>
              <w:right w:val="nil"/>
            </w:tcBorders>
            <w:noWrap/>
            <w:vAlign w:val="center"/>
          </w:tcPr>
          <w:p w14:paraId="1DCF378A">
            <w:pPr>
              <w:jc w:val="center"/>
              <w:rPr>
                <w:rFonts w:ascii="Times New Roman" w:hAnsi="Times New Roman" w:eastAsia="宋体" w:cs="Times New Roman"/>
                <w:color w:val="000000"/>
                <w:sz w:val="22"/>
              </w:rPr>
            </w:pPr>
          </w:p>
        </w:tc>
      </w:tr>
      <w:tr w14:paraId="3020F8C1">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59B21EEB">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2158F2C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0.171</w:t>
            </w:r>
          </w:p>
        </w:tc>
        <w:tc>
          <w:tcPr>
            <w:tcW w:w="878" w:type="pct"/>
            <w:tcBorders>
              <w:top w:val="nil"/>
              <w:left w:val="nil"/>
              <w:bottom w:val="single" w:color="000000" w:sz="12" w:space="0"/>
              <w:right w:val="nil"/>
            </w:tcBorders>
            <w:vAlign w:val="center"/>
          </w:tcPr>
          <w:p w14:paraId="6C670BE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c>
          <w:tcPr>
            <w:tcW w:w="612" w:type="pct"/>
            <w:tcBorders>
              <w:top w:val="nil"/>
              <w:left w:val="nil"/>
              <w:bottom w:val="single" w:color="000000" w:sz="12" w:space="0"/>
              <w:right w:val="nil"/>
            </w:tcBorders>
            <w:vAlign w:val="center"/>
          </w:tcPr>
          <w:p w14:paraId="48411CB9">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vAlign w:val="center"/>
          </w:tcPr>
          <w:p w14:paraId="04F7C3D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0.0014**</w:t>
            </w:r>
          </w:p>
        </w:tc>
      </w:tr>
      <w:tr w14:paraId="6C22C877">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single" w:color="000000" w:sz="12" w:space="0"/>
              <w:right w:val="nil"/>
            </w:tcBorders>
            <w:noWrap/>
            <w:vAlign w:val="center"/>
          </w:tcPr>
          <w:p w14:paraId="7BF3E24B">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563D63CF">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0C2AF31D">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66BD5D20">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09AA7A4E">
            <w:pPr>
              <w:jc w:val="center"/>
              <w:rPr>
                <w:rFonts w:ascii="Times New Roman" w:hAnsi="Times New Roman" w:eastAsia="宋体" w:cs="Times New Roman"/>
                <w:color w:val="000000"/>
                <w:sz w:val="22"/>
              </w:rPr>
            </w:pPr>
          </w:p>
        </w:tc>
      </w:tr>
      <w:tr w14:paraId="61CF8763">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0D717E0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0 Week</w:t>
            </w:r>
          </w:p>
        </w:tc>
        <w:tc>
          <w:tcPr>
            <w:tcW w:w="878" w:type="pct"/>
            <w:tcBorders>
              <w:top w:val="single" w:color="000000" w:sz="12" w:space="0"/>
              <w:left w:val="nil"/>
              <w:bottom w:val="single" w:color="000000" w:sz="4" w:space="0"/>
              <w:right w:val="nil"/>
            </w:tcBorders>
            <w:vAlign w:val="center"/>
          </w:tcPr>
          <w:p w14:paraId="55FCDC0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60922B0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6289524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49266A7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47F47524">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7189BC3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4C06E00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632.00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(632.00-733.00)</w:t>
            </w:r>
          </w:p>
        </w:tc>
        <w:tc>
          <w:tcPr>
            <w:tcW w:w="878" w:type="pct"/>
            <w:tcBorders>
              <w:top w:val="nil"/>
              <w:left w:val="nil"/>
              <w:bottom w:val="nil"/>
              <w:right w:val="nil"/>
            </w:tcBorders>
            <w:vAlign w:val="center"/>
          </w:tcPr>
          <w:p w14:paraId="3ECE2A9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629.00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(629.00-689.00)</w:t>
            </w:r>
          </w:p>
        </w:tc>
        <w:tc>
          <w:tcPr>
            <w:tcW w:w="612" w:type="pct"/>
            <w:tcBorders>
              <w:top w:val="nil"/>
              <w:left w:val="nil"/>
              <w:bottom w:val="nil"/>
              <w:right w:val="nil"/>
            </w:tcBorders>
            <w:vAlign w:val="center"/>
          </w:tcPr>
          <w:p w14:paraId="0645A55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w:t>
            </w:r>
          </w:p>
        </w:tc>
        <w:tc>
          <w:tcPr>
            <w:tcW w:w="541" w:type="pct"/>
            <w:tcBorders>
              <w:top w:val="nil"/>
              <w:left w:val="nil"/>
              <w:bottom w:val="nil"/>
              <w:right w:val="nil"/>
            </w:tcBorders>
            <w:vAlign w:val="center"/>
          </w:tcPr>
          <w:p w14:paraId="38E518C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0.444</w:t>
            </w:r>
          </w:p>
        </w:tc>
      </w:tr>
      <w:tr w14:paraId="051CD2A2">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083EC0AC">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bottom w:val="nil"/>
              <w:right w:val="nil"/>
            </w:tcBorders>
            <w:vAlign w:val="center"/>
          </w:tcPr>
          <w:p w14:paraId="6A722AB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622.00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(622.00-850.00)</w:t>
            </w:r>
          </w:p>
        </w:tc>
        <w:tc>
          <w:tcPr>
            <w:tcW w:w="878" w:type="pct"/>
            <w:tcBorders>
              <w:top w:val="nil"/>
              <w:left w:val="nil"/>
              <w:bottom w:val="nil"/>
              <w:right w:val="nil"/>
            </w:tcBorders>
            <w:vAlign w:val="center"/>
          </w:tcPr>
          <w:p w14:paraId="38DEDE4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478.00</w:t>
            </w:r>
            <w:r>
              <w:rPr>
                <w:rFonts w:ascii="Times New Roman" w:hAnsi="Times New Roman" w:eastAsia="宋体" w:cs="Times New Roman"/>
                <w:color w:val="000000"/>
                <w:kern w:val="0"/>
                <w:sz w:val="22"/>
                <w:lang w:bidi="ar"/>
              </w:rPr>
              <w:br w:type="textWrapping"/>
            </w:r>
            <w:r>
              <w:rPr>
                <w:rStyle w:val="24"/>
                <w:rFonts w:hint="default"/>
                <w:lang w:bidi="ar"/>
              </w:rPr>
              <w:t>（</w:t>
            </w:r>
            <w:r>
              <w:rPr>
                <w:rFonts w:ascii="Times New Roman" w:hAnsi="Times New Roman" w:eastAsia="宋体" w:cs="Times New Roman"/>
                <w:color w:val="000000"/>
                <w:kern w:val="0"/>
                <w:sz w:val="22"/>
                <w:lang w:bidi="ar"/>
              </w:rPr>
              <w:t>478.00-627.00</w:t>
            </w:r>
            <w:r>
              <w:rPr>
                <w:rStyle w:val="24"/>
                <w:rFonts w:hint="default"/>
                <w:lang w:bidi="ar"/>
              </w:rPr>
              <w:t>）</w:t>
            </w:r>
          </w:p>
        </w:tc>
        <w:tc>
          <w:tcPr>
            <w:tcW w:w="612" w:type="pct"/>
            <w:tcBorders>
              <w:top w:val="nil"/>
              <w:left w:val="nil"/>
              <w:bottom w:val="nil"/>
              <w:right w:val="nil"/>
            </w:tcBorders>
            <w:vAlign w:val="center"/>
          </w:tcPr>
          <w:p w14:paraId="5902B53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144</w:t>
            </w:r>
          </w:p>
        </w:tc>
        <w:tc>
          <w:tcPr>
            <w:tcW w:w="541" w:type="pct"/>
            <w:tcBorders>
              <w:top w:val="nil"/>
              <w:left w:val="nil"/>
              <w:bottom w:val="nil"/>
              <w:right w:val="nil"/>
            </w:tcBorders>
            <w:vAlign w:val="center"/>
          </w:tcPr>
          <w:p w14:paraId="57EEF43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r>
      <w:tr w14:paraId="0F206862">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3DC937BD">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6B6C31E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w:t>
            </w:r>
          </w:p>
        </w:tc>
        <w:tc>
          <w:tcPr>
            <w:tcW w:w="878" w:type="pct"/>
            <w:tcBorders>
              <w:top w:val="nil"/>
              <w:left w:val="nil"/>
              <w:bottom w:val="nil"/>
              <w:right w:val="nil"/>
            </w:tcBorders>
            <w:vAlign w:val="center"/>
          </w:tcPr>
          <w:p w14:paraId="30C3B93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151</w:t>
            </w:r>
          </w:p>
        </w:tc>
        <w:tc>
          <w:tcPr>
            <w:tcW w:w="612" w:type="pct"/>
            <w:tcBorders>
              <w:top w:val="nil"/>
              <w:left w:val="nil"/>
              <w:bottom w:val="nil"/>
              <w:right w:val="nil"/>
            </w:tcBorders>
            <w:vAlign w:val="center"/>
          </w:tcPr>
          <w:p w14:paraId="5FA48F4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-141</w:t>
            </w:r>
          </w:p>
        </w:tc>
        <w:tc>
          <w:tcPr>
            <w:tcW w:w="541" w:type="pct"/>
            <w:tcBorders>
              <w:top w:val="nil"/>
              <w:left w:val="nil"/>
              <w:bottom w:val="nil"/>
              <w:right w:val="nil"/>
            </w:tcBorders>
            <w:noWrap/>
            <w:vAlign w:val="center"/>
          </w:tcPr>
          <w:p w14:paraId="47186D28">
            <w:pPr>
              <w:jc w:val="center"/>
              <w:rPr>
                <w:rFonts w:ascii="Times New Roman" w:hAnsi="Times New Roman" w:eastAsia="宋体" w:cs="Times New Roman"/>
                <w:color w:val="000000"/>
                <w:sz w:val="22"/>
              </w:rPr>
            </w:pPr>
          </w:p>
        </w:tc>
      </w:tr>
      <w:tr w14:paraId="6ABC37FC">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69512AB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69E0109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0.21</w:t>
            </w:r>
          </w:p>
        </w:tc>
        <w:tc>
          <w:tcPr>
            <w:tcW w:w="878" w:type="pct"/>
            <w:tcBorders>
              <w:top w:val="nil"/>
              <w:left w:val="nil"/>
              <w:bottom w:val="single" w:color="000000" w:sz="12" w:space="0"/>
              <w:right w:val="nil"/>
            </w:tcBorders>
            <w:vAlign w:val="center"/>
          </w:tcPr>
          <w:p w14:paraId="53E9121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c>
          <w:tcPr>
            <w:tcW w:w="612" w:type="pct"/>
            <w:tcBorders>
              <w:top w:val="nil"/>
              <w:left w:val="nil"/>
              <w:bottom w:val="single" w:color="000000" w:sz="12" w:space="0"/>
              <w:right w:val="nil"/>
            </w:tcBorders>
            <w:vAlign w:val="center"/>
          </w:tcPr>
          <w:p w14:paraId="2F6921FA">
            <w:pPr>
              <w:jc w:val="center"/>
              <w:rPr>
                <w:rFonts w:ascii="Times New Roman" w:hAnsi="Times New Roman" w:eastAsia="宋体" w:cs="Times New Roman"/>
                <w:color w:val="000000"/>
                <w:sz w:val="22"/>
              </w:rPr>
            </w:pPr>
          </w:p>
        </w:tc>
        <w:tc>
          <w:tcPr>
            <w:tcW w:w="541" w:type="pct"/>
            <w:tcBorders>
              <w:top w:val="nil"/>
              <w:left w:val="nil"/>
              <w:bottom w:val="single" w:color="000000" w:sz="12" w:space="0"/>
              <w:right w:val="nil"/>
            </w:tcBorders>
            <w:vAlign w:val="center"/>
          </w:tcPr>
          <w:p w14:paraId="6F49512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&lt;0.001***</w:t>
            </w:r>
          </w:p>
        </w:tc>
      </w:tr>
      <w:tr w14:paraId="5098614D">
        <w:tblPrEx>
          <w:tblCellMar>
            <w:top w:w="0" w:type="dxa"/>
            <w:left w:w="108" w:type="dxa"/>
            <w:bottom w:w="0" w:type="dxa"/>
            <w:right w:w="108" w:type="dxa"/>
          </w:tblCellMar>
        </w:tblPrEx>
        <w:trPr>
          <w:trHeight w:val="300" w:hRule="atLeast"/>
        </w:trPr>
        <w:tc>
          <w:tcPr>
            <w:tcW w:w="5000" w:type="pct"/>
            <w:gridSpan w:val="5"/>
            <w:tcBorders>
              <w:top w:val="single" w:color="000000" w:sz="12" w:space="0"/>
              <w:left w:val="nil"/>
              <w:bottom w:val="single" w:color="000000" w:sz="12" w:space="0"/>
              <w:right w:val="nil"/>
            </w:tcBorders>
            <w:noWrap/>
            <w:vAlign w:val="center"/>
          </w:tcPr>
          <w:p w14:paraId="51BCBC80">
            <w:pPr>
              <w:jc w:val="left"/>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(C) Plasma HIV-1 RNA, copies/mL (ITT dataset)</w:t>
            </w:r>
          </w:p>
        </w:tc>
      </w:tr>
      <w:tr w14:paraId="098818BD">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00D9A8E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Baseline</w:t>
            </w:r>
          </w:p>
        </w:tc>
        <w:tc>
          <w:tcPr>
            <w:tcW w:w="878" w:type="pct"/>
            <w:tcBorders>
              <w:top w:val="single" w:color="000000" w:sz="12" w:space="0"/>
              <w:left w:val="nil"/>
              <w:bottom w:val="single" w:color="000000" w:sz="4" w:space="0"/>
              <w:right w:val="nil"/>
            </w:tcBorders>
            <w:vAlign w:val="center"/>
          </w:tcPr>
          <w:p w14:paraId="39318F4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3D520C6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0FB1C10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3146F09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197026C0">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4529BC4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6D28399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878" w:type="pct"/>
            <w:tcBorders>
              <w:top w:val="nil"/>
              <w:left w:val="nil"/>
              <w:bottom w:val="nil"/>
              <w:right w:val="nil"/>
            </w:tcBorders>
            <w:vAlign w:val="center"/>
          </w:tcPr>
          <w:p w14:paraId="3B37561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3.10%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(0.38%-10.77%)</w:t>
            </w:r>
          </w:p>
        </w:tc>
        <w:tc>
          <w:tcPr>
            <w:tcW w:w="612" w:type="pct"/>
            <w:tcBorders>
              <w:top w:val="nil"/>
              <w:left w:val="nil"/>
              <w:bottom w:val="nil"/>
              <w:right w:val="nil"/>
            </w:tcBorders>
            <w:vAlign w:val="center"/>
          </w:tcPr>
          <w:p w14:paraId="54EE753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-0.031</w:t>
            </w:r>
          </w:p>
        </w:tc>
        <w:tc>
          <w:tcPr>
            <w:tcW w:w="541" w:type="pct"/>
            <w:tcBorders>
              <w:top w:val="nil"/>
              <w:left w:val="nil"/>
              <w:bottom w:val="nil"/>
              <w:right w:val="nil"/>
            </w:tcBorders>
            <w:vAlign w:val="center"/>
          </w:tcPr>
          <w:p w14:paraId="5B13960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0.154</w:t>
            </w:r>
          </w:p>
        </w:tc>
      </w:tr>
      <w:tr w14:paraId="13BCD6AF">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7E8B45CC">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4001B03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3.02%</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(0.62%-8.65%)</w:t>
            </w:r>
          </w:p>
        </w:tc>
        <w:tc>
          <w:tcPr>
            <w:tcW w:w="878" w:type="pct"/>
            <w:tcBorders>
              <w:top w:val="nil"/>
              <w:left w:val="nil"/>
              <w:right w:val="nil"/>
            </w:tcBorders>
            <w:vAlign w:val="center"/>
          </w:tcPr>
          <w:p w14:paraId="1BD16F9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4.60%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(1.16%-11.83%)</w:t>
            </w:r>
          </w:p>
        </w:tc>
        <w:tc>
          <w:tcPr>
            <w:tcW w:w="612" w:type="pct"/>
            <w:tcBorders>
              <w:top w:val="nil"/>
              <w:left w:val="nil"/>
              <w:right w:val="nil"/>
            </w:tcBorders>
            <w:vAlign w:val="center"/>
          </w:tcPr>
          <w:p w14:paraId="4CB1DBC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-0.0158</w:t>
            </w:r>
          </w:p>
        </w:tc>
        <w:tc>
          <w:tcPr>
            <w:tcW w:w="541" w:type="pct"/>
            <w:tcBorders>
              <w:top w:val="nil"/>
              <w:left w:val="nil"/>
              <w:right w:val="nil"/>
            </w:tcBorders>
            <w:vAlign w:val="center"/>
          </w:tcPr>
          <w:p w14:paraId="5E4838E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0.583</w:t>
            </w:r>
          </w:p>
        </w:tc>
      </w:tr>
      <w:tr w14:paraId="685CDA4E">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4E84B15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5394588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-0.0302</w:t>
            </w:r>
          </w:p>
        </w:tc>
        <w:tc>
          <w:tcPr>
            <w:tcW w:w="878" w:type="pct"/>
            <w:tcBorders>
              <w:top w:val="nil"/>
              <w:left w:val="nil"/>
              <w:bottom w:val="nil"/>
              <w:right w:val="nil"/>
            </w:tcBorders>
            <w:vAlign w:val="center"/>
          </w:tcPr>
          <w:p w14:paraId="7D1531E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-0.015</w:t>
            </w:r>
          </w:p>
        </w:tc>
        <w:tc>
          <w:tcPr>
            <w:tcW w:w="1153" w:type="pct"/>
            <w:gridSpan w:val="2"/>
            <w:vMerge w:val="restart"/>
            <w:tcBorders>
              <w:top w:val="nil"/>
              <w:left w:val="nil"/>
              <w:bottom w:val="single" w:color="000000" w:sz="4" w:space="0"/>
              <w:right w:val="nil"/>
            </w:tcBorders>
            <w:vAlign w:val="center"/>
          </w:tcPr>
          <w:p w14:paraId="31280BE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16E3AA09">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4D2FD02E">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3E52597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0.086</w:t>
            </w:r>
          </w:p>
        </w:tc>
        <w:tc>
          <w:tcPr>
            <w:tcW w:w="878" w:type="pct"/>
            <w:tcBorders>
              <w:top w:val="nil"/>
              <w:left w:val="nil"/>
              <w:bottom w:val="single" w:color="000000" w:sz="12" w:space="0"/>
              <w:right w:val="nil"/>
            </w:tcBorders>
            <w:vAlign w:val="center"/>
          </w:tcPr>
          <w:p w14:paraId="783FF60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0.646</w:t>
            </w:r>
          </w:p>
        </w:tc>
        <w:tc>
          <w:tcPr>
            <w:tcW w:w="1153" w:type="pct"/>
            <w:gridSpan w:val="2"/>
            <w:vMerge w:val="continue"/>
            <w:tcBorders>
              <w:top w:val="nil"/>
              <w:left w:val="nil"/>
              <w:bottom w:val="single" w:color="000000" w:sz="12" w:space="0"/>
              <w:right w:val="nil"/>
            </w:tcBorders>
            <w:vAlign w:val="center"/>
          </w:tcPr>
          <w:p w14:paraId="48CDB69E">
            <w:pPr>
              <w:jc w:val="center"/>
              <w:rPr>
                <w:rFonts w:ascii="Times New Roman" w:hAnsi="Times New Roman" w:eastAsia="宋体" w:cs="Times New Roman"/>
                <w:color w:val="000000"/>
                <w:sz w:val="22"/>
              </w:rPr>
            </w:pPr>
          </w:p>
        </w:tc>
      </w:tr>
      <w:tr w14:paraId="1830DC18">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single" w:color="000000" w:sz="12" w:space="0"/>
              <w:right w:val="nil"/>
            </w:tcBorders>
            <w:noWrap/>
            <w:vAlign w:val="center"/>
          </w:tcPr>
          <w:p w14:paraId="36FEDE8E">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6AACCBC5">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02122AC6">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0DFF981E">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217B747E">
            <w:pPr>
              <w:jc w:val="center"/>
              <w:rPr>
                <w:rFonts w:ascii="Times New Roman" w:hAnsi="Times New Roman" w:eastAsia="宋体" w:cs="Times New Roman"/>
                <w:color w:val="000000"/>
                <w:sz w:val="22"/>
              </w:rPr>
            </w:pPr>
          </w:p>
        </w:tc>
      </w:tr>
      <w:tr w14:paraId="6E0A2751">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257841C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48 Week</w:t>
            </w:r>
          </w:p>
        </w:tc>
        <w:tc>
          <w:tcPr>
            <w:tcW w:w="878" w:type="pct"/>
            <w:tcBorders>
              <w:top w:val="single" w:color="000000" w:sz="12" w:space="0"/>
              <w:left w:val="nil"/>
              <w:bottom w:val="single" w:color="000000" w:sz="4" w:space="0"/>
              <w:right w:val="nil"/>
            </w:tcBorders>
            <w:vAlign w:val="center"/>
          </w:tcPr>
          <w:p w14:paraId="1180974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0D38882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4CCB7E8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35C1FCC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46B1088E">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169338E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28FAADB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98.73%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(93.10%-99.97%)</w:t>
            </w:r>
          </w:p>
        </w:tc>
        <w:tc>
          <w:tcPr>
            <w:tcW w:w="878" w:type="pct"/>
            <w:tcBorders>
              <w:top w:val="nil"/>
              <w:left w:val="nil"/>
              <w:bottom w:val="nil"/>
              <w:right w:val="nil"/>
            </w:tcBorders>
            <w:vAlign w:val="center"/>
          </w:tcPr>
          <w:p w14:paraId="33E811D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98.46%</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(91.69%-99.96%)</w:t>
            </w:r>
          </w:p>
        </w:tc>
        <w:tc>
          <w:tcPr>
            <w:tcW w:w="612" w:type="pct"/>
            <w:tcBorders>
              <w:top w:val="nil"/>
              <w:left w:val="nil"/>
              <w:bottom w:val="nil"/>
              <w:right w:val="nil"/>
            </w:tcBorders>
            <w:vAlign w:val="center"/>
          </w:tcPr>
          <w:p w14:paraId="69021BD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0.27%</w:t>
            </w:r>
          </w:p>
        </w:tc>
        <w:tc>
          <w:tcPr>
            <w:tcW w:w="541" w:type="pct"/>
            <w:tcBorders>
              <w:top w:val="nil"/>
              <w:left w:val="nil"/>
              <w:bottom w:val="nil"/>
              <w:right w:val="nil"/>
            </w:tcBorders>
            <w:vAlign w:val="center"/>
          </w:tcPr>
          <w:p w14:paraId="10F29E5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0.891 </w:t>
            </w:r>
          </w:p>
        </w:tc>
      </w:tr>
      <w:tr w14:paraId="42DAAE7D">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10A21C1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361C2C1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98.56%</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(92.22%-99.96%)</w:t>
            </w:r>
          </w:p>
        </w:tc>
        <w:tc>
          <w:tcPr>
            <w:tcW w:w="878" w:type="pct"/>
            <w:tcBorders>
              <w:top w:val="nil"/>
              <w:left w:val="nil"/>
              <w:right w:val="nil"/>
            </w:tcBorders>
            <w:vAlign w:val="center"/>
          </w:tcPr>
          <w:p w14:paraId="71D36B3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96.83%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(90.97%-99.35%)</w:t>
            </w:r>
          </w:p>
        </w:tc>
        <w:tc>
          <w:tcPr>
            <w:tcW w:w="612" w:type="pct"/>
            <w:tcBorders>
              <w:top w:val="nil"/>
              <w:left w:val="nil"/>
              <w:right w:val="nil"/>
            </w:tcBorders>
            <w:vAlign w:val="center"/>
          </w:tcPr>
          <w:p w14:paraId="56C5953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1.73%</w:t>
            </w:r>
          </w:p>
        </w:tc>
        <w:tc>
          <w:tcPr>
            <w:tcW w:w="541" w:type="pct"/>
            <w:tcBorders>
              <w:top w:val="nil"/>
              <w:left w:val="nil"/>
              <w:right w:val="nil"/>
            </w:tcBorders>
            <w:vAlign w:val="center"/>
          </w:tcPr>
          <w:p w14:paraId="74FA56A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0.480 </w:t>
            </w:r>
          </w:p>
        </w:tc>
      </w:tr>
      <w:tr w14:paraId="1DC9F23B">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A64D43D">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692F186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0.17%</w:t>
            </w:r>
          </w:p>
        </w:tc>
        <w:tc>
          <w:tcPr>
            <w:tcW w:w="878" w:type="pct"/>
            <w:tcBorders>
              <w:top w:val="nil"/>
              <w:left w:val="nil"/>
              <w:bottom w:val="nil"/>
              <w:right w:val="nil"/>
            </w:tcBorders>
            <w:vAlign w:val="center"/>
          </w:tcPr>
          <w:p w14:paraId="4EC8050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1.63%</w:t>
            </w:r>
          </w:p>
        </w:tc>
        <w:tc>
          <w:tcPr>
            <w:tcW w:w="1153" w:type="pct"/>
            <w:gridSpan w:val="2"/>
            <w:vMerge w:val="restart"/>
            <w:tcBorders>
              <w:top w:val="nil"/>
              <w:left w:val="nil"/>
              <w:bottom w:val="single" w:color="000000" w:sz="4" w:space="0"/>
              <w:right w:val="nil"/>
            </w:tcBorders>
            <w:vAlign w:val="center"/>
          </w:tcPr>
          <w:p w14:paraId="6A74CC2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64CB6C0C">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675E7C0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2EC8F40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0.931</w:t>
            </w:r>
          </w:p>
        </w:tc>
        <w:tc>
          <w:tcPr>
            <w:tcW w:w="878" w:type="pct"/>
            <w:tcBorders>
              <w:top w:val="nil"/>
              <w:left w:val="nil"/>
              <w:bottom w:val="single" w:color="000000" w:sz="12" w:space="0"/>
              <w:right w:val="nil"/>
            </w:tcBorders>
            <w:vAlign w:val="center"/>
          </w:tcPr>
          <w:p w14:paraId="6E46A86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0.521</w:t>
            </w:r>
          </w:p>
        </w:tc>
        <w:tc>
          <w:tcPr>
            <w:tcW w:w="1153" w:type="pct"/>
            <w:gridSpan w:val="2"/>
            <w:vMerge w:val="continue"/>
            <w:tcBorders>
              <w:top w:val="nil"/>
              <w:left w:val="nil"/>
              <w:bottom w:val="single" w:color="000000" w:sz="12" w:space="0"/>
              <w:right w:val="nil"/>
            </w:tcBorders>
            <w:vAlign w:val="center"/>
          </w:tcPr>
          <w:p w14:paraId="27B84F6A">
            <w:pPr>
              <w:jc w:val="center"/>
              <w:rPr>
                <w:rFonts w:ascii="Times New Roman" w:hAnsi="Times New Roman" w:eastAsia="宋体" w:cs="Times New Roman"/>
                <w:color w:val="000000"/>
                <w:sz w:val="22"/>
              </w:rPr>
            </w:pPr>
          </w:p>
        </w:tc>
      </w:tr>
      <w:tr w14:paraId="6F218157">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single" w:color="000000" w:sz="12" w:space="0"/>
              <w:right w:val="nil"/>
            </w:tcBorders>
            <w:noWrap/>
            <w:vAlign w:val="center"/>
          </w:tcPr>
          <w:p w14:paraId="6AFD00B1">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07107B91">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1E61277E">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1034E0FF">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57A85068">
            <w:pPr>
              <w:jc w:val="center"/>
              <w:rPr>
                <w:rFonts w:ascii="Times New Roman" w:hAnsi="Times New Roman" w:eastAsia="宋体" w:cs="Times New Roman"/>
                <w:color w:val="000000"/>
                <w:sz w:val="22"/>
              </w:rPr>
            </w:pPr>
          </w:p>
        </w:tc>
      </w:tr>
      <w:tr w14:paraId="582F19E5">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736BE57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96 Week</w:t>
            </w:r>
          </w:p>
        </w:tc>
        <w:tc>
          <w:tcPr>
            <w:tcW w:w="878" w:type="pct"/>
            <w:tcBorders>
              <w:top w:val="single" w:color="000000" w:sz="12" w:space="0"/>
              <w:left w:val="nil"/>
              <w:bottom w:val="single" w:color="000000" w:sz="4" w:space="0"/>
              <w:right w:val="nil"/>
            </w:tcBorders>
            <w:vAlign w:val="center"/>
          </w:tcPr>
          <w:p w14:paraId="0D4EA74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1D74065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07231BC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68EC9C2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2B3649C8">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220159F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28E4D7D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878" w:type="pct"/>
            <w:tcBorders>
              <w:top w:val="nil"/>
              <w:left w:val="nil"/>
              <w:bottom w:val="nil"/>
              <w:right w:val="nil"/>
            </w:tcBorders>
            <w:vAlign w:val="center"/>
          </w:tcPr>
          <w:p w14:paraId="6E38D95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96.73%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(88.64%-99.61%)</w:t>
            </w:r>
          </w:p>
        </w:tc>
        <w:tc>
          <w:tcPr>
            <w:tcW w:w="612" w:type="pct"/>
            <w:tcBorders>
              <w:top w:val="nil"/>
              <w:left w:val="nil"/>
              <w:bottom w:val="nil"/>
              <w:right w:val="nil"/>
            </w:tcBorders>
            <w:vAlign w:val="center"/>
          </w:tcPr>
          <w:p w14:paraId="15F621E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3.27%</w:t>
            </w:r>
          </w:p>
        </w:tc>
        <w:tc>
          <w:tcPr>
            <w:tcW w:w="541" w:type="pct"/>
            <w:tcBorders>
              <w:top w:val="nil"/>
              <w:left w:val="nil"/>
              <w:bottom w:val="nil"/>
              <w:right w:val="nil"/>
            </w:tcBorders>
            <w:vAlign w:val="center"/>
          </w:tcPr>
          <w:p w14:paraId="1E7FE30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0.147</w:t>
            </w:r>
          </w:p>
        </w:tc>
      </w:tr>
      <w:tr w14:paraId="3C8EEE21">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5CB9524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4C953DD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98.23%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(90.50%-99.96%)</w:t>
            </w:r>
          </w:p>
        </w:tc>
        <w:tc>
          <w:tcPr>
            <w:tcW w:w="878" w:type="pct"/>
            <w:tcBorders>
              <w:top w:val="nil"/>
              <w:left w:val="nil"/>
              <w:right w:val="nil"/>
            </w:tcBorders>
            <w:vAlign w:val="center"/>
          </w:tcPr>
          <w:p w14:paraId="14730E3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97.71%</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(91.94%-99.72%)</w:t>
            </w:r>
          </w:p>
        </w:tc>
        <w:tc>
          <w:tcPr>
            <w:tcW w:w="612" w:type="pct"/>
            <w:tcBorders>
              <w:top w:val="nil"/>
              <w:left w:val="nil"/>
              <w:right w:val="nil"/>
            </w:tcBorders>
            <w:vAlign w:val="center"/>
          </w:tcPr>
          <w:p w14:paraId="1CF63AE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0.52%</w:t>
            </w:r>
          </w:p>
        </w:tc>
        <w:tc>
          <w:tcPr>
            <w:tcW w:w="541" w:type="pct"/>
            <w:tcBorders>
              <w:top w:val="nil"/>
              <w:left w:val="nil"/>
              <w:right w:val="nil"/>
            </w:tcBorders>
            <w:vAlign w:val="center"/>
          </w:tcPr>
          <w:p w14:paraId="2D3DF28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0.833</w:t>
            </w:r>
          </w:p>
        </w:tc>
      </w:tr>
      <w:tr w14:paraId="5713647F">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25238D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375B433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1.77%</w:t>
            </w:r>
          </w:p>
        </w:tc>
        <w:tc>
          <w:tcPr>
            <w:tcW w:w="878" w:type="pct"/>
            <w:tcBorders>
              <w:top w:val="nil"/>
              <w:left w:val="nil"/>
              <w:bottom w:val="nil"/>
              <w:right w:val="nil"/>
            </w:tcBorders>
            <w:vAlign w:val="center"/>
          </w:tcPr>
          <w:p w14:paraId="432E1D7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-0.98%</w:t>
            </w:r>
          </w:p>
        </w:tc>
        <w:tc>
          <w:tcPr>
            <w:tcW w:w="1153" w:type="pct"/>
            <w:gridSpan w:val="2"/>
            <w:vMerge w:val="restart"/>
            <w:tcBorders>
              <w:top w:val="nil"/>
              <w:left w:val="nil"/>
              <w:bottom w:val="single" w:color="000000" w:sz="4" w:space="0"/>
              <w:right w:val="nil"/>
            </w:tcBorders>
            <w:vAlign w:val="center"/>
          </w:tcPr>
          <w:p w14:paraId="5B2C8C6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4F728024">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1E03398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7CC1A36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0.266</w:t>
            </w:r>
          </w:p>
        </w:tc>
        <w:tc>
          <w:tcPr>
            <w:tcW w:w="878" w:type="pct"/>
            <w:tcBorders>
              <w:top w:val="nil"/>
              <w:left w:val="nil"/>
              <w:bottom w:val="single" w:color="000000" w:sz="12" w:space="0"/>
              <w:right w:val="nil"/>
            </w:tcBorders>
            <w:vAlign w:val="center"/>
          </w:tcPr>
          <w:p w14:paraId="2BA6F10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0.719</w:t>
            </w:r>
          </w:p>
        </w:tc>
        <w:tc>
          <w:tcPr>
            <w:tcW w:w="1153" w:type="pct"/>
            <w:gridSpan w:val="2"/>
            <w:vMerge w:val="continue"/>
            <w:tcBorders>
              <w:top w:val="nil"/>
              <w:left w:val="nil"/>
              <w:bottom w:val="single" w:color="000000" w:sz="12" w:space="0"/>
              <w:right w:val="nil"/>
            </w:tcBorders>
            <w:vAlign w:val="center"/>
          </w:tcPr>
          <w:p w14:paraId="3E795303">
            <w:pPr>
              <w:jc w:val="center"/>
              <w:rPr>
                <w:rFonts w:ascii="Times New Roman" w:hAnsi="Times New Roman" w:eastAsia="宋体" w:cs="Times New Roman"/>
                <w:color w:val="000000"/>
                <w:sz w:val="22"/>
              </w:rPr>
            </w:pPr>
          </w:p>
        </w:tc>
      </w:tr>
      <w:tr w14:paraId="11AFB4EC">
        <w:tblPrEx>
          <w:tblCellMar>
            <w:top w:w="0" w:type="dxa"/>
            <w:left w:w="108" w:type="dxa"/>
            <w:bottom w:w="0" w:type="dxa"/>
            <w:right w:w="108" w:type="dxa"/>
          </w:tblCellMar>
        </w:tblPrEx>
        <w:trPr>
          <w:trHeight w:val="300" w:hRule="atLeast"/>
        </w:trPr>
        <w:tc>
          <w:tcPr>
            <w:tcW w:w="5000" w:type="pct"/>
            <w:gridSpan w:val="5"/>
            <w:tcBorders>
              <w:top w:val="single" w:color="000000" w:sz="12" w:space="0"/>
              <w:left w:val="nil"/>
              <w:bottom w:val="single" w:color="000000" w:sz="12" w:space="0"/>
              <w:right w:val="nil"/>
            </w:tcBorders>
            <w:noWrap/>
            <w:vAlign w:val="center"/>
          </w:tcPr>
          <w:p w14:paraId="76AACE0D">
            <w:pPr>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(D) Plasma HIV-1 RNA, copies/mL (PP dataset)</w:t>
            </w:r>
          </w:p>
        </w:tc>
      </w:tr>
      <w:tr w14:paraId="19BACE27">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1CBC804D">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Baseline</w:t>
            </w:r>
          </w:p>
        </w:tc>
        <w:tc>
          <w:tcPr>
            <w:tcW w:w="878" w:type="pct"/>
            <w:tcBorders>
              <w:top w:val="single" w:color="000000" w:sz="12" w:space="0"/>
              <w:left w:val="nil"/>
              <w:bottom w:val="single" w:color="000000" w:sz="4" w:space="0"/>
              <w:right w:val="nil"/>
            </w:tcBorders>
            <w:vAlign w:val="center"/>
          </w:tcPr>
          <w:p w14:paraId="0692D72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4A54AA1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2D0E13A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10153C6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0FBB691D">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2E83716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03A16D7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878" w:type="pct"/>
            <w:tcBorders>
              <w:top w:val="nil"/>
              <w:left w:val="nil"/>
              <w:bottom w:val="nil"/>
              <w:right w:val="nil"/>
            </w:tcBorders>
            <w:vAlign w:val="center"/>
          </w:tcPr>
          <w:p w14:paraId="62F0E57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(0..45%-12.89%)</w:t>
            </w:r>
          </w:p>
        </w:tc>
        <w:tc>
          <w:tcPr>
            <w:tcW w:w="612" w:type="pct"/>
            <w:tcBorders>
              <w:top w:val="nil"/>
              <w:left w:val="nil"/>
              <w:bottom w:val="nil"/>
              <w:right w:val="nil"/>
            </w:tcBorders>
            <w:vAlign w:val="center"/>
          </w:tcPr>
          <w:p w14:paraId="4E9FD66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-3.73%</w:t>
            </w:r>
          </w:p>
        </w:tc>
        <w:tc>
          <w:tcPr>
            <w:tcW w:w="541" w:type="pct"/>
            <w:tcBorders>
              <w:top w:val="nil"/>
              <w:left w:val="nil"/>
              <w:bottom w:val="nil"/>
              <w:right w:val="nil"/>
            </w:tcBorders>
            <w:vAlign w:val="center"/>
          </w:tcPr>
          <w:p w14:paraId="64F114E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0.208</w:t>
            </w:r>
          </w:p>
        </w:tc>
      </w:tr>
      <w:tr w14:paraId="131813E7">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23BC41CC">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0834F4C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3.09%</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(0.35%-10.98%)</w:t>
            </w:r>
          </w:p>
        </w:tc>
        <w:tc>
          <w:tcPr>
            <w:tcW w:w="878" w:type="pct"/>
            <w:tcBorders>
              <w:top w:val="nil"/>
              <w:left w:val="nil"/>
              <w:right w:val="nil"/>
            </w:tcBorders>
            <w:vAlign w:val="center"/>
          </w:tcPr>
          <w:p w14:paraId="729FE6B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5.43%</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(1.42%-13.67%)</w:t>
            </w:r>
          </w:p>
        </w:tc>
        <w:tc>
          <w:tcPr>
            <w:tcW w:w="612" w:type="pct"/>
            <w:tcBorders>
              <w:top w:val="nil"/>
              <w:left w:val="nil"/>
              <w:right w:val="nil"/>
            </w:tcBorders>
            <w:vAlign w:val="center"/>
          </w:tcPr>
          <w:p w14:paraId="7B63B61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-2.34%</w:t>
            </w:r>
          </w:p>
        </w:tc>
        <w:tc>
          <w:tcPr>
            <w:tcW w:w="541" w:type="pct"/>
            <w:tcBorders>
              <w:top w:val="nil"/>
              <w:left w:val="nil"/>
              <w:right w:val="nil"/>
            </w:tcBorders>
            <w:vAlign w:val="center"/>
          </w:tcPr>
          <w:p w14:paraId="3B4CF9C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0.485</w:t>
            </w:r>
          </w:p>
        </w:tc>
      </w:tr>
      <w:tr w14:paraId="7B75626C">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1DC0440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73FDD85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-3.09%</w:t>
            </w:r>
          </w:p>
        </w:tc>
        <w:tc>
          <w:tcPr>
            <w:tcW w:w="878" w:type="pct"/>
            <w:tcBorders>
              <w:top w:val="nil"/>
              <w:left w:val="nil"/>
              <w:bottom w:val="nil"/>
              <w:right w:val="nil"/>
            </w:tcBorders>
            <w:vAlign w:val="center"/>
          </w:tcPr>
          <w:p w14:paraId="6C60823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-1.70%</w:t>
            </w:r>
          </w:p>
        </w:tc>
        <w:tc>
          <w:tcPr>
            <w:tcW w:w="1153" w:type="pct"/>
            <w:gridSpan w:val="2"/>
            <w:vMerge w:val="restart"/>
            <w:tcBorders>
              <w:top w:val="nil"/>
              <w:left w:val="nil"/>
              <w:bottom w:val="single" w:color="000000" w:sz="4" w:space="0"/>
              <w:right w:val="nil"/>
            </w:tcBorders>
            <w:vAlign w:val="center"/>
          </w:tcPr>
          <w:p w14:paraId="4D70CD0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10A646D0">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614DB8E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7DBA5C1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0.317</w:t>
            </w:r>
          </w:p>
        </w:tc>
        <w:tc>
          <w:tcPr>
            <w:tcW w:w="878" w:type="pct"/>
            <w:tcBorders>
              <w:top w:val="nil"/>
              <w:left w:val="nil"/>
              <w:bottom w:val="single" w:color="000000" w:sz="12" w:space="0"/>
              <w:right w:val="nil"/>
            </w:tcBorders>
            <w:vAlign w:val="center"/>
          </w:tcPr>
          <w:p w14:paraId="716BBBB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0.616</w:t>
            </w:r>
          </w:p>
        </w:tc>
        <w:tc>
          <w:tcPr>
            <w:tcW w:w="1153" w:type="pct"/>
            <w:gridSpan w:val="2"/>
            <w:vMerge w:val="continue"/>
            <w:tcBorders>
              <w:top w:val="nil"/>
              <w:left w:val="nil"/>
              <w:bottom w:val="single" w:color="000000" w:sz="12" w:space="0"/>
              <w:right w:val="nil"/>
            </w:tcBorders>
            <w:vAlign w:val="center"/>
          </w:tcPr>
          <w:p w14:paraId="4D0D41E8">
            <w:pPr>
              <w:jc w:val="center"/>
              <w:rPr>
                <w:rFonts w:ascii="Times New Roman" w:hAnsi="Times New Roman" w:eastAsia="宋体" w:cs="Times New Roman"/>
                <w:color w:val="000000"/>
                <w:sz w:val="22"/>
              </w:rPr>
            </w:pPr>
          </w:p>
        </w:tc>
      </w:tr>
      <w:tr w14:paraId="47D81685">
        <w:trPr>
          <w:trHeight w:val="300" w:hRule="atLeast"/>
        </w:trPr>
        <w:tc>
          <w:tcPr>
            <w:tcW w:w="2090" w:type="pct"/>
            <w:tcBorders>
              <w:top w:val="single" w:color="000000" w:sz="12" w:space="0"/>
              <w:left w:val="nil"/>
              <w:bottom w:val="single" w:color="000000" w:sz="12" w:space="0"/>
              <w:right w:val="nil"/>
            </w:tcBorders>
            <w:noWrap/>
            <w:vAlign w:val="center"/>
          </w:tcPr>
          <w:p w14:paraId="55F751C2">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0C086229">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38AA7AD7">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7F374991">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070E3A1D">
            <w:pPr>
              <w:jc w:val="center"/>
              <w:rPr>
                <w:rFonts w:ascii="Times New Roman" w:hAnsi="Times New Roman" w:eastAsia="宋体" w:cs="Times New Roman"/>
                <w:color w:val="000000"/>
                <w:sz w:val="22"/>
              </w:rPr>
            </w:pPr>
          </w:p>
        </w:tc>
      </w:tr>
      <w:tr w14:paraId="2FC45718">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47E4B7B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48 Week</w:t>
            </w:r>
          </w:p>
        </w:tc>
        <w:tc>
          <w:tcPr>
            <w:tcW w:w="878" w:type="pct"/>
            <w:tcBorders>
              <w:top w:val="single" w:color="000000" w:sz="12" w:space="0"/>
              <w:left w:val="nil"/>
              <w:bottom w:val="single" w:color="000000" w:sz="4" w:space="0"/>
              <w:right w:val="nil"/>
            </w:tcBorders>
            <w:vAlign w:val="center"/>
          </w:tcPr>
          <w:p w14:paraId="2C67F72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2B81D56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2EE3E34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7791CF23">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0F0F638D">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1A4E046B">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3E0C486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98.36%</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(91.15%-99.96%)</w:t>
            </w:r>
          </w:p>
        </w:tc>
        <w:tc>
          <w:tcPr>
            <w:tcW w:w="878" w:type="pct"/>
            <w:tcBorders>
              <w:top w:val="nil"/>
              <w:left w:val="nil"/>
              <w:bottom w:val="nil"/>
              <w:right w:val="nil"/>
            </w:tcBorders>
            <w:vAlign w:val="center"/>
          </w:tcPr>
          <w:p w14:paraId="78424E7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612" w:type="pct"/>
            <w:tcBorders>
              <w:top w:val="nil"/>
              <w:left w:val="nil"/>
              <w:bottom w:val="nil"/>
              <w:right w:val="nil"/>
            </w:tcBorders>
            <w:vAlign w:val="center"/>
          </w:tcPr>
          <w:p w14:paraId="22C9FEA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-1.64%</w:t>
            </w:r>
          </w:p>
        </w:tc>
        <w:tc>
          <w:tcPr>
            <w:tcW w:w="541" w:type="pct"/>
            <w:tcBorders>
              <w:top w:val="nil"/>
              <w:left w:val="nil"/>
              <w:bottom w:val="nil"/>
              <w:right w:val="nil"/>
            </w:tcBorders>
            <w:vAlign w:val="center"/>
          </w:tcPr>
          <w:p w14:paraId="3A3B469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0.317</w:t>
            </w:r>
          </w:p>
        </w:tc>
      </w:tr>
      <w:tr w14:paraId="72E18F3B">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5C6ACC2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0826A2E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98.30%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(90.78%-99.96%)</w:t>
            </w:r>
          </w:p>
        </w:tc>
        <w:tc>
          <w:tcPr>
            <w:tcW w:w="878" w:type="pct"/>
            <w:tcBorders>
              <w:top w:val="nil"/>
              <w:left w:val="nil"/>
              <w:right w:val="nil"/>
            </w:tcBorders>
            <w:vAlign w:val="center"/>
          </w:tcPr>
          <w:p w14:paraId="4D451EC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98.79%</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(93.44%-99.97%)</w:t>
            </w:r>
          </w:p>
        </w:tc>
        <w:tc>
          <w:tcPr>
            <w:tcW w:w="612" w:type="pct"/>
            <w:tcBorders>
              <w:top w:val="nil"/>
              <w:left w:val="nil"/>
              <w:right w:val="nil"/>
            </w:tcBorders>
            <w:vAlign w:val="center"/>
          </w:tcPr>
          <w:p w14:paraId="6FB9EF4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-0.49%</w:t>
            </w:r>
          </w:p>
        </w:tc>
        <w:tc>
          <w:tcPr>
            <w:tcW w:w="541" w:type="pct"/>
            <w:tcBorders>
              <w:top w:val="nil"/>
              <w:left w:val="nil"/>
              <w:right w:val="nil"/>
            </w:tcBorders>
            <w:vAlign w:val="center"/>
          </w:tcPr>
          <w:p w14:paraId="4B1EAD0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0.915</w:t>
            </w:r>
          </w:p>
        </w:tc>
      </w:tr>
      <w:tr w14:paraId="3EAE1933">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5240BD86">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18B3978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0.06%</w:t>
            </w:r>
          </w:p>
        </w:tc>
        <w:tc>
          <w:tcPr>
            <w:tcW w:w="878" w:type="pct"/>
            <w:tcBorders>
              <w:top w:val="nil"/>
              <w:left w:val="nil"/>
              <w:bottom w:val="nil"/>
              <w:right w:val="nil"/>
            </w:tcBorders>
            <w:vAlign w:val="center"/>
          </w:tcPr>
          <w:p w14:paraId="3CC89AF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1.21%</w:t>
            </w:r>
          </w:p>
        </w:tc>
        <w:tc>
          <w:tcPr>
            <w:tcW w:w="1153" w:type="pct"/>
            <w:gridSpan w:val="2"/>
            <w:vMerge w:val="restart"/>
            <w:tcBorders>
              <w:top w:val="nil"/>
              <w:left w:val="nil"/>
              <w:bottom w:val="single" w:color="000000" w:sz="4" w:space="0"/>
              <w:right w:val="nil"/>
            </w:tcBorders>
            <w:vAlign w:val="center"/>
          </w:tcPr>
          <w:p w14:paraId="76EEB54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47124712">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3809854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604AE72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0.992</w:t>
            </w:r>
          </w:p>
        </w:tc>
        <w:tc>
          <w:tcPr>
            <w:tcW w:w="878" w:type="pct"/>
            <w:tcBorders>
              <w:top w:val="nil"/>
              <w:left w:val="nil"/>
              <w:bottom w:val="single" w:color="000000" w:sz="12" w:space="0"/>
              <w:right w:val="nil"/>
            </w:tcBorders>
            <w:vAlign w:val="center"/>
          </w:tcPr>
          <w:p w14:paraId="3491E43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0.418</w:t>
            </w:r>
          </w:p>
        </w:tc>
        <w:tc>
          <w:tcPr>
            <w:tcW w:w="1153" w:type="pct"/>
            <w:gridSpan w:val="2"/>
            <w:vMerge w:val="continue"/>
            <w:tcBorders>
              <w:top w:val="nil"/>
              <w:left w:val="nil"/>
              <w:bottom w:val="single" w:color="000000" w:sz="12" w:space="0"/>
              <w:right w:val="nil"/>
            </w:tcBorders>
            <w:vAlign w:val="center"/>
          </w:tcPr>
          <w:p w14:paraId="5BEDA651">
            <w:pPr>
              <w:jc w:val="center"/>
              <w:rPr>
                <w:rFonts w:ascii="Times New Roman" w:hAnsi="Times New Roman" w:eastAsia="宋体" w:cs="Times New Roman"/>
                <w:color w:val="000000"/>
                <w:sz w:val="22"/>
              </w:rPr>
            </w:pPr>
          </w:p>
        </w:tc>
      </w:tr>
      <w:tr w14:paraId="5946A76A">
        <w:tblPrEx>
          <w:tblCellMar>
            <w:top w:w="0" w:type="dxa"/>
            <w:left w:w="108" w:type="dxa"/>
            <w:bottom w:w="0" w:type="dxa"/>
            <w:right w:w="108" w:type="dxa"/>
          </w:tblCellMar>
        </w:tblPrEx>
        <w:trPr>
          <w:trHeight w:val="300" w:hRule="atLeast"/>
        </w:trPr>
        <w:tc>
          <w:tcPr>
            <w:tcW w:w="2090" w:type="pct"/>
            <w:tcBorders>
              <w:top w:val="single" w:color="000000" w:sz="12" w:space="0"/>
              <w:left w:val="nil"/>
              <w:bottom w:val="single" w:color="000000" w:sz="12" w:space="0"/>
              <w:right w:val="nil"/>
            </w:tcBorders>
            <w:noWrap/>
            <w:vAlign w:val="center"/>
          </w:tcPr>
          <w:p w14:paraId="233D489F">
            <w:pPr>
              <w:jc w:val="center"/>
              <w:rPr>
                <w:rFonts w:ascii="Times New Roman" w:hAnsi="Times New Roman" w:eastAsia="宋体" w:cs="Times New Roman"/>
                <w:b/>
                <w:bCs/>
                <w:color w:val="000000"/>
                <w:sz w:val="22"/>
              </w:rPr>
            </w:pPr>
          </w:p>
        </w:tc>
        <w:tc>
          <w:tcPr>
            <w:tcW w:w="878" w:type="pct"/>
            <w:tcBorders>
              <w:top w:val="single" w:color="000000" w:sz="12" w:space="0"/>
              <w:left w:val="nil"/>
              <w:bottom w:val="single" w:color="000000" w:sz="12" w:space="0"/>
              <w:right w:val="nil"/>
            </w:tcBorders>
            <w:noWrap/>
            <w:vAlign w:val="center"/>
          </w:tcPr>
          <w:p w14:paraId="0117AF64">
            <w:pPr>
              <w:jc w:val="center"/>
              <w:rPr>
                <w:rFonts w:ascii="Times New Roman" w:hAnsi="Times New Roman" w:eastAsia="宋体" w:cs="Times New Roman"/>
                <w:color w:val="000000"/>
                <w:sz w:val="22"/>
              </w:rPr>
            </w:pPr>
          </w:p>
        </w:tc>
        <w:tc>
          <w:tcPr>
            <w:tcW w:w="878" w:type="pct"/>
            <w:tcBorders>
              <w:top w:val="single" w:color="000000" w:sz="12" w:space="0"/>
              <w:left w:val="nil"/>
              <w:bottom w:val="single" w:color="000000" w:sz="12" w:space="0"/>
              <w:right w:val="nil"/>
            </w:tcBorders>
            <w:noWrap/>
            <w:vAlign w:val="center"/>
          </w:tcPr>
          <w:p w14:paraId="04B04894">
            <w:pPr>
              <w:jc w:val="center"/>
              <w:rPr>
                <w:rFonts w:ascii="Times New Roman" w:hAnsi="Times New Roman" w:eastAsia="宋体" w:cs="Times New Roman"/>
                <w:color w:val="000000"/>
                <w:sz w:val="22"/>
              </w:rPr>
            </w:pPr>
          </w:p>
        </w:tc>
        <w:tc>
          <w:tcPr>
            <w:tcW w:w="612" w:type="pct"/>
            <w:tcBorders>
              <w:top w:val="single" w:color="000000" w:sz="12" w:space="0"/>
              <w:left w:val="nil"/>
              <w:bottom w:val="single" w:color="000000" w:sz="12" w:space="0"/>
              <w:right w:val="nil"/>
            </w:tcBorders>
            <w:noWrap/>
            <w:vAlign w:val="center"/>
          </w:tcPr>
          <w:p w14:paraId="79DD008C">
            <w:pPr>
              <w:jc w:val="center"/>
              <w:rPr>
                <w:rFonts w:ascii="Times New Roman" w:hAnsi="Times New Roman" w:eastAsia="宋体" w:cs="Times New Roman"/>
                <w:color w:val="000000"/>
                <w:sz w:val="22"/>
              </w:rPr>
            </w:pPr>
          </w:p>
        </w:tc>
        <w:tc>
          <w:tcPr>
            <w:tcW w:w="541" w:type="pct"/>
            <w:tcBorders>
              <w:top w:val="single" w:color="000000" w:sz="12" w:space="0"/>
              <w:left w:val="nil"/>
              <w:bottom w:val="single" w:color="000000" w:sz="12" w:space="0"/>
              <w:right w:val="nil"/>
            </w:tcBorders>
            <w:noWrap/>
            <w:vAlign w:val="center"/>
          </w:tcPr>
          <w:p w14:paraId="2E6AFBB2">
            <w:pPr>
              <w:jc w:val="center"/>
              <w:rPr>
                <w:rFonts w:ascii="Times New Roman" w:hAnsi="Times New Roman" w:eastAsia="宋体" w:cs="Times New Roman"/>
                <w:color w:val="000000"/>
                <w:sz w:val="22"/>
              </w:rPr>
            </w:pPr>
          </w:p>
        </w:tc>
      </w:tr>
      <w:tr w14:paraId="0BFB74CF">
        <w:tblPrEx>
          <w:tblCellMar>
            <w:top w:w="0" w:type="dxa"/>
            <w:left w:w="108" w:type="dxa"/>
            <w:bottom w:w="0" w:type="dxa"/>
            <w:right w:w="108" w:type="dxa"/>
          </w:tblCellMar>
        </w:tblPrEx>
        <w:trPr>
          <w:trHeight w:val="855" w:hRule="atLeast"/>
        </w:trPr>
        <w:tc>
          <w:tcPr>
            <w:tcW w:w="2090" w:type="pct"/>
            <w:tcBorders>
              <w:top w:val="single" w:color="000000" w:sz="12" w:space="0"/>
              <w:left w:val="nil"/>
              <w:bottom w:val="single" w:color="000000" w:sz="4" w:space="0"/>
              <w:right w:val="nil"/>
            </w:tcBorders>
            <w:noWrap/>
            <w:vAlign w:val="center"/>
          </w:tcPr>
          <w:p w14:paraId="06917FD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96 Week</w:t>
            </w:r>
          </w:p>
        </w:tc>
        <w:tc>
          <w:tcPr>
            <w:tcW w:w="878" w:type="pct"/>
            <w:tcBorders>
              <w:top w:val="single" w:color="000000" w:sz="12" w:space="0"/>
              <w:left w:val="nil"/>
              <w:bottom w:val="single" w:color="000000" w:sz="4" w:space="0"/>
              <w:right w:val="nil"/>
            </w:tcBorders>
            <w:vAlign w:val="center"/>
          </w:tcPr>
          <w:p w14:paraId="16E288B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878" w:type="pct"/>
            <w:tcBorders>
              <w:top w:val="single" w:color="000000" w:sz="12" w:space="0"/>
              <w:left w:val="nil"/>
              <w:bottom w:val="single" w:color="000000" w:sz="4" w:space="0"/>
              <w:right w:val="nil"/>
            </w:tcBorders>
            <w:vAlign w:val="center"/>
          </w:tcPr>
          <w:p w14:paraId="0BA3A90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r>
              <w:rPr>
                <w:rFonts w:ascii="Times New Roman" w:hAnsi="Times New Roman" w:eastAsia="宋体" w:cs="Times New Roman"/>
                <w:b/>
                <w:bCs/>
                <w:color w:val="000000"/>
                <w:kern w:val="0"/>
                <w:sz w:val="22"/>
                <w:lang w:bidi="ar"/>
              </w:rPr>
              <w:br w:type="textWrapping"/>
            </w:r>
            <w:r>
              <w:rPr>
                <w:rFonts w:ascii="Times New Roman" w:hAnsi="Times New Roman" w:eastAsia="宋体" w:cs="Times New Roman"/>
                <w:b/>
                <w:bCs/>
                <w:color w:val="000000"/>
                <w:kern w:val="0"/>
                <w:sz w:val="22"/>
                <w:lang w:bidi="ar"/>
              </w:rPr>
              <w:t>Median (95% CI)</w:t>
            </w:r>
          </w:p>
        </w:tc>
        <w:tc>
          <w:tcPr>
            <w:tcW w:w="612" w:type="pct"/>
            <w:tcBorders>
              <w:top w:val="single" w:color="000000" w:sz="12" w:space="0"/>
              <w:left w:val="nil"/>
              <w:bottom w:val="single" w:color="000000" w:sz="4" w:space="0"/>
              <w:right w:val="nil"/>
            </w:tcBorders>
            <w:vAlign w:val="center"/>
          </w:tcPr>
          <w:p w14:paraId="20973AA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c>
          <w:tcPr>
            <w:tcW w:w="541" w:type="pct"/>
            <w:tcBorders>
              <w:top w:val="single" w:color="000000" w:sz="12" w:space="0"/>
              <w:left w:val="nil"/>
              <w:bottom w:val="single" w:color="000000" w:sz="4" w:space="0"/>
              <w:right w:val="nil"/>
            </w:tcBorders>
            <w:noWrap/>
            <w:vAlign w:val="center"/>
          </w:tcPr>
          <w:p w14:paraId="64B1970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r>
      <w:tr w14:paraId="179B6CF7">
        <w:tblPrEx>
          <w:tblCellMar>
            <w:top w:w="0" w:type="dxa"/>
            <w:left w:w="108" w:type="dxa"/>
            <w:bottom w:w="0" w:type="dxa"/>
            <w:right w:w="108" w:type="dxa"/>
          </w:tblCellMar>
        </w:tblPrEx>
        <w:trPr>
          <w:trHeight w:val="600" w:hRule="atLeast"/>
        </w:trPr>
        <w:tc>
          <w:tcPr>
            <w:tcW w:w="2090" w:type="pct"/>
            <w:tcBorders>
              <w:top w:val="nil"/>
              <w:left w:val="nil"/>
              <w:bottom w:val="nil"/>
              <w:right w:val="nil"/>
            </w:tcBorders>
            <w:noWrap/>
            <w:vAlign w:val="center"/>
          </w:tcPr>
          <w:p w14:paraId="48BCE272">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878" w:type="pct"/>
            <w:tcBorders>
              <w:top w:val="nil"/>
              <w:left w:val="nil"/>
              <w:bottom w:val="nil"/>
              <w:right w:val="nil"/>
            </w:tcBorders>
            <w:vAlign w:val="center"/>
          </w:tcPr>
          <w:p w14:paraId="1148009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878" w:type="pct"/>
            <w:tcBorders>
              <w:top w:val="nil"/>
              <w:left w:val="nil"/>
              <w:bottom w:val="nil"/>
              <w:right w:val="nil"/>
            </w:tcBorders>
            <w:vAlign w:val="center"/>
          </w:tcPr>
          <w:p w14:paraId="124A634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97.79%</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(88.30%-99.94%)</w:t>
            </w:r>
          </w:p>
        </w:tc>
        <w:tc>
          <w:tcPr>
            <w:tcW w:w="612" w:type="pct"/>
            <w:tcBorders>
              <w:top w:val="nil"/>
              <w:left w:val="nil"/>
              <w:bottom w:val="nil"/>
              <w:right w:val="nil"/>
            </w:tcBorders>
            <w:vAlign w:val="center"/>
          </w:tcPr>
          <w:p w14:paraId="4ACFD29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2.21%</w:t>
            </w:r>
          </w:p>
        </w:tc>
        <w:tc>
          <w:tcPr>
            <w:tcW w:w="541" w:type="pct"/>
            <w:tcBorders>
              <w:top w:val="nil"/>
              <w:left w:val="nil"/>
              <w:bottom w:val="nil"/>
              <w:right w:val="nil"/>
            </w:tcBorders>
            <w:vAlign w:val="center"/>
          </w:tcPr>
          <w:p w14:paraId="21CEDA5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0.288</w:t>
            </w:r>
          </w:p>
        </w:tc>
      </w:tr>
      <w:tr w14:paraId="064B74CA">
        <w:tblPrEx>
          <w:tblCellMar>
            <w:top w:w="0" w:type="dxa"/>
            <w:left w:w="108" w:type="dxa"/>
            <w:bottom w:w="0" w:type="dxa"/>
            <w:right w:w="108" w:type="dxa"/>
          </w:tblCellMar>
        </w:tblPrEx>
        <w:trPr>
          <w:trHeight w:val="600" w:hRule="atLeast"/>
        </w:trPr>
        <w:tc>
          <w:tcPr>
            <w:tcW w:w="2090" w:type="pct"/>
            <w:tcBorders>
              <w:top w:val="nil"/>
              <w:left w:val="nil"/>
              <w:right w:val="nil"/>
            </w:tcBorders>
            <w:noWrap/>
            <w:vAlign w:val="center"/>
          </w:tcPr>
          <w:p w14:paraId="40AFF10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878" w:type="pct"/>
            <w:tcBorders>
              <w:top w:val="nil"/>
              <w:left w:val="nil"/>
              <w:right w:val="nil"/>
            </w:tcBorders>
            <w:vAlign w:val="center"/>
          </w:tcPr>
          <w:p w14:paraId="38BEADA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100.00%</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w:t>
            </w:r>
          </w:p>
        </w:tc>
        <w:tc>
          <w:tcPr>
            <w:tcW w:w="878" w:type="pct"/>
            <w:tcBorders>
              <w:top w:val="nil"/>
              <w:left w:val="nil"/>
              <w:right w:val="nil"/>
            </w:tcBorders>
            <w:vAlign w:val="center"/>
          </w:tcPr>
          <w:p w14:paraId="0619A3A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98.71%</w:t>
            </w:r>
            <w:r>
              <w:rPr>
                <w:rFonts w:ascii="Times New Roman" w:hAnsi="Times New Roman" w:eastAsia="宋体" w:cs="Times New Roman"/>
                <w:color w:val="000000"/>
                <w:kern w:val="0"/>
                <w:sz w:val="22"/>
                <w:lang w:bidi="ar"/>
              </w:rPr>
              <w:br w:type="textWrapping"/>
            </w:r>
            <w:r>
              <w:rPr>
                <w:rFonts w:ascii="Times New Roman" w:hAnsi="Times New Roman" w:eastAsia="宋体" w:cs="Times New Roman"/>
                <w:color w:val="000000"/>
                <w:kern w:val="0"/>
                <w:sz w:val="22"/>
                <w:lang w:bidi="ar"/>
              </w:rPr>
              <w:t>(93.00%-99.97%)</w:t>
            </w:r>
          </w:p>
        </w:tc>
        <w:tc>
          <w:tcPr>
            <w:tcW w:w="612" w:type="pct"/>
            <w:tcBorders>
              <w:top w:val="nil"/>
              <w:left w:val="nil"/>
              <w:right w:val="nil"/>
            </w:tcBorders>
            <w:vAlign w:val="center"/>
          </w:tcPr>
          <w:p w14:paraId="20A84DC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1.29%</w:t>
            </w:r>
          </w:p>
        </w:tc>
        <w:tc>
          <w:tcPr>
            <w:tcW w:w="541" w:type="pct"/>
            <w:tcBorders>
              <w:top w:val="nil"/>
              <w:left w:val="nil"/>
              <w:right w:val="nil"/>
            </w:tcBorders>
            <w:vAlign w:val="center"/>
          </w:tcPr>
          <w:p w14:paraId="73BBCA4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0.168</w:t>
            </w:r>
          </w:p>
        </w:tc>
      </w:tr>
      <w:tr w14:paraId="48F11CC4">
        <w:tblPrEx>
          <w:tblCellMar>
            <w:top w:w="0" w:type="dxa"/>
            <w:left w:w="108" w:type="dxa"/>
            <w:bottom w:w="0" w:type="dxa"/>
            <w:right w:w="108" w:type="dxa"/>
          </w:tblCellMar>
        </w:tblPrEx>
        <w:trPr>
          <w:trHeight w:val="300" w:hRule="atLeast"/>
        </w:trPr>
        <w:tc>
          <w:tcPr>
            <w:tcW w:w="2090" w:type="pct"/>
            <w:tcBorders>
              <w:top w:val="nil"/>
              <w:left w:val="nil"/>
              <w:bottom w:val="nil"/>
              <w:right w:val="nil"/>
            </w:tcBorders>
            <w:vAlign w:val="center"/>
          </w:tcPr>
          <w:p w14:paraId="17CC1405">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78" w:type="pct"/>
            <w:tcBorders>
              <w:top w:val="nil"/>
              <w:left w:val="nil"/>
              <w:bottom w:val="nil"/>
              <w:right w:val="nil"/>
            </w:tcBorders>
            <w:vAlign w:val="center"/>
          </w:tcPr>
          <w:p w14:paraId="0B28C4D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0.00%</w:t>
            </w:r>
          </w:p>
        </w:tc>
        <w:tc>
          <w:tcPr>
            <w:tcW w:w="878" w:type="pct"/>
            <w:tcBorders>
              <w:top w:val="nil"/>
              <w:left w:val="nil"/>
              <w:bottom w:val="nil"/>
              <w:right w:val="nil"/>
            </w:tcBorders>
            <w:vAlign w:val="center"/>
          </w:tcPr>
          <w:p w14:paraId="3614D28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-0.92%</w:t>
            </w:r>
          </w:p>
        </w:tc>
        <w:tc>
          <w:tcPr>
            <w:tcW w:w="1153" w:type="pct"/>
            <w:gridSpan w:val="2"/>
            <w:vMerge w:val="restart"/>
            <w:tcBorders>
              <w:top w:val="nil"/>
              <w:left w:val="nil"/>
              <w:bottom w:val="single" w:color="000000" w:sz="4" w:space="0"/>
              <w:right w:val="nil"/>
            </w:tcBorders>
            <w:vAlign w:val="center"/>
          </w:tcPr>
          <w:p w14:paraId="57DCB3F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550ECC00">
        <w:tblPrEx>
          <w:tblCellMar>
            <w:top w:w="0" w:type="dxa"/>
            <w:left w:w="108" w:type="dxa"/>
            <w:bottom w:w="0" w:type="dxa"/>
            <w:right w:w="108" w:type="dxa"/>
          </w:tblCellMar>
        </w:tblPrEx>
        <w:trPr>
          <w:trHeight w:val="300" w:hRule="atLeast"/>
        </w:trPr>
        <w:tc>
          <w:tcPr>
            <w:tcW w:w="2090" w:type="pct"/>
            <w:tcBorders>
              <w:top w:val="nil"/>
              <w:left w:val="nil"/>
              <w:bottom w:val="single" w:color="000000" w:sz="12" w:space="0"/>
              <w:right w:val="nil"/>
            </w:tcBorders>
            <w:noWrap/>
            <w:vAlign w:val="center"/>
          </w:tcPr>
          <w:p w14:paraId="64E965B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P-value</w:t>
            </w:r>
          </w:p>
        </w:tc>
        <w:tc>
          <w:tcPr>
            <w:tcW w:w="878" w:type="pct"/>
            <w:tcBorders>
              <w:top w:val="nil"/>
              <w:left w:val="nil"/>
              <w:bottom w:val="single" w:color="000000" w:sz="12" w:space="0"/>
              <w:right w:val="nil"/>
            </w:tcBorders>
            <w:vAlign w:val="center"/>
          </w:tcPr>
          <w:p w14:paraId="68F0078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1.000 </w:t>
            </w:r>
          </w:p>
        </w:tc>
        <w:tc>
          <w:tcPr>
            <w:tcW w:w="878" w:type="pct"/>
            <w:tcBorders>
              <w:top w:val="nil"/>
              <w:left w:val="nil"/>
              <w:bottom w:val="single" w:color="000000" w:sz="12" w:space="0"/>
              <w:right w:val="nil"/>
            </w:tcBorders>
            <w:vAlign w:val="center"/>
          </w:tcPr>
          <w:p w14:paraId="5B5CBA8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0.875 </w:t>
            </w:r>
          </w:p>
        </w:tc>
        <w:tc>
          <w:tcPr>
            <w:tcW w:w="1153" w:type="pct"/>
            <w:gridSpan w:val="2"/>
            <w:vMerge w:val="continue"/>
            <w:tcBorders>
              <w:top w:val="nil"/>
              <w:left w:val="nil"/>
              <w:bottom w:val="single" w:color="000000" w:sz="12" w:space="0"/>
              <w:right w:val="nil"/>
            </w:tcBorders>
            <w:vAlign w:val="center"/>
          </w:tcPr>
          <w:p w14:paraId="0F6C9EA5">
            <w:pPr>
              <w:jc w:val="center"/>
              <w:rPr>
                <w:rFonts w:ascii="Times New Roman" w:hAnsi="Times New Roman" w:eastAsia="宋体" w:cs="Times New Roman"/>
                <w:color w:val="000000"/>
                <w:sz w:val="22"/>
              </w:rPr>
            </w:pPr>
          </w:p>
        </w:tc>
      </w:tr>
    </w:tbl>
    <w:p w14:paraId="33B4EE59">
      <w:pPr>
        <w:spacing w:line="480" w:lineRule="auto"/>
      </w:pPr>
    </w:p>
    <w:p w14:paraId="3F2897B6">
      <w:pPr>
        <w:pStyle w:val="4"/>
        <w:spacing w:before="0" w:after="0" w:line="480" w:lineRule="auto"/>
        <w:rPr>
          <w:rFonts w:ascii="Times New Roman" w:hAnsi="Times New Roman" w:cs="Times New Roman"/>
          <w:sz w:val="24"/>
          <w:szCs w:val="24"/>
        </w:rPr>
      </w:pPr>
      <w:r>
        <w:rPr>
          <w:rFonts w:hint="eastAsia" w:ascii="Times New Roman" w:hAnsi="Times New Roman" w:cs="Times New Roman"/>
          <w:sz w:val="24"/>
          <w:szCs w:val="24"/>
        </w:rPr>
        <w:t>E</w:t>
      </w:r>
      <w:r>
        <w:rPr>
          <w:rFonts w:ascii="Times New Roman" w:hAnsi="Times New Roman" w:cs="Times New Roman"/>
          <w:sz w:val="24"/>
          <w:szCs w:val="24"/>
        </w:rPr>
        <w:t xml:space="preserve">conomic </w:t>
      </w:r>
      <w:r>
        <w:rPr>
          <w:rFonts w:hint="eastAsia" w:ascii="Times New Roman" w:hAnsi="Times New Roman" w:cs="Times New Roman"/>
          <w:sz w:val="24"/>
          <w:szCs w:val="24"/>
        </w:rPr>
        <w:t>O</w:t>
      </w:r>
      <w:r>
        <w:rPr>
          <w:rFonts w:ascii="Times New Roman" w:hAnsi="Times New Roman" w:cs="Times New Roman"/>
          <w:sz w:val="24"/>
          <w:szCs w:val="24"/>
        </w:rPr>
        <w:t>utcomes</w:t>
      </w:r>
    </w:p>
    <w:p w14:paraId="1350F09F">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 xml:space="preserve">The base-case cost-effectiveness results from the per-protocol (PP) dataset were summarized in </w:t>
      </w:r>
      <w:r>
        <w:rPr>
          <w:rFonts w:hint="eastAsia" w:ascii="Times New Roman" w:hAnsi="Times New Roman" w:eastAsia="黑体" w:cs="Times New Roman"/>
          <w:b/>
          <w:bCs/>
          <w:sz w:val="24"/>
          <w:szCs w:val="24"/>
        </w:rPr>
        <w:t>Appendix Table 18</w:t>
      </w:r>
      <w:r>
        <w:rPr>
          <w:rFonts w:hint="eastAsia" w:ascii="Times New Roman" w:hAnsi="Times New Roman" w:eastAsia="黑体" w:cs="Times New Roman"/>
          <w:sz w:val="24"/>
          <w:szCs w:val="24"/>
        </w:rPr>
        <w:t xml:space="preserve">, while </w:t>
      </w:r>
      <w:r>
        <w:rPr>
          <w:rFonts w:hint="eastAsia" w:ascii="Times New Roman" w:hAnsi="Times New Roman" w:eastAsia="黑体" w:cs="Times New Roman"/>
          <w:b/>
          <w:bCs/>
          <w:sz w:val="24"/>
          <w:szCs w:val="24"/>
        </w:rPr>
        <w:t>Appendix Table 19</w:t>
      </w:r>
      <w:r>
        <w:rPr>
          <w:rFonts w:hint="eastAsia" w:ascii="Times New Roman" w:hAnsi="Times New Roman" w:eastAsia="黑体" w:cs="Times New Roman"/>
          <w:sz w:val="24"/>
          <w:szCs w:val="24"/>
        </w:rPr>
        <w:t xml:space="preserve"> provided a detailed breakdown of the incremental QALYs and costs that underpinned these calculations. In the Markov model analysis within the PP dataset, the comparison between the BIC and EFV regimens revealed that rapid initiation was associated with an extremely high incremental cost of $288,610.17 for a minimal effectiveness gain of 0.0022 QALYs, resulting in an ICER of $131,186,441.82 per QALY gained, which far exceeded the cost-effectiveness threshold. In contrast, non-rapid initiation of BIC versus EFV in the same dataset yielded an ICER of $64,822.42 per QALY gained, which represented </w:t>
      </w:r>
      <w:r>
        <w:rPr>
          <w:rFonts w:hint="eastAsia" w:ascii="Times New Roman" w:hAnsi="Times New Roman" w:eastAsia="黑体" w:cs="Times New Roman"/>
          <w:sz w:val="24"/>
          <w:szCs w:val="24"/>
          <w:lang w:val="en-US" w:eastAsia="zh-CN"/>
        </w:rPr>
        <w:t>4.28</w:t>
      </w:r>
      <w:r>
        <w:rPr>
          <w:rFonts w:hint="eastAsia" w:ascii="Times New Roman" w:hAnsi="Times New Roman" w:eastAsia="黑体" w:cs="Times New Roman"/>
          <w:sz w:val="24"/>
          <w:szCs w:val="24"/>
        </w:rPr>
        <w:t xml:space="preserve"> times GDP. When comparing initiation strategies within the Markov model, the BIC regimen showed an ICER of $29,983.92 per QALY gained, while the EFV regimen resulted in an ICER of $14,414.43 per QALY gained, both below </w:t>
      </w:r>
      <w:r>
        <w:rPr>
          <w:rFonts w:hint="eastAsia" w:ascii="Times New Roman" w:hAnsi="Times New Roman" w:eastAsia="黑体" w:cs="Times New Roman"/>
          <w:sz w:val="24"/>
          <w:szCs w:val="24"/>
          <w:lang w:val="en-US" w:eastAsia="zh-CN"/>
        </w:rPr>
        <w:t>3</w:t>
      </w:r>
      <w:r>
        <w:rPr>
          <w:rFonts w:hint="eastAsia" w:ascii="Times New Roman" w:hAnsi="Times New Roman" w:eastAsia="黑体" w:cs="Times New Roman"/>
          <w:sz w:val="24"/>
          <w:szCs w:val="24"/>
        </w:rPr>
        <w:t xml:space="preserve"> times GDP.</w:t>
      </w:r>
    </w:p>
    <w:p w14:paraId="232BAC86">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 xml:space="preserve">The results from the infectious disease dynamic model in the PP dataset presented a distinct pattern. The comparison of BIC versus EFV regimens showed ICERs of $3,604.00 and $39,217.27 per QALY gained for rapid and non-rapid initiation, respectively, both remaining below </w:t>
      </w:r>
      <w:r>
        <w:rPr>
          <w:rFonts w:hint="eastAsia" w:ascii="Times New Roman" w:hAnsi="Times New Roman" w:eastAsia="黑体" w:cs="Times New Roman"/>
          <w:sz w:val="24"/>
          <w:szCs w:val="24"/>
          <w:lang w:val="en-US" w:eastAsia="zh-CN"/>
        </w:rPr>
        <w:t>3</w:t>
      </w:r>
      <w:r>
        <w:rPr>
          <w:rFonts w:hint="eastAsia" w:ascii="Times New Roman" w:hAnsi="Times New Roman" w:eastAsia="黑体" w:cs="Times New Roman"/>
          <w:sz w:val="24"/>
          <w:szCs w:val="24"/>
        </w:rPr>
        <w:t xml:space="preserve"> times GDP. In the initiation strategy comparison, rapid initiation for the BIC regimen yielded an ICER of $20,231.75 per QALY gained, while for the EFV regimen, rapid initiation demonstrated an unusual profile where it was both more costly and less effective than non-rapid initiation, resulting in a negative ICER of -$133,767.36.</w:t>
      </w:r>
    </w:p>
    <w:p w14:paraId="5D866353">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 xml:space="preserve">When compared with the primary ITT analysis described in the main text, the PP dataset results revealed both consistencies and notable divergences. The fundamental conclusion that non-rapid initiation of BIC versus EFV was cost-effective remained robust across both datasets in the Markov model, though the specific ICER values differed substantially. Similarly, the infectious disease dynamic model consistently showed favorable ICERs for the BIC versus EFV comparison in both analytical populations. However, the marked divergence occurred in the evaluation of rapid initiation strategies within the Markov model, where the PP dataset showed dramatically different ICER patterns compared to the ITT results, particularly for the BIC versus EFV comparison under rapid initiation. The detailed breakdown in </w:t>
      </w:r>
      <w:r>
        <w:rPr>
          <w:rFonts w:hint="eastAsia" w:ascii="Times New Roman" w:hAnsi="Times New Roman" w:eastAsia="黑体" w:cs="Times New Roman"/>
          <w:b/>
          <w:bCs/>
          <w:sz w:val="24"/>
          <w:szCs w:val="24"/>
        </w:rPr>
        <w:t>Appendix Table 19</w:t>
      </w:r>
      <w:r>
        <w:rPr>
          <w:rFonts w:hint="eastAsia" w:ascii="Times New Roman" w:hAnsi="Times New Roman" w:eastAsia="黑体" w:cs="Times New Roman"/>
          <w:sz w:val="24"/>
          <w:szCs w:val="24"/>
        </w:rPr>
        <w:t xml:space="preserve"> helped explain these differences by revealing substantially larger incremental QALY gains for EFV in the PP dataset compared to the ITT population, which significantly influenced the resulting ICER calculations. This comparative analysis indicated that while the fundamental cost-effectiveness conclusions remained consistent for several key comparisons, the specific findings regarding rapid initiation strategies demonstrated considerable sensitivity to the analytical population, suggesting that protocol adherence may have played an important role in modulating the economic outcomes of different initiation timing approaches.</w:t>
      </w:r>
    </w:p>
    <w:p w14:paraId="079D4E68">
      <w:pPr>
        <w:pStyle w:val="7"/>
        <w:spacing w:line="480" w:lineRule="auto"/>
        <w:jc w:val="center"/>
        <w:rPr>
          <w:rFonts w:ascii="Times New Roman" w:hAnsi="Times New Roman" w:cs="Times New Roman" w:eastAsiaTheme="minorEastAsia"/>
          <w:b/>
          <w:bCs/>
          <w:sz w:val="24"/>
          <w:szCs w:val="24"/>
        </w:rPr>
      </w:pPr>
      <w:bookmarkStart w:id="51" w:name="_Toc216103928"/>
      <w:r>
        <w:rPr>
          <w:rFonts w:hint="eastAsia" w:ascii="Times New Roman" w:hAnsi="Times New Roman" w:cs="Times New Roman" w:eastAsiaTheme="minorEastAsia"/>
          <w:b/>
          <w:bCs/>
          <w:sz w:val="24"/>
          <w:szCs w:val="24"/>
        </w:rPr>
        <w:t xml:space="preserve">Appendix Table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Appendix_Table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18</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Cost-Effectiveness Results (</w:t>
      </w:r>
      <w:r>
        <w:rPr>
          <w:rFonts w:ascii="Times New Roman" w:hAnsi="Times New Roman" w:cs="Times New Roman" w:eastAsiaTheme="minorEastAsia"/>
          <w:b/>
          <w:bCs/>
          <w:sz w:val="24"/>
          <w:szCs w:val="24"/>
        </w:rPr>
        <w:t>PP dataset</w:t>
      </w:r>
      <w:r>
        <w:rPr>
          <w:rFonts w:hint="eastAsia" w:ascii="Times New Roman" w:hAnsi="Times New Roman" w:cs="Times New Roman" w:eastAsiaTheme="minorEastAsia"/>
          <w:b/>
          <w:bCs/>
          <w:sz w:val="24"/>
          <w:szCs w:val="24"/>
        </w:rPr>
        <w:t>)</w:t>
      </w:r>
      <w:bookmarkEnd w:id="51"/>
    </w:p>
    <w:tbl>
      <w:tblPr>
        <w:tblStyle w:val="11"/>
        <w:tblW w:w="5000" w:type="pct"/>
        <w:tblInd w:w="0" w:type="dxa"/>
        <w:tblLayout w:type="autofit"/>
        <w:tblCellMar>
          <w:top w:w="0" w:type="dxa"/>
          <w:left w:w="108" w:type="dxa"/>
          <w:bottom w:w="0" w:type="dxa"/>
          <w:right w:w="108" w:type="dxa"/>
        </w:tblCellMar>
      </w:tblPr>
      <w:tblGrid>
        <w:gridCol w:w="2551"/>
        <w:gridCol w:w="1340"/>
        <w:gridCol w:w="1391"/>
        <w:gridCol w:w="1725"/>
        <w:gridCol w:w="1515"/>
      </w:tblGrid>
      <w:tr w14:paraId="780624BB">
        <w:tblPrEx>
          <w:tblCellMar>
            <w:top w:w="0" w:type="dxa"/>
            <w:left w:w="108" w:type="dxa"/>
            <w:bottom w:w="0" w:type="dxa"/>
            <w:right w:w="108" w:type="dxa"/>
          </w:tblCellMar>
        </w:tblPrEx>
        <w:trPr>
          <w:trHeight w:val="300" w:hRule="atLeast"/>
        </w:trPr>
        <w:tc>
          <w:tcPr>
            <w:tcW w:w="5000" w:type="pct"/>
            <w:gridSpan w:val="5"/>
            <w:tcBorders>
              <w:top w:val="nil"/>
              <w:left w:val="nil"/>
              <w:bottom w:val="single" w:color="000000" w:sz="12" w:space="0"/>
              <w:right w:val="nil"/>
            </w:tcBorders>
            <w:noWrap/>
            <w:vAlign w:val="center"/>
          </w:tcPr>
          <w:p w14:paraId="38D5AACC">
            <w:pPr>
              <w:widowControl/>
              <w:spacing w:line="480" w:lineRule="auto"/>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(A) Markov model-BIC Regimen vs EFV Regimen</w:t>
            </w:r>
          </w:p>
        </w:tc>
      </w:tr>
      <w:tr w14:paraId="50AA7959">
        <w:tblPrEx>
          <w:tblCellMar>
            <w:top w:w="0" w:type="dxa"/>
            <w:left w:w="108" w:type="dxa"/>
            <w:bottom w:w="0" w:type="dxa"/>
            <w:right w:w="108" w:type="dxa"/>
          </w:tblCellMar>
        </w:tblPrEx>
        <w:trPr>
          <w:trHeight w:val="285" w:hRule="atLeast"/>
        </w:trPr>
        <w:tc>
          <w:tcPr>
            <w:tcW w:w="1497" w:type="pct"/>
            <w:tcBorders>
              <w:top w:val="single" w:color="000000" w:sz="12" w:space="0"/>
              <w:left w:val="nil"/>
              <w:bottom w:val="single" w:color="000000" w:sz="4" w:space="0"/>
              <w:right w:val="nil"/>
            </w:tcBorders>
            <w:noWrap/>
            <w:vAlign w:val="center"/>
          </w:tcPr>
          <w:p w14:paraId="1EBC04DC">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786" w:type="pct"/>
            <w:tcBorders>
              <w:top w:val="single" w:color="000000" w:sz="12" w:space="0"/>
              <w:left w:val="nil"/>
              <w:bottom w:val="single" w:color="000000" w:sz="4" w:space="0"/>
              <w:right w:val="nil"/>
            </w:tcBorders>
            <w:noWrap/>
            <w:vAlign w:val="center"/>
          </w:tcPr>
          <w:p w14:paraId="2E132731">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 $</w:t>
            </w:r>
          </w:p>
        </w:tc>
        <w:tc>
          <w:tcPr>
            <w:tcW w:w="816" w:type="pct"/>
            <w:tcBorders>
              <w:top w:val="single" w:color="000000" w:sz="12" w:space="0"/>
              <w:left w:val="nil"/>
              <w:bottom w:val="single" w:color="000000" w:sz="4" w:space="0"/>
              <w:right w:val="nil"/>
            </w:tcBorders>
            <w:noWrap/>
            <w:vAlign w:val="center"/>
          </w:tcPr>
          <w:p w14:paraId="2FD3504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IE, QALY</w:t>
            </w:r>
          </w:p>
        </w:tc>
        <w:tc>
          <w:tcPr>
            <w:tcW w:w="1012" w:type="pct"/>
            <w:tcBorders>
              <w:top w:val="single" w:color="000000" w:sz="12" w:space="0"/>
              <w:left w:val="nil"/>
              <w:bottom w:val="single" w:color="000000" w:sz="4" w:space="0"/>
              <w:right w:val="nil"/>
            </w:tcBorders>
            <w:noWrap/>
            <w:vAlign w:val="center"/>
          </w:tcPr>
          <w:p w14:paraId="58BB8696">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w:t>
            </w:r>
          </w:p>
        </w:tc>
        <w:tc>
          <w:tcPr>
            <w:tcW w:w="889" w:type="pct"/>
            <w:tcBorders>
              <w:top w:val="single" w:color="000000" w:sz="12" w:space="0"/>
              <w:left w:val="nil"/>
              <w:bottom w:val="single" w:color="000000" w:sz="4" w:space="0"/>
              <w:right w:val="nil"/>
            </w:tcBorders>
            <w:noWrap/>
            <w:vAlign w:val="center"/>
          </w:tcPr>
          <w:p w14:paraId="2D271DA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ICER/GDP</w:t>
            </w:r>
          </w:p>
        </w:tc>
      </w:tr>
      <w:tr w14:paraId="64B5264F">
        <w:tblPrEx>
          <w:tblCellMar>
            <w:top w:w="0" w:type="dxa"/>
            <w:left w:w="108" w:type="dxa"/>
            <w:bottom w:w="0" w:type="dxa"/>
            <w:right w:w="108" w:type="dxa"/>
          </w:tblCellMar>
        </w:tblPrEx>
        <w:trPr>
          <w:trHeight w:val="300" w:hRule="atLeast"/>
        </w:trPr>
        <w:tc>
          <w:tcPr>
            <w:tcW w:w="1497" w:type="pct"/>
            <w:tcBorders>
              <w:top w:val="nil"/>
              <w:left w:val="nil"/>
              <w:bottom w:val="nil"/>
              <w:right w:val="nil"/>
            </w:tcBorders>
            <w:noWrap/>
            <w:vAlign w:val="center"/>
          </w:tcPr>
          <w:p w14:paraId="36FE1CB4">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786" w:type="pct"/>
            <w:tcBorders>
              <w:top w:val="nil"/>
              <w:left w:val="nil"/>
              <w:bottom w:val="nil"/>
              <w:right w:val="nil"/>
            </w:tcBorders>
            <w:noWrap/>
            <w:vAlign w:val="center"/>
          </w:tcPr>
          <w:p w14:paraId="4DA00945">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288610.17 </w:t>
            </w:r>
          </w:p>
        </w:tc>
        <w:tc>
          <w:tcPr>
            <w:tcW w:w="816" w:type="pct"/>
            <w:tcBorders>
              <w:top w:val="single" w:color="000000" w:sz="4" w:space="0"/>
              <w:left w:val="nil"/>
              <w:bottom w:val="nil"/>
              <w:right w:val="nil"/>
            </w:tcBorders>
            <w:noWrap/>
            <w:vAlign w:val="center"/>
          </w:tcPr>
          <w:p w14:paraId="0F907AC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2.20E-03</w:t>
            </w:r>
          </w:p>
        </w:tc>
        <w:tc>
          <w:tcPr>
            <w:tcW w:w="1012" w:type="pct"/>
            <w:tcBorders>
              <w:top w:val="nil"/>
              <w:left w:val="nil"/>
              <w:bottom w:val="nil"/>
              <w:right w:val="nil"/>
            </w:tcBorders>
            <w:noWrap/>
            <w:vAlign w:val="center"/>
          </w:tcPr>
          <w:p w14:paraId="34C2EE8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131186441.82 </w:t>
            </w:r>
          </w:p>
        </w:tc>
        <w:tc>
          <w:tcPr>
            <w:tcW w:w="1515" w:type="dxa"/>
            <w:tcBorders>
              <w:top w:val="nil"/>
              <w:left w:val="nil"/>
              <w:bottom w:val="nil"/>
              <w:right w:val="nil"/>
            </w:tcBorders>
            <w:noWrap/>
            <w:vAlign w:val="center"/>
          </w:tcPr>
          <w:p w14:paraId="35464AED">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9757.27 </w:t>
            </w:r>
          </w:p>
        </w:tc>
      </w:tr>
      <w:tr w14:paraId="4F7371BB">
        <w:tblPrEx>
          <w:tblCellMar>
            <w:top w:w="0" w:type="dxa"/>
            <w:left w:w="108" w:type="dxa"/>
            <w:bottom w:w="0" w:type="dxa"/>
            <w:right w:w="108" w:type="dxa"/>
          </w:tblCellMar>
        </w:tblPrEx>
        <w:trPr>
          <w:trHeight w:val="300" w:hRule="atLeast"/>
        </w:trPr>
        <w:tc>
          <w:tcPr>
            <w:tcW w:w="1497" w:type="pct"/>
            <w:tcBorders>
              <w:top w:val="nil"/>
              <w:left w:val="nil"/>
              <w:bottom w:val="single" w:color="000000" w:sz="12" w:space="0"/>
              <w:right w:val="nil"/>
            </w:tcBorders>
            <w:noWrap/>
            <w:vAlign w:val="center"/>
          </w:tcPr>
          <w:p w14:paraId="148B981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786" w:type="pct"/>
            <w:tcBorders>
              <w:top w:val="nil"/>
              <w:left w:val="nil"/>
              <w:bottom w:val="single" w:color="000000" w:sz="12" w:space="0"/>
              <w:right w:val="nil"/>
            </w:tcBorders>
            <w:noWrap/>
            <w:vAlign w:val="center"/>
          </w:tcPr>
          <w:p w14:paraId="4A5679B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361514.61 </w:t>
            </w:r>
          </w:p>
        </w:tc>
        <w:tc>
          <w:tcPr>
            <w:tcW w:w="816" w:type="pct"/>
            <w:tcBorders>
              <w:top w:val="nil"/>
              <w:left w:val="nil"/>
              <w:bottom w:val="single" w:color="000000" w:sz="12" w:space="0"/>
              <w:right w:val="nil"/>
            </w:tcBorders>
            <w:noWrap/>
            <w:vAlign w:val="center"/>
          </w:tcPr>
          <w:p w14:paraId="7287D5F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5.58 </w:t>
            </w:r>
          </w:p>
        </w:tc>
        <w:tc>
          <w:tcPr>
            <w:tcW w:w="1012" w:type="pct"/>
            <w:tcBorders>
              <w:top w:val="nil"/>
              <w:left w:val="nil"/>
              <w:bottom w:val="single" w:color="000000" w:sz="12" w:space="0"/>
              <w:right w:val="nil"/>
            </w:tcBorders>
            <w:noWrap/>
            <w:vAlign w:val="center"/>
          </w:tcPr>
          <w:p w14:paraId="6027597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64822.42 </w:t>
            </w:r>
          </w:p>
        </w:tc>
        <w:tc>
          <w:tcPr>
            <w:tcW w:w="1515" w:type="dxa"/>
            <w:tcBorders>
              <w:top w:val="nil"/>
              <w:left w:val="nil"/>
              <w:bottom w:val="single" w:color="000000" w:sz="12" w:space="0"/>
              <w:right w:val="nil"/>
            </w:tcBorders>
            <w:noWrap/>
            <w:vAlign w:val="center"/>
          </w:tcPr>
          <w:p w14:paraId="609F0443">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4.82 </w:t>
            </w:r>
          </w:p>
        </w:tc>
      </w:tr>
      <w:tr w14:paraId="739BCBB4">
        <w:tblPrEx>
          <w:tblCellMar>
            <w:top w:w="0" w:type="dxa"/>
            <w:left w:w="108" w:type="dxa"/>
            <w:bottom w:w="0" w:type="dxa"/>
            <w:right w:w="108" w:type="dxa"/>
          </w:tblCellMar>
        </w:tblPrEx>
        <w:trPr>
          <w:trHeight w:val="300" w:hRule="atLeast"/>
        </w:trPr>
        <w:tc>
          <w:tcPr>
            <w:tcW w:w="5000" w:type="pct"/>
            <w:gridSpan w:val="5"/>
            <w:tcBorders>
              <w:top w:val="nil"/>
              <w:left w:val="nil"/>
              <w:bottom w:val="single" w:color="000000" w:sz="12" w:space="0"/>
              <w:right w:val="nil"/>
            </w:tcBorders>
            <w:noWrap/>
            <w:vAlign w:val="center"/>
          </w:tcPr>
          <w:p w14:paraId="1ADEE249">
            <w:pPr>
              <w:widowControl/>
              <w:spacing w:line="480" w:lineRule="auto"/>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 Markov model-Rapid Initiation vs Non-Rapid Initiation</w:t>
            </w:r>
          </w:p>
        </w:tc>
      </w:tr>
      <w:tr w14:paraId="6C58F9EE">
        <w:tblPrEx>
          <w:tblCellMar>
            <w:top w:w="0" w:type="dxa"/>
            <w:left w:w="108" w:type="dxa"/>
            <w:bottom w:w="0" w:type="dxa"/>
            <w:right w:w="108" w:type="dxa"/>
          </w:tblCellMar>
        </w:tblPrEx>
        <w:trPr>
          <w:trHeight w:val="285" w:hRule="atLeast"/>
        </w:trPr>
        <w:tc>
          <w:tcPr>
            <w:tcW w:w="1497" w:type="pct"/>
            <w:tcBorders>
              <w:top w:val="single" w:color="000000" w:sz="12" w:space="0"/>
              <w:left w:val="nil"/>
              <w:bottom w:val="single" w:color="000000" w:sz="4" w:space="0"/>
              <w:right w:val="nil"/>
            </w:tcBorders>
            <w:noWrap/>
            <w:vAlign w:val="center"/>
          </w:tcPr>
          <w:p w14:paraId="3AE2B9A4">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786" w:type="pct"/>
            <w:tcBorders>
              <w:top w:val="single" w:color="000000" w:sz="12" w:space="0"/>
              <w:left w:val="nil"/>
              <w:bottom w:val="single" w:color="000000" w:sz="4" w:space="0"/>
              <w:right w:val="nil"/>
            </w:tcBorders>
            <w:noWrap/>
            <w:vAlign w:val="center"/>
          </w:tcPr>
          <w:p w14:paraId="26F8AF2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 $</w:t>
            </w:r>
          </w:p>
        </w:tc>
        <w:tc>
          <w:tcPr>
            <w:tcW w:w="816" w:type="pct"/>
            <w:tcBorders>
              <w:top w:val="single" w:color="000000" w:sz="12" w:space="0"/>
              <w:left w:val="nil"/>
              <w:bottom w:val="single" w:color="000000" w:sz="4" w:space="0"/>
              <w:right w:val="nil"/>
            </w:tcBorders>
            <w:noWrap/>
            <w:vAlign w:val="center"/>
          </w:tcPr>
          <w:p w14:paraId="2D645E8F">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IE, QALY</w:t>
            </w:r>
          </w:p>
        </w:tc>
        <w:tc>
          <w:tcPr>
            <w:tcW w:w="1012" w:type="pct"/>
            <w:tcBorders>
              <w:top w:val="single" w:color="000000" w:sz="12" w:space="0"/>
              <w:left w:val="nil"/>
              <w:bottom w:val="single" w:color="000000" w:sz="4" w:space="0"/>
              <w:right w:val="nil"/>
            </w:tcBorders>
            <w:noWrap/>
            <w:vAlign w:val="center"/>
          </w:tcPr>
          <w:p w14:paraId="7E8C634B">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w:t>
            </w:r>
          </w:p>
        </w:tc>
        <w:tc>
          <w:tcPr>
            <w:tcW w:w="889" w:type="pct"/>
            <w:tcBorders>
              <w:top w:val="single" w:color="000000" w:sz="12" w:space="0"/>
              <w:left w:val="nil"/>
              <w:bottom w:val="single" w:color="000000" w:sz="4" w:space="0"/>
              <w:right w:val="nil"/>
            </w:tcBorders>
            <w:noWrap/>
            <w:vAlign w:val="center"/>
          </w:tcPr>
          <w:p w14:paraId="6ACA422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ICER/GDP</w:t>
            </w:r>
          </w:p>
        </w:tc>
      </w:tr>
      <w:tr w14:paraId="149E0F3A">
        <w:tblPrEx>
          <w:tblCellMar>
            <w:top w:w="0" w:type="dxa"/>
            <w:left w:w="108" w:type="dxa"/>
            <w:bottom w:w="0" w:type="dxa"/>
            <w:right w:w="108" w:type="dxa"/>
          </w:tblCellMar>
        </w:tblPrEx>
        <w:trPr>
          <w:trHeight w:val="300" w:hRule="atLeast"/>
        </w:trPr>
        <w:tc>
          <w:tcPr>
            <w:tcW w:w="1497" w:type="pct"/>
            <w:tcBorders>
              <w:top w:val="nil"/>
              <w:left w:val="nil"/>
              <w:bottom w:val="nil"/>
              <w:right w:val="nil"/>
            </w:tcBorders>
            <w:noWrap/>
            <w:vAlign w:val="center"/>
          </w:tcPr>
          <w:p w14:paraId="2C7913FA">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786" w:type="pct"/>
            <w:tcBorders>
              <w:top w:val="nil"/>
              <w:left w:val="nil"/>
              <w:bottom w:val="nil"/>
              <w:right w:val="nil"/>
            </w:tcBorders>
            <w:noWrap/>
            <w:vAlign w:val="center"/>
          </w:tcPr>
          <w:p w14:paraId="3C0022A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14353.30 </w:t>
            </w:r>
          </w:p>
        </w:tc>
        <w:tc>
          <w:tcPr>
            <w:tcW w:w="816" w:type="pct"/>
            <w:tcBorders>
              <w:top w:val="nil"/>
              <w:left w:val="nil"/>
              <w:bottom w:val="nil"/>
              <w:right w:val="nil"/>
            </w:tcBorders>
            <w:noWrap/>
            <w:vAlign w:val="center"/>
          </w:tcPr>
          <w:p w14:paraId="6C3F4446">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0.48 </w:t>
            </w:r>
          </w:p>
        </w:tc>
        <w:tc>
          <w:tcPr>
            <w:tcW w:w="1012" w:type="pct"/>
            <w:tcBorders>
              <w:top w:val="nil"/>
              <w:left w:val="nil"/>
              <w:bottom w:val="nil"/>
              <w:right w:val="nil"/>
            </w:tcBorders>
            <w:noWrap/>
            <w:vAlign w:val="center"/>
          </w:tcPr>
          <w:p w14:paraId="522B342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29983.92 </w:t>
            </w:r>
          </w:p>
        </w:tc>
        <w:tc>
          <w:tcPr>
            <w:tcW w:w="1515" w:type="dxa"/>
            <w:tcBorders>
              <w:top w:val="nil"/>
              <w:left w:val="nil"/>
              <w:bottom w:val="nil"/>
              <w:right w:val="nil"/>
            </w:tcBorders>
            <w:noWrap/>
            <w:vAlign w:val="center"/>
          </w:tcPr>
          <w:p w14:paraId="5E7DA133">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2.23 </w:t>
            </w:r>
          </w:p>
        </w:tc>
      </w:tr>
      <w:tr w14:paraId="73CDDD5B">
        <w:trPr>
          <w:trHeight w:val="300" w:hRule="atLeast"/>
        </w:trPr>
        <w:tc>
          <w:tcPr>
            <w:tcW w:w="1497" w:type="pct"/>
            <w:tcBorders>
              <w:top w:val="nil"/>
              <w:left w:val="nil"/>
              <w:bottom w:val="single" w:color="000000" w:sz="12" w:space="0"/>
              <w:right w:val="nil"/>
            </w:tcBorders>
            <w:noWrap/>
            <w:vAlign w:val="center"/>
          </w:tcPr>
          <w:p w14:paraId="0EBAD48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786" w:type="pct"/>
            <w:tcBorders>
              <w:top w:val="nil"/>
              <w:left w:val="nil"/>
              <w:bottom w:val="single" w:color="000000" w:sz="12" w:space="0"/>
              <w:right w:val="nil"/>
            </w:tcBorders>
            <w:noWrap/>
            <w:vAlign w:val="center"/>
          </w:tcPr>
          <w:p w14:paraId="3078ECB5">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87257.74 </w:t>
            </w:r>
          </w:p>
        </w:tc>
        <w:tc>
          <w:tcPr>
            <w:tcW w:w="816" w:type="pct"/>
            <w:tcBorders>
              <w:top w:val="nil"/>
              <w:left w:val="nil"/>
              <w:bottom w:val="single" w:color="000000" w:sz="12" w:space="0"/>
              <w:right w:val="nil"/>
            </w:tcBorders>
            <w:noWrap/>
            <w:vAlign w:val="center"/>
          </w:tcPr>
          <w:p w14:paraId="2A1D9A2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6.05 </w:t>
            </w:r>
          </w:p>
        </w:tc>
        <w:tc>
          <w:tcPr>
            <w:tcW w:w="1012" w:type="pct"/>
            <w:tcBorders>
              <w:top w:val="nil"/>
              <w:left w:val="nil"/>
              <w:bottom w:val="single" w:color="000000" w:sz="12" w:space="0"/>
              <w:right w:val="nil"/>
            </w:tcBorders>
            <w:noWrap/>
            <w:vAlign w:val="center"/>
          </w:tcPr>
          <w:p w14:paraId="4CB0493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14414.43 </w:t>
            </w:r>
          </w:p>
        </w:tc>
        <w:tc>
          <w:tcPr>
            <w:tcW w:w="1515" w:type="dxa"/>
            <w:tcBorders>
              <w:top w:val="nil"/>
              <w:left w:val="nil"/>
              <w:bottom w:val="single" w:color="000000" w:sz="12" w:space="0"/>
              <w:right w:val="nil"/>
            </w:tcBorders>
            <w:noWrap/>
            <w:vAlign w:val="center"/>
          </w:tcPr>
          <w:p w14:paraId="21F5F53D">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1.07 </w:t>
            </w:r>
          </w:p>
        </w:tc>
      </w:tr>
      <w:tr w14:paraId="2F550B0B">
        <w:tblPrEx>
          <w:tblCellMar>
            <w:top w:w="0" w:type="dxa"/>
            <w:left w:w="108" w:type="dxa"/>
            <w:bottom w:w="0" w:type="dxa"/>
            <w:right w:w="108" w:type="dxa"/>
          </w:tblCellMar>
        </w:tblPrEx>
        <w:trPr>
          <w:trHeight w:val="300" w:hRule="atLeast"/>
        </w:trPr>
        <w:tc>
          <w:tcPr>
            <w:tcW w:w="5000" w:type="pct"/>
            <w:gridSpan w:val="5"/>
            <w:tcBorders>
              <w:top w:val="single" w:color="000000" w:sz="12" w:space="0"/>
              <w:left w:val="nil"/>
              <w:bottom w:val="single" w:color="000000" w:sz="12" w:space="0"/>
              <w:right w:val="nil"/>
            </w:tcBorders>
            <w:noWrap/>
            <w:vAlign w:val="center"/>
          </w:tcPr>
          <w:p w14:paraId="3BB1CEBD">
            <w:pPr>
              <w:widowControl/>
              <w:spacing w:line="480" w:lineRule="auto"/>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(C) Infectious disease dynamic model-BIC Regimen vs EFV Regimen</w:t>
            </w:r>
          </w:p>
        </w:tc>
      </w:tr>
      <w:tr w14:paraId="7C3228A1">
        <w:tblPrEx>
          <w:tblCellMar>
            <w:top w:w="0" w:type="dxa"/>
            <w:left w:w="108" w:type="dxa"/>
            <w:bottom w:w="0" w:type="dxa"/>
            <w:right w:w="108" w:type="dxa"/>
          </w:tblCellMar>
        </w:tblPrEx>
        <w:trPr>
          <w:trHeight w:val="285" w:hRule="atLeast"/>
        </w:trPr>
        <w:tc>
          <w:tcPr>
            <w:tcW w:w="1497" w:type="pct"/>
            <w:tcBorders>
              <w:top w:val="single" w:color="000000" w:sz="12" w:space="0"/>
              <w:left w:val="nil"/>
              <w:bottom w:val="single" w:color="000000" w:sz="4" w:space="0"/>
              <w:right w:val="nil"/>
            </w:tcBorders>
            <w:noWrap/>
            <w:vAlign w:val="center"/>
          </w:tcPr>
          <w:p w14:paraId="6C956B6D">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786" w:type="pct"/>
            <w:tcBorders>
              <w:top w:val="single" w:color="000000" w:sz="12" w:space="0"/>
              <w:left w:val="nil"/>
              <w:bottom w:val="single" w:color="000000" w:sz="4" w:space="0"/>
              <w:right w:val="nil"/>
            </w:tcBorders>
            <w:noWrap/>
            <w:vAlign w:val="center"/>
          </w:tcPr>
          <w:p w14:paraId="3B472AE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 $</w:t>
            </w:r>
          </w:p>
        </w:tc>
        <w:tc>
          <w:tcPr>
            <w:tcW w:w="816" w:type="pct"/>
            <w:tcBorders>
              <w:top w:val="single" w:color="000000" w:sz="12" w:space="0"/>
              <w:left w:val="nil"/>
              <w:bottom w:val="single" w:color="000000" w:sz="4" w:space="0"/>
              <w:right w:val="nil"/>
            </w:tcBorders>
            <w:noWrap/>
            <w:vAlign w:val="center"/>
          </w:tcPr>
          <w:p w14:paraId="3445FF4B">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IE, QALY</w:t>
            </w:r>
          </w:p>
        </w:tc>
        <w:tc>
          <w:tcPr>
            <w:tcW w:w="1012" w:type="pct"/>
            <w:tcBorders>
              <w:top w:val="single" w:color="000000" w:sz="12" w:space="0"/>
              <w:left w:val="nil"/>
              <w:bottom w:val="single" w:color="000000" w:sz="4" w:space="0"/>
              <w:right w:val="nil"/>
            </w:tcBorders>
            <w:noWrap/>
            <w:vAlign w:val="center"/>
          </w:tcPr>
          <w:p w14:paraId="7C5FA121">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w:t>
            </w:r>
          </w:p>
        </w:tc>
        <w:tc>
          <w:tcPr>
            <w:tcW w:w="889" w:type="pct"/>
            <w:tcBorders>
              <w:top w:val="single" w:color="000000" w:sz="12" w:space="0"/>
              <w:left w:val="nil"/>
              <w:bottom w:val="single" w:color="000000" w:sz="4" w:space="0"/>
              <w:right w:val="nil"/>
            </w:tcBorders>
            <w:noWrap/>
            <w:vAlign w:val="center"/>
          </w:tcPr>
          <w:p w14:paraId="7BB57ABA">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ICER/GDP</w:t>
            </w:r>
          </w:p>
        </w:tc>
      </w:tr>
      <w:tr w14:paraId="602C4C03">
        <w:tblPrEx>
          <w:tblCellMar>
            <w:top w:w="0" w:type="dxa"/>
            <w:left w:w="108" w:type="dxa"/>
            <w:bottom w:w="0" w:type="dxa"/>
            <w:right w:w="108" w:type="dxa"/>
          </w:tblCellMar>
        </w:tblPrEx>
        <w:trPr>
          <w:trHeight w:val="300" w:hRule="atLeast"/>
        </w:trPr>
        <w:tc>
          <w:tcPr>
            <w:tcW w:w="1497" w:type="pct"/>
            <w:tcBorders>
              <w:top w:val="nil"/>
              <w:left w:val="nil"/>
              <w:bottom w:val="nil"/>
              <w:right w:val="nil"/>
            </w:tcBorders>
            <w:noWrap/>
            <w:vAlign w:val="center"/>
          </w:tcPr>
          <w:p w14:paraId="2B4D9A75">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786" w:type="pct"/>
            <w:tcBorders>
              <w:top w:val="nil"/>
              <w:left w:val="nil"/>
              <w:bottom w:val="nil"/>
              <w:right w:val="nil"/>
            </w:tcBorders>
            <w:noWrap/>
            <w:vAlign w:val="center"/>
          </w:tcPr>
          <w:p w14:paraId="5B2B389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142.01 </w:t>
            </w:r>
          </w:p>
        </w:tc>
        <w:tc>
          <w:tcPr>
            <w:tcW w:w="816" w:type="pct"/>
            <w:tcBorders>
              <w:top w:val="nil"/>
              <w:left w:val="nil"/>
              <w:bottom w:val="nil"/>
              <w:right w:val="nil"/>
            </w:tcBorders>
            <w:noWrap/>
            <w:vAlign w:val="center"/>
          </w:tcPr>
          <w:p w14:paraId="2427F57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0.04 </w:t>
            </w:r>
          </w:p>
        </w:tc>
        <w:tc>
          <w:tcPr>
            <w:tcW w:w="1012" w:type="pct"/>
            <w:tcBorders>
              <w:top w:val="nil"/>
              <w:left w:val="nil"/>
              <w:bottom w:val="nil"/>
              <w:right w:val="nil"/>
            </w:tcBorders>
            <w:noWrap/>
            <w:vAlign w:val="center"/>
          </w:tcPr>
          <w:p w14:paraId="2C01B26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3604.00 </w:t>
            </w:r>
          </w:p>
        </w:tc>
        <w:tc>
          <w:tcPr>
            <w:tcW w:w="1515" w:type="dxa"/>
            <w:tcBorders>
              <w:top w:val="nil"/>
              <w:left w:val="nil"/>
              <w:bottom w:val="nil"/>
              <w:right w:val="nil"/>
            </w:tcBorders>
            <w:noWrap/>
            <w:vAlign w:val="center"/>
          </w:tcPr>
          <w:p w14:paraId="5826B64B">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0.27 </w:t>
            </w:r>
          </w:p>
        </w:tc>
      </w:tr>
      <w:tr w14:paraId="3684A688">
        <w:tblPrEx>
          <w:tblCellMar>
            <w:top w:w="0" w:type="dxa"/>
            <w:left w:w="108" w:type="dxa"/>
            <w:bottom w:w="0" w:type="dxa"/>
            <w:right w:w="108" w:type="dxa"/>
          </w:tblCellMar>
        </w:tblPrEx>
        <w:trPr>
          <w:trHeight w:val="300" w:hRule="atLeast"/>
        </w:trPr>
        <w:tc>
          <w:tcPr>
            <w:tcW w:w="1497" w:type="pct"/>
            <w:tcBorders>
              <w:top w:val="nil"/>
              <w:left w:val="nil"/>
              <w:bottom w:val="single" w:color="000000" w:sz="12" w:space="0"/>
              <w:right w:val="nil"/>
            </w:tcBorders>
            <w:noWrap/>
            <w:vAlign w:val="center"/>
          </w:tcPr>
          <w:p w14:paraId="1E6CF71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786" w:type="pct"/>
            <w:tcBorders>
              <w:top w:val="nil"/>
              <w:left w:val="nil"/>
              <w:bottom w:val="single" w:color="000000" w:sz="12" w:space="0"/>
              <w:right w:val="nil"/>
            </w:tcBorders>
            <w:noWrap/>
            <w:vAlign w:val="center"/>
          </w:tcPr>
          <w:p w14:paraId="55500BB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1050.72 </w:t>
            </w:r>
          </w:p>
        </w:tc>
        <w:tc>
          <w:tcPr>
            <w:tcW w:w="816" w:type="pct"/>
            <w:tcBorders>
              <w:top w:val="nil"/>
              <w:left w:val="nil"/>
              <w:bottom w:val="single" w:color="000000" w:sz="12" w:space="0"/>
              <w:right w:val="nil"/>
            </w:tcBorders>
            <w:noWrap/>
            <w:vAlign w:val="center"/>
          </w:tcPr>
          <w:p w14:paraId="7ADD531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0.03 </w:t>
            </w:r>
          </w:p>
        </w:tc>
        <w:tc>
          <w:tcPr>
            <w:tcW w:w="1012" w:type="pct"/>
            <w:tcBorders>
              <w:top w:val="nil"/>
              <w:left w:val="nil"/>
              <w:bottom w:val="single" w:color="000000" w:sz="12" w:space="0"/>
              <w:right w:val="nil"/>
            </w:tcBorders>
            <w:noWrap/>
            <w:vAlign w:val="center"/>
          </w:tcPr>
          <w:p w14:paraId="17C8EE9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39217.27 </w:t>
            </w:r>
          </w:p>
        </w:tc>
        <w:tc>
          <w:tcPr>
            <w:tcW w:w="1515" w:type="dxa"/>
            <w:tcBorders>
              <w:top w:val="nil"/>
              <w:left w:val="nil"/>
              <w:bottom w:val="single" w:color="000000" w:sz="12" w:space="0"/>
              <w:right w:val="nil"/>
            </w:tcBorders>
            <w:noWrap/>
            <w:vAlign w:val="center"/>
          </w:tcPr>
          <w:p w14:paraId="12753BD2">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2.92 </w:t>
            </w:r>
          </w:p>
        </w:tc>
      </w:tr>
      <w:tr w14:paraId="779FB598">
        <w:tblPrEx>
          <w:tblCellMar>
            <w:top w:w="0" w:type="dxa"/>
            <w:left w:w="108" w:type="dxa"/>
            <w:bottom w:w="0" w:type="dxa"/>
            <w:right w:w="108" w:type="dxa"/>
          </w:tblCellMar>
        </w:tblPrEx>
        <w:trPr>
          <w:trHeight w:val="300" w:hRule="atLeast"/>
        </w:trPr>
        <w:tc>
          <w:tcPr>
            <w:tcW w:w="5000" w:type="pct"/>
            <w:gridSpan w:val="5"/>
            <w:tcBorders>
              <w:top w:val="single" w:color="000000" w:sz="12" w:space="0"/>
              <w:left w:val="nil"/>
              <w:bottom w:val="single" w:color="000000" w:sz="12" w:space="0"/>
              <w:right w:val="nil"/>
            </w:tcBorders>
            <w:noWrap/>
            <w:vAlign w:val="center"/>
          </w:tcPr>
          <w:p w14:paraId="19F56E93">
            <w:pPr>
              <w:widowControl/>
              <w:spacing w:line="480" w:lineRule="auto"/>
              <w:jc w:val="left"/>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 Infectious disease dynamic model-Rapid Initiation vs Non-Rapid Initiation</w:t>
            </w:r>
          </w:p>
        </w:tc>
      </w:tr>
      <w:tr w14:paraId="1BC33F52">
        <w:tblPrEx>
          <w:tblCellMar>
            <w:top w:w="0" w:type="dxa"/>
            <w:left w:w="108" w:type="dxa"/>
            <w:bottom w:w="0" w:type="dxa"/>
            <w:right w:w="108" w:type="dxa"/>
          </w:tblCellMar>
        </w:tblPrEx>
        <w:trPr>
          <w:trHeight w:val="285" w:hRule="atLeast"/>
        </w:trPr>
        <w:tc>
          <w:tcPr>
            <w:tcW w:w="1497" w:type="pct"/>
            <w:tcBorders>
              <w:top w:val="single" w:color="000000" w:sz="12" w:space="0"/>
              <w:left w:val="nil"/>
              <w:bottom w:val="single" w:color="000000" w:sz="4" w:space="0"/>
              <w:right w:val="nil"/>
            </w:tcBorders>
            <w:noWrap/>
            <w:vAlign w:val="center"/>
          </w:tcPr>
          <w:p w14:paraId="45069143">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786" w:type="pct"/>
            <w:tcBorders>
              <w:top w:val="single" w:color="000000" w:sz="12" w:space="0"/>
              <w:left w:val="nil"/>
              <w:bottom w:val="single" w:color="000000" w:sz="4" w:space="0"/>
              <w:right w:val="nil"/>
            </w:tcBorders>
            <w:noWrap/>
            <w:vAlign w:val="center"/>
          </w:tcPr>
          <w:p w14:paraId="27FF99B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 $</w:t>
            </w:r>
          </w:p>
        </w:tc>
        <w:tc>
          <w:tcPr>
            <w:tcW w:w="816" w:type="pct"/>
            <w:tcBorders>
              <w:top w:val="single" w:color="000000" w:sz="12" w:space="0"/>
              <w:left w:val="nil"/>
              <w:bottom w:val="single" w:color="000000" w:sz="4" w:space="0"/>
              <w:right w:val="nil"/>
            </w:tcBorders>
            <w:noWrap/>
            <w:vAlign w:val="center"/>
          </w:tcPr>
          <w:p w14:paraId="13B914A5">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IE, QALY</w:t>
            </w:r>
          </w:p>
        </w:tc>
        <w:tc>
          <w:tcPr>
            <w:tcW w:w="1012" w:type="pct"/>
            <w:tcBorders>
              <w:top w:val="single" w:color="000000" w:sz="12" w:space="0"/>
              <w:left w:val="nil"/>
              <w:bottom w:val="single" w:color="000000" w:sz="4" w:space="0"/>
              <w:right w:val="nil"/>
            </w:tcBorders>
            <w:noWrap/>
            <w:vAlign w:val="center"/>
          </w:tcPr>
          <w:p w14:paraId="3E59A78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w:t>
            </w:r>
          </w:p>
        </w:tc>
        <w:tc>
          <w:tcPr>
            <w:tcW w:w="889" w:type="pct"/>
            <w:tcBorders>
              <w:top w:val="single" w:color="000000" w:sz="12" w:space="0"/>
              <w:left w:val="nil"/>
              <w:bottom w:val="single" w:color="000000" w:sz="4" w:space="0"/>
              <w:right w:val="nil"/>
            </w:tcBorders>
            <w:noWrap/>
            <w:vAlign w:val="center"/>
          </w:tcPr>
          <w:p w14:paraId="107CB89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ICER/GDP</w:t>
            </w:r>
          </w:p>
        </w:tc>
      </w:tr>
      <w:tr w14:paraId="65722367">
        <w:tblPrEx>
          <w:tblCellMar>
            <w:top w:w="0" w:type="dxa"/>
            <w:left w:w="108" w:type="dxa"/>
            <w:bottom w:w="0" w:type="dxa"/>
            <w:right w:w="108" w:type="dxa"/>
          </w:tblCellMar>
        </w:tblPrEx>
        <w:trPr>
          <w:trHeight w:val="300" w:hRule="atLeast"/>
        </w:trPr>
        <w:tc>
          <w:tcPr>
            <w:tcW w:w="1497" w:type="pct"/>
            <w:tcBorders>
              <w:top w:val="nil"/>
              <w:left w:val="nil"/>
              <w:bottom w:val="nil"/>
              <w:right w:val="nil"/>
            </w:tcBorders>
            <w:noWrap/>
            <w:vAlign w:val="center"/>
          </w:tcPr>
          <w:p w14:paraId="2C60EFE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 Regimen</w:t>
            </w:r>
          </w:p>
        </w:tc>
        <w:tc>
          <w:tcPr>
            <w:tcW w:w="786" w:type="pct"/>
            <w:tcBorders>
              <w:top w:val="nil"/>
              <w:left w:val="nil"/>
              <w:bottom w:val="nil"/>
              <w:right w:val="nil"/>
            </w:tcBorders>
            <w:noWrap/>
            <w:vAlign w:val="center"/>
          </w:tcPr>
          <w:p w14:paraId="1DE1275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102.23 </w:t>
            </w:r>
          </w:p>
        </w:tc>
        <w:tc>
          <w:tcPr>
            <w:tcW w:w="816" w:type="pct"/>
            <w:tcBorders>
              <w:top w:val="single" w:color="000000" w:sz="4" w:space="0"/>
              <w:left w:val="nil"/>
              <w:bottom w:val="nil"/>
              <w:right w:val="nil"/>
            </w:tcBorders>
            <w:noWrap/>
            <w:vAlign w:val="center"/>
          </w:tcPr>
          <w:p w14:paraId="61AF496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5.05E-03</w:t>
            </w:r>
          </w:p>
        </w:tc>
        <w:tc>
          <w:tcPr>
            <w:tcW w:w="1012" w:type="pct"/>
            <w:tcBorders>
              <w:top w:val="nil"/>
              <w:left w:val="nil"/>
              <w:bottom w:val="nil"/>
              <w:right w:val="nil"/>
            </w:tcBorders>
            <w:noWrap/>
            <w:vAlign w:val="center"/>
          </w:tcPr>
          <w:p w14:paraId="1CA0374F">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20231.75 </w:t>
            </w:r>
          </w:p>
        </w:tc>
        <w:tc>
          <w:tcPr>
            <w:tcW w:w="1515" w:type="dxa"/>
            <w:tcBorders>
              <w:top w:val="nil"/>
              <w:left w:val="nil"/>
              <w:bottom w:val="nil"/>
              <w:right w:val="nil"/>
            </w:tcBorders>
            <w:noWrap/>
            <w:vAlign w:val="center"/>
          </w:tcPr>
          <w:p w14:paraId="49769655">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1.50 </w:t>
            </w:r>
          </w:p>
        </w:tc>
      </w:tr>
      <w:tr w14:paraId="6447AC7C">
        <w:tblPrEx>
          <w:tblCellMar>
            <w:top w:w="0" w:type="dxa"/>
            <w:left w:w="108" w:type="dxa"/>
            <w:bottom w:w="0" w:type="dxa"/>
            <w:right w:w="108" w:type="dxa"/>
          </w:tblCellMar>
        </w:tblPrEx>
        <w:trPr>
          <w:trHeight w:val="300" w:hRule="atLeast"/>
        </w:trPr>
        <w:tc>
          <w:tcPr>
            <w:tcW w:w="1497" w:type="pct"/>
            <w:tcBorders>
              <w:top w:val="nil"/>
              <w:left w:val="nil"/>
              <w:bottom w:val="single" w:color="000000" w:sz="12" w:space="0"/>
              <w:right w:val="nil"/>
            </w:tcBorders>
            <w:noWrap/>
            <w:vAlign w:val="center"/>
          </w:tcPr>
          <w:p w14:paraId="66C50F2A">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 Regimen</w:t>
            </w:r>
          </w:p>
        </w:tc>
        <w:tc>
          <w:tcPr>
            <w:tcW w:w="786" w:type="pct"/>
            <w:tcBorders>
              <w:top w:val="nil"/>
              <w:left w:val="nil"/>
              <w:bottom w:val="single" w:color="000000" w:sz="12" w:space="0"/>
              <w:right w:val="nil"/>
            </w:tcBorders>
            <w:noWrap/>
            <w:vAlign w:val="center"/>
          </w:tcPr>
          <w:p w14:paraId="30E3BBE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1010.95 </w:t>
            </w:r>
          </w:p>
        </w:tc>
        <w:tc>
          <w:tcPr>
            <w:tcW w:w="816" w:type="pct"/>
            <w:tcBorders>
              <w:top w:val="nil"/>
              <w:left w:val="nil"/>
              <w:bottom w:val="single" w:color="000000" w:sz="12" w:space="0"/>
              <w:right w:val="nil"/>
            </w:tcBorders>
            <w:noWrap/>
            <w:vAlign w:val="center"/>
          </w:tcPr>
          <w:p w14:paraId="2BACCAF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-0.01 </w:t>
            </w:r>
          </w:p>
        </w:tc>
        <w:tc>
          <w:tcPr>
            <w:tcW w:w="1012" w:type="pct"/>
            <w:tcBorders>
              <w:top w:val="nil"/>
              <w:left w:val="nil"/>
              <w:bottom w:val="single" w:color="000000" w:sz="12" w:space="0"/>
              <w:right w:val="nil"/>
            </w:tcBorders>
            <w:noWrap/>
            <w:vAlign w:val="center"/>
          </w:tcPr>
          <w:p w14:paraId="1EF2253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-133767.36 </w:t>
            </w:r>
          </w:p>
        </w:tc>
        <w:tc>
          <w:tcPr>
            <w:tcW w:w="1515" w:type="dxa"/>
            <w:tcBorders>
              <w:top w:val="nil"/>
              <w:left w:val="nil"/>
              <w:bottom w:val="single" w:color="000000" w:sz="12" w:space="0"/>
              <w:right w:val="nil"/>
            </w:tcBorders>
            <w:noWrap/>
            <w:vAlign w:val="center"/>
          </w:tcPr>
          <w:p w14:paraId="4A8B7D03">
            <w:pPr>
              <w:keepNext w:val="0"/>
              <w:keepLines w:val="0"/>
              <w:widowControl/>
              <w:suppressLineNumbers w:val="0"/>
              <w:jc w:val="center"/>
              <w:textAlignment w:val="center"/>
              <w:rPr>
                <w:rFonts w:ascii="Times New Roman" w:hAnsi="Times New Roman" w:eastAsia="宋体" w:cs="Times New Roman"/>
                <w:color w:val="000000"/>
                <w:sz w:val="22"/>
              </w:rPr>
            </w:pPr>
            <w:r>
              <w:rPr>
                <w:rFonts w:hint="default" w:ascii="Times New Roman" w:hAnsi="Times New Roman" w:eastAsia="宋体" w:cs="Times New Roman"/>
                <w:i w:val="0"/>
                <w:iCs w:val="0"/>
                <w:color w:val="000000"/>
                <w:kern w:val="0"/>
                <w:sz w:val="22"/>
                <w:szCs w:val="22"/>
                <w:u w:val="none"/>
                <w:lang w:val="en-US" w:eastAsia="zh-CN" w:bidi="ar"/>
              </w:rPr>
              <w:t xml:space="preserve">-9.95 </w:t>
            </w:r>
          </w:p>
        </w:tc>
      </w:tr>
    </w:tbl>
    <w:p w14:paraId="2CB10D6E">
      <w:pPr>
        <w:spacing w:line="480" w:lineRule="auto"/>
      </w:pPr>
    </w:p>
    <w:p w14:paraId="1F5CFC85">
      <w:pPr>
        <w:pStyle w:val="7"/>
        <w:spacing w:line="480" w:lineRule="auto"/>
        <w:jc w:val="center"/>
        <w:rPr>
          <w:rFonts w:ascii="Times New Roman" w:hAnsi="Times New Roman" w:cs="Times New Roman" w:eastAsiaTheme="minorEastAsia"/>
          <w:b/>
          <w:bCs/>
          <w:sz w:val="24"/>
          <w:szCs w:val="24"/>
        </w:rPr>
      </w:pPr>
      <w:bookmarkStart w:id="52" w:name="_Toc216103929"/>
      <w:r>
        <w:rPr>
          <w:rFonts w:hint="eastAsia" w:ascii="Times New Roman" w:hAnsi="Times New Roman" w:cs="Times New Roman" w:eastAsiaTheme="minorEastAsia"/>
          <w:b/>
          <w:bCs/>
          <w:sz w:val="24"/>
          <w:szCs w:val="24"/>
        </w:rPr>
        <w:t xml:space="preserve">Appendix Table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Appendix_Table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19</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Detailed Breakdown of QALYs and Costs (Incremental Values): Rapid vs. Non-Rapid Initiation by Treatment Regimen and Model</w:t>
      </w:r>
      <w:bookmarkEnd w:id="52"/>
    </w:p>
    <w:tbl>
      <w:tblPr>
        <w:tblStyle w:val="11"/>
        <w:tblW w:w="5000" w:type="pct"/>
        <w:tblInd w:w="0" w:type="dxa"/>
        <w:tblLayout w:type="autofit"/>
        <w:tblCellMar>
          <w:top w:w="0" w:type="dxa"/>
          <w:left w:w="108" w:type="dxa"/>
          <w:bottom w:w="0" w:type="dxa"/>
          <w:right w:w="108" w:type="dxa"/>
        </w:tblCellMar>
      </w:tblPr>
      <w:tblGrid>
        <w:gridCol w:w="2531"/>
        <w:gridCol w:w="1431"/>
        <w:gridCol w:w="1805"/>
        <w:gridCol w:w="2755"/>
      </w:tblGrid>
      <w:tr w14:paraId="1AA89783">
        <w:tblPrEx>
          <w:tblCellMar>
            <w:top w:w="0" w:type="dxa"/>
            <w:left w:w="108" w:type="dxa"/>
            <w:bottom w:w="0" w:type="dxa"/>
            <w:right w:w="108" w:type="dxa"/>
          </w:tblCellMar>
        </w:tblPrEx>
        <w:trPr>
          <w:trHeight w:val="300" w:hRule="atLeast"/>
        </w:trPr>
        <w:tc>
          <w:tcPr>
            <w:tcW w:w="5000" w:type="pct"/>
            <w:gridSpan w:val="4"/>
            <w:tcBorders>
              <w:top w:val="nil"/>
              <w:left w:val="nil"/>
              <w:bottom w:val="single" w:color="000000" w:sz="12" w:space="0"/>
              <w:right w:val="nil"/>
            </w:tcBorders>
            <w:noWrap/>
            <w:vAlign w:val="center"/>
          </w:tcPr>
          <w:p w14:paraId="4D503FB3">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(A) Markov model-QALY (ITT dataset)</w:t>
            </w:r>
          </w:p>
        </w:tc>
      </w:tr>
      <w:tr w14:paraId="54B2D5FC">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50C93C21">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53149906">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583F6F9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14A9E495">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652B312B">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6BC804A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736862C5">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37.33 </w:t>
            </w:r>
          </w:p>
        </w:tc>
        <w:tc>
          <w:tcPr>
            <w:tcW w:w="1059" w:type="pct"/>
            <w:tcBorders>
              <w:top w:val="nil"/>
              <w:left w:val="nil"/>
              <w:bottom w:val="nil"/>
              <w:right w:val="nil"/>
            </w:tcBorders>
            <w:noWrap/>
            <w:vAlign w:val="center"/>
          </w:tcPr>
          <w:p w14:paraId="06A21E9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36.96 </w:t>
            </w:r>
          </w:p>
        </w:tc>
        <w:tc>
          <w:tcPr>
            <w:tcW w:w="1616" w:type="pct"/>
            <w:tcBorders>
              <w:top w:val="nil"/>
              <w:left w:val="nil"/>
              <w:bottom w:val="nil"/>
              <w:right w:val="nil"/>
            </w:tcBorders>
            <w:noWrap/>
            <w:vAlign w:val="center"/>
          </w:tcPr>
          <w:p w14:paraId="147B9C6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0.37 </w:t>
            </w:r>
          </w:p>
        </w:tc>
      </w:tr>
      <w:tr w14:paraId="26A484F4">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450A291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31D75BD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37.32 </w:t>
            </w:r>
          </w:p>
        </w:tc>
        <w:tc>
          <w:tcPr>
            <w:tcW w:w="1059" w:type="pct"/>
            <w:tcBorders>
              <w:top w:val="nil"/>
              <w:left w:val="nil"/>
              <w:bottom w:val="nil"/>
              <w:right w:val="nil"/>
            </w:tcBorders>
            <w:noWrap/>
            <w:vAlign w:val="center"/>
          </w:tcPr>
          <w:p w14:paraId="2DEAB34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34.23 </w:t>
            </w:r>
          </w:p>
        </w:tc>
        <w:tc>
          <w:tcPr>
            <w:tcW w:w="1616" w:type="pct"/>
            <w:tcBorders>
              <w:top w:val="nil"/>
              <w:left w:val="nil"/>
              <w:bottom w:val="nil"/>
              <w:right w:val="nil"/>
            </w:tcBorders>
            <w:noWrap/>
            <w:vAlign w:val="center"/>
          </w:tcPr>
          <w:p w14:paraId="1FEB72E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3.09 </w:t>
            </w:r>
          </w:p>
        </w:tc>
      </w:tr>
      <w:tr w14:paraId="26BFA7D6">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108D477B">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16FBEE1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0.01 </w:t>
            </w:r>
          </w:p>
        </w:tc>
        <w:tc>
          <w:tcPr>
            <w:tcW w:w="1059" w:type="pct"/>
            <w:tcBorders>
              <w:top w:val="nil"/>
              <w:left w:val="nil"/>
              <w:bottom w:val="single" w:color="000000" w:sz="12" w:space="0"/>
              <w:right w:val="nil"/>
            </w:tcBorders>
            <w:noWrap/>
            <w:vAlign w:val="center"/>
          </w:tcPr>
          <w:p w14:paraId="59E88E0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2.73 </w:t>
            </w:r>
          </w:p>
        </w:tc>
        <w:tc>
          <w:tcPr>
            <w:tcW w:w="1616" w:type="pct"/>
            <w:tcBorders>
              <w:top w:val="nil"/>
              <w:left w:val="nil"/>
              <w:bottom w:val="single" w:color="000000" w:sz="12" w:space="0"/>
              <w:right w:val="nil"/>
            </w:tcBorders>
            <w:noWrap/>
            <w:vAlign w:val="center"/>
          </w:tcPr>
          <w:p w14:paraId="499CFDC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2669C2D7">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2196849A">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(B) Infectious disease dynamic model-QALY (ITT dataset)</w:t>
            </w:r>
          </w:p>
        </w:tc>
      </w:tr>
      <w:tr w14:paraId="61D5A7BA">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4264831A">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250663D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013148CA">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5AC20F66">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1604D133">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5C90708C">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2C3A8CD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15.03 </w:t>
            </w:r>
          </w:p>
        </w:tc>
        <w:tc>
          <w:tcPr>
            <w:tcW w:w="1059" w:type="pct"/>
            <w:tcBorders>
              <w:top w:val="nil"/>
              <w:left w:val="nil"/>
              <w:bottom w:val="nil"/>
              <w:right w:val="nil"/>
            </w:tcBorders>
            <w:noWrap/>
            <w:vAlign w:val="center"/>
          </w:tcPr>
          <w:p w14:paraId="5D3AEA9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15.02 </w:t>
            </w:r>
          </w:p>
        </w:tc>
        <w:tc>
          <w:tcPr>
            <w:tcW w:w="1616" w:type="pct"/>
            <w:tcBorders>
              <w:top w:val="nil"/>
              <w:left w:val="nil"/>
              <w:bottom w:val="nil"/>
              <w:right w:val="nil"/>
            </w:tcBorders>
            <w:noWrap/>
            <w:vAlign w:val="center"/>
          </w:tcPr>
          <w:p w14:paraId="3846FA8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0.01 </w:t>
            </w:r>
          </w:p>
        </w:tc>
      </w:tr>
      <w:tr w14:paraId="4D9818F6">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51DA5D0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4130BF86">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15.00 </w:t>
            </w:r>
          </w:p>
        </w:tc>
        <w:tc>
          <w:tcPr>
            <w:tcW w:w="1059" w:type="pct"/>
            <w:tcBorders>
              <w:top w:val="nil"/>
              <w:left w:val="nil"/>
              <w:bottom w:val="nil"/>
              <w:right w:val="nil"/>
            </w:tcBorders>
            <w:noWrap/>
            <w:vAlign w:val="center"/>
          </w:tcPr>
          <w:p w14:paraId="06303E9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14.99 </w:t>
            </w:r>
          </w:p>
        </w:tc>
        <w:tc>
          <w:tcPr>
            <w:tcW w:w="1616" w:type="pct"/>
            <w:tcBorders>
              <w:top w:val="nil"/>
              <w:left w:val="nil"/>
              <w:bottom w:val="nil"/>
              <w:right w:val="nil"/>
            </w:tcBorders>
            <w:noWrap/>
            <w:vAlign w:val="center"/>
          </w:tcPr>
          <w:p w14:paraId="03DCEDB6">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0.00 </w:t>
            </w:r>
          </w:p>
        </w:tc>
      </w:tr>
      <w:tr w14:paraId="2613E2A5">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5F0277E5">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7CBE86E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0.04 </w:t>
            </w:r>
          </w:p>
        </w:tc>
        <w:tc>
          <w:tcPr>
            <w:tcW w:w="1059" w:type="pct"/>
            <w:tcBorders>
              <w:top w:val="nil"/>
              <w:left w:val="nil"/>
              <w:bottom w:val="single" w:color="000000" w:sz="12" w:space="0"/>
              <w:right w:val="nil"/>
            </w:tcBorders>
            <w:noWrap/>
            <w:vAlign w:val="center"/>
          </w:tcPr>
          <w:p w14:paraId="344AF9C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0.03 </w:t>
            </w:r>
          </w:p>
        </w:tc>
        <w:tc>
          <w:tcPr>
            <w:tcW w:w="1616" w:type="pct"/>
            <w:tcBorders>
              <w:top w:val="nil"/>
              <w:left w:val="nil"/>
              <w:bottom w:val="single" w:color="000000" w:sz="12" w:space="0"/>
              <w:right w:val="nil"/>
            </w:tcBorders>
            <w:noWrap/>
            <w:vAlign w:val="center"/>
          </w:tcPr>
          <w:p w14:paraId="3B5E273B">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38A7568B">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63EA901B">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(C) Markov model-COST (ITT dataset)</w:t>
            </w:r>
          </w:p>
        </w:tc>
      </w:tr>
      <w:tr w14:paraId="5FBF439C">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06AFDA35">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2352D03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3B0A80DB">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1CFE3836">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0EC27F9F">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4791A943">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3A17574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439294.85 </w:t>
            </w:r>
          </w:p>
        </w:tc>
        <w:tc>
          <w:tcPr>
            <w:tcW w:w="1059" w:type="pct"/>
            <w:tcBorders>
              <w:top w:val="nil"/>
              <w:left w:val="nil"/>
              <w:bottom w:val="nil"/>
              <w:right w:val="nil"/>
            </w:tcBorders>
            <w:noWrap/>
            <w:vAlign w:val="center"/>
          </w:tcPr>
          <w:p w14:paraId="2C7BA312">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405914.46 </w:t>
            </w:r>
          </w:p>
        </w:tc>
        <w:tc>
          <w:tcPr>
            <w:tcW w:w="1616" w:type="pct"/>
            <w:tcBorders>
              <w:top w:val="nil"/>
              <w:left w:val="nil"/>
              <w:bottom w:val="nil"/>
              <w:right w:val="nil"/>
            </w:tcBorders>
            <w:noWrap/>
            <w:vAlign w:val="center"/>
          </w:tcPr>
          <w:p w14:paraId="1E2BBB7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33380.40 </w:t>
            </w:r>
          </w:p>
        </w:tc>
      </w:tr>
      <w:tr w14:paraId="03A55C5A">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56A6B89F">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55059F0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395324.28 </w:t>
            </w:r>
          </w:p>
        </w:tc>
        <w:tc>
          <w:tcPr>
            <w:tcW w:w="1059" w:type="pct"/>
            <w:tcBorders>
              <w:top w:val="nil"/>
              <w:left w:val="nil"/>
              <w:bottom w:val="nil"/>
              <w:right w:val="nil"/>
            </w:tcBorders>
            <w:noWrap/>
            <w:vAlign w:val="center"/>
          </w:tcPr>
          <w:p w14:paraId="53B1AAC6">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394099.50 </w:t>
            </w:r>
          </w:p>
        </w:tc>
        <w:tc>
          <w:tcPr>
            <w:tcW w:w="1616" w:type="pct"/>
            <w:tcBorders>
              <w:top w:val="nil"/>
              <w:left w:val="nil"/>
              <w:bottom w:val="nil"/>
              <w:right w:val="nil"/>
            </w:tcBorders>
            <w:noWrap/>
            <w:vAlign w:val="center"/>
          </w:tcPr>
          <w:p w14:paraId="61F15DB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1224.78 </w:t>
            </w:r>
          </w:p>
        </w:tc>
      </w:tr>
      <w:tr w14:paraId="591271A1">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79D48983">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69AC55DB">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43970.58 </w:t>
            </w:r>
          </w:p>
        </w:tc>
        <w:tc>
          <w:tcPr>
            <w:tcW w:w="1059" w:type="pct"/>
            <w:tcBorders>
              <w:top w:val="nil"/>
              <w:left w:val="nil"/>
              <w:bottom w:val="single" w:color="000000" w:sz="12" w:space="0"/>
              <w:right w:val="nil"/>
            </w:tcBorders>
            <w:noWrap/>
            <w:vAlign w:val="center"/>
          </w:tcPr>
          <w:p w14:paraId="1366A8B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11814.96 </w:t>
            </w:r>
          </w:p>
        </w:tc>
        <w:tc>
          <w:tcPr>
            <w:tcW w:w="1616" w:type="pct"/>
            <w:tcBorders>
              <w:top w:val="nil"/>
              <w:left w:val="nil"/>
              <w:bottom w:val="single" w:color="000000" w:sz="12" w:space="0"/>
              <w:right w:val="nil"/>
            </w:tcBorders>
            <w:noWrap/>
            <w:vAlign w:val="center"/>
          </w:tcPr>
          <w:p w14:paraId="646385D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52C7F973">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339E163D">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(D) Infectious disease dynamic model-COST (ITT dataset)</w:t>
            </w:r>
          </w:p>
        </w:tc>
      </w:tr>
      <w:tr w14:paraId="07FB5E44">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5CB9A211">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588B589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74D280B4">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4AA07027">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58721788">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515BFED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514D4BE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42187.04 </w:t>
            </w:r>
          </w:p>
        </w:tc>
        <w:tc>
          <w:tcPr>
            <w:tcW w:w="1059" w:type="pct"/>
            <w:tcBorders>
              <w:top w:val="nil"/>
              <w:left w:val="nil"/>
              <w:bottom w:val="nil"/>
              <w:right w:val="nil"/>
            </w:tcBorders>
            <w:noWrap/>
            <w:vAlign w:val="center"/>
          </w:tcPr>
          <w:p w14:paraId="1D660B8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42183.66 </w:t>
            </w:r>
          </w:p>
        </w:tc>
        <w:tc>
          <w:tcPr>
            <w:tcW w:w="1616" w:type="pct"/>
            <w:tcBorders>
              <w:top w:val="nil"/>
              <w:left w:val="nil"/>
              <w:bottom w:val="nil"/>
              <w:right w:val="nil"/>
            </w:tcBorders>
            <w:noWrap/>
            <w:vAlign w:val="center"/>
          </w:tcPr>
          <w:p w14:paraId="6ED40FE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3.38 </w:t>
            </w:r>
          </w:p>
        </w:tc>
      </w:tr>
      <w:tr w14:paraId="37EF015A">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2BFDB2B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3EBE0F6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42106.23 </w:t>
            </w:r>
          </w:p>
        </w:tc>
        <w:tc>
          <w:tcPr>
            <w:tcW w:w="1059" w:type="pct"/>
            <w:tcBorders>
              <w:top w:val="nil"/>
              <w:left w:val="nil"/>
              <w:bottom w:val="nil"/>
              <w:right w:val="nil"/>
            </w:tcBorders>
            <w:noWrap/>
            <w:vAlign w:val="center"/>
          </w:tcPr>
          <w:p w14:paraId="1C6235CB">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41918.61 </w:t>
            </w:r>
          </w:p>
        </w:tc>
        <w:tc>
          <w:tcPr>
            <w:tcW w:w="1616" w:type="pct"/>
            <w:tcBorders>
              <w:top w:val="nil"/>
              <w:left w:val="nil"/>
              <w:bottom w:val="nil"/>
              <w:right w:val="nil"/>
            </w:tcBorders>
            <w:noWrap/>
            <w:vAlign w:val="center"/>
          </w:tcPr>
          <w:p w14:paraId="7EB66FE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187.62 </w:t>
            </w:r>
          </w:p>
        </w:tc>
      </w:tr>
      <w:tr w14:paraId="26025556">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6713A1D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7734FEF6">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80.81 </w:t>
            </w:r>
          </w:p>
        </w:tc>
        <w:tc>
          <w:tcPr>
            <w:tcW w:w="1059" w:type="pct"/>
            <w:tcBorders>
              <w:top w:val="nil"/>
              <w:left w:val="nil"/>
              <w:bottom w:val="single" w:color="000000" w:sz="12" w:space="0"/>
              <w:right w:val="nil"/>
            </w:tcBorders>
            <w:noWrap/>
            <w:vAlign w:val="center"/>
          </w:tcPr>
          <w:p w14:paraId="47260A3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265.05 </w:t>
            </w:r>
          </w:p>
        </w:tc>
        <w:tc>
          <w:tcPr>
            <w:tcW w:w="1616" w:type="pct"/>
            <w:tcBorders>
              <w:top w:val="nil"/>
              <w:left w:val="nil"/>
              <w:bottom w:val="single" w:color="000000" w:sz="12" w:space="0"/>
              <w:right w:val="nil"/>
            </w:tcBorders>
            <w:noWrap/>
            <w:vAlign w:val="center"/>
          </w:tcPr>
          <w:p w14:paraId="1963D58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3CF70C60">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429082CF">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(E) Markov model-QALY (PP dataset)</w:t>
            </w:r>
          </w:p>
        </w:tc>
      </w:tr>
      <w:tr w14:paraId="07CB5014">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6CA29C29">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354DB034">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006D968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07349881">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073C6F15">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1DCBCB9F">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2E4F655F">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37.41 </w:t>
            </w:r>
          </w:p>
        </w:tc>
        <w:tc>
          <w:tcPr>
            <w:tcW w:w="1059" w:type="pct"/>
            <w:tcBorders>
              <w:top w:val="nil"/>
              <w:left w:val="nil"/>
              <w:bottom w:val="nil"/>
              <w:right w:val="nil"/>
            </w:tcBorders>
            <w:noWrap/>
            <w:vAlign w:val="center"/>
          </w:tcPr>
          <w:p w14:paraId="36F0BE19">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36.93 </w:t>
            </w:r>
          </w:p>
        </w:tc>
        <w:tc>
          <w:tcPr>
            <w:tcW w:w="1616" w:type="pct"/>
            <w:tcBorders>
              <w:top w:val="nil"/>
              <w:left w:val="nil"/>
              <w:bottom w:val="nil"/>
              <w:right w:val="nil"/>
            </w:tcBorders>
            <w:noWrap/>
            <w:vAlign w:val="center"/>
          </w:tcPr>
          <w:p w14:paraId="4CB9995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0.48 </w:t>
            </w:r>
          </w:p>
        </w:tc>
      </w:tr>
      <w:tr w14:paraId="6E58833C">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347E2F41">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67E7940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37.41 </w:t>
            </w:r>
          </w:p>
        </w:tc>
        <w:tc>
          <w:tcPr>
            <w:tcW w:w="1059" w:type="pct"/>
            <w:tcBorders>
              <w:top w:val="nil"/>
              <w:left w:val="nil"/>
              <w:bottom w:val="nil"/>
              <w:right w:val="nil"/>
            </w:tcBorders>
            <w:noWrap/>
            <w:vAlign w:val="center"/>
          </w:tcPr>
          <w:p w14:paraId="3A277C7B">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31.36 </w:t>
            </w:r>
          </w:p>
        </w:tc>
        <w:tc>
          <w:tcPr>
            <w:tcW w:w="1616" w:type="pct"/>
            <w:tcBorders>
              <w:top w:val="nil"/>
              <w:left w:val="nil"/>
              <w:bottom w:val="nil"/>
              <w:right w:val="nil"/>
            </w:tcBorders>
            <w:noWrap/>
            <w:vAlign w:val="center"/>
          </w:tcPr>
          <w:p w14:paraId="17DF58A5">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6.05 </w:t>
            </w:r>
          </w:p>
        </w:tc>
      </w:tr>
      <w:tr w14:paraId="18683192">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54AF9812">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6F69CD5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2.20E-03</w:t>
            </w:r>
          </w:p>
        </w:tc>
        <w:tc>
          <w:tcPr>
            <w:tcW w:w="1059" w:type="pct"/>
            <w:tcBorders>
              <w:top w:val="nil"/>
              <w:left w:val="nil"/>
              <w:bottom w:val="single" w:color="000000" w:sz="12" w:space="0"/>
              <w:right w:val="nil"/>
            </w:tcBorders>
            <w:noWrap/>
            <w:vAlign w:val="center"/>
          </w:tcPr>
          <w:p w14:paraId="48F87F6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5.58 </w:t>
            </w:r>
          </w:p>
        </w:tc>
        <w:tc>
          <w:tcPr>
            <w:tcW w:w="1616" w:type="pct"/>
            <w:tcBorders>
              <w:top w:val="nil"/>
              <w:left w:val="nil"/>
              <w:bottom w:val="single" w:color="000000" w:sz="12" w:space="0"/>
              <w:right w:val="nil"/>
            </w:tcBorders>
            <w:noWrap/>
            <w:vAlign w:val="center"/>
          </w:tcPr>
          <w:p w14:paraId="003BFD11">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3FF40A5A">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704270F3">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(F) Infectious disease dynamic model-QALY (PP dataset)</w:t>
            </w:r>
          </w:p>
        </w:tc>
      </w:tr>
      <w:tr w14:paraId="38B2187A">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103DF64A">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341E3552">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05F06CB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7387B831">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5076C88C">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2361D0B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7A90F8D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15.05 </w:t>
            </w:r>
          </w:p>
        </w:tc>
        <w:tc>
          <w:tcPr>
            <w:tcW w:w="1059" w:type="pct"/>
            <w:tcBorders>
              <w:top w:val="nil"/>
              <w:left w:val="nil"/>
              <w:bottom w:val="nil"/>
              <w:right w:val="nil"/>
            </w:tcBorders>
            <w:noWrap/>
            <w:vAlign w:val="center"/>
          </w:tcPr>
          <w:p w14:paraId="26A7FDD8">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15.04 </w:t>
            </w:r>
          </w:p>
        </w:tc>
        <w:tc>
          <w:tcPr>
            <w:tcW w:w="1616" w:type="pct"/>
            <w:tcBorders>
              <w:top w:val="nil"/>
              <w:left w:val="nil"/>
              <w:bottom w:val="nil"/>
              <w:right w:val="nil"/>
            </w:tcBorders>
            <w:noWrap/>
            <w:vAlign w:val="center"/>
          </w:tcPr>
          <w:p w14:paraId="15C20CE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0.01 </w:t>
            </w:r>
          </w:p>
        </w:tc>
      </w:tr>
      <w:tr w14:paraId="02D74EF4">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77F884A3">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140562F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15.01 </w:t>
            </w:r>
          </w:p>
        </w:tc>
        <w:tc>
          <w:tcPr>
            <w:tcW w:w="1059" w:type="pct"/>
            <w:tcBorders>
              <w:top w:val="nil"/>
              <w:left w:val="nil"/>
              <w:bottom w:val="nil"/>
              <w:right w:val="nil"/>
            </w:tcBorders>
            <w:noWrap/>
            <w:vAlign w:val="center"/>
          </w:tcPr>
          <w:p w14:paraId="2DB374D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15.02 </w:t>
            </w:r>
          </w:p>
        </w:tc>
        <w:tc>
          <w:tcPr>
            <w:tcW w:w="1616" w:type="pct"/>
            <w:tcBorders>
              <w:top w:val="nil"/>
              <w:left w:val="nil"/>
              <w:bottom w:val="nil"/>
              <w:right w:val="nil"/>
            </w:tcBorders>
            <w:noWrap/>
            <w:vAlign w:val="center"/>
          </w:tcPr>
          <w:p w14:paraId="5895B89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-0.01 </w:t>
            </w:r>
          </w:p>
        </w:tc>
      </w:tr>
      <w:tr w14:paraId="20E226E8">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18FC8EC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2BFF361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0.04 </w:t>
            </w:r>
          </w:p>
        </w:tc>
        <w:tc>
          <w:tcPr>
            <w:tcW w:w="1059" w:type="pct"/>
            <w:tcBorders>
              <w:top w:val="nil"/>
              <w:left w:val="nil"/>
              <w:bottom w:val="single" w:color="000000" w:sz="12" w:space="0"/>
              <w:right w:val="nil"/>
            </w:tcBorders>
            <w:noWrap/>
            <w:vAlign w:val="center"/>
          </w:tcPr>
          <w:p w14:paraId="78CB55F0">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0.03 </w:t>
            </w:r>
          </w:p>
        </w:tc>
        <w:tc>
          <w:tcPr>
            <w:tcW w:w="1616" w:type="pct"/>
            <w:tcBorders>
              <w:top w:val="nil"/>
              <w:left w:val="nil"/>
              <w:bottom w:val="single" w:color="000000" w:sz="12" w:space="0"/>
              <w:right w:val="nil"/>
            </w:tcBorders>
            <w:noWrap/>
            <w:vAlign w:val="center"/>
          </w:tcPr>
          <w:p w14:paraId="2BACD7D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2CF16423">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1EFB6228">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(G) Markov model-COST (PP dataset)</w:t>
            </w:r>
          </w:p>
        </w:tc>
      </w:tr>
      <w:tr w14:paraId="688CF2BA">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439B50C1">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p>
        </w:tc>
        <w:tc>
          <w:tcPr>
            <w:tcW w:w="840" w:type="pct"/>
            <w:tcBorders>
              <w:top w:val="single" w:color="000000" w:sz="12" w:space="0"/>
              <w:left w:val="nil"/>
              <w:bottom w:val="single" w:color="000000" w:sz="4" w:space="0"/>
              <w:right w:val="nil"/>
            </w:tcBorders>
            <w:noWrap/>
            <w:vAlign w:val="center"/>
          </w:tcPr>
          <w:p w14:paraId="3875E53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1DE828EF">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6E770F25">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37F9C9EF">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0248C62E">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3CE788CF">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857162.74 </w:t>
            </w:r>
          </w:p>
        </w:tc>
        <w:tc>
          <w:tcPr>
            <w:tcW w:w="1059" w:type="pct"/>
            <w:tcBorders>
              <w:top w:val="nil"/>
              <w:left w:val="nil"/>
              <w:bottom w:val="nil"/>
              <w:right w:val="nil"/>
            </w:tcBorders>
            <w:noWrap/>
            <w:vAlign w:val="center"/>
          </w:tcPr>
          <w:p w14:paraId="19784C9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842809.44 </w:t>
            </w:r>
          </w:p>
        </w:tc>
        <w:tc>
          <w:tcPr>
            <w:tcW w:w="1616" w:type="pct"/>
            <w:tcBorders>
              <w:top w:val="nil"/>
              <w:left w:val="nil"/>
              <w:bottom w:val="nil"/>
              <w:right w:val="nil"/>
            </w:tcBorders>
            <w:noWrap/>
            <w:vAlign w:val="center"/>
          </w:tcPr>
          <w:p w14:paraId="371EE9BD">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14353.30 </w:t>
            </w:r>
          </w:p>
        </w:tc>
      </w:tr>
      <w:tr w14:paraId="7A24831A">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04C49A3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055DC36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568552.57 </w:t>
            </w:r>
          </w:p>
        </w:tc>
        <w:tc>
          <w:tcPr>
            <w:tcW w:w="1059" w:type="pct"/>
            <w:tcBorders>
              <w:top w:val="nil"/>
              <w:left w:val="nil"/>
              <w:bottom w:val="nil"/>
              <w:right w:val="nil"/>
            </w:tcBorders>
            <w:noWrap/>
            <w:vAlign w:val="center"/>
          </w:tcPr>
          <w:p w14:paraId="791EAE9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481294.82 </w:t>
            </w:r>
          </w:p>
        </w:tc>
        <w:tc>
          <w:tcPr>
            <w:tcW w:w="1616" w:type="pct"/>
            <w:tcBorders>
              <w:top w:val="nil"/>
              <w:left w:val="nil"/>
              <w:bottom w:val="nil"/>
              <w:right w:val="nil"/>
            </w:tcBorders>
            <w:noWrap/>
            <w:vAlign w:val="center"/>
          </w:tcPr>
          <w:p w14:paraId="291DDFE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87257.74 </w:t>
            </w:r>
          </w:p>
        </w:tc>
      </w:tr>
      <w:tr w14:paraId="7819C0EE">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65C66DE3">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0872779B">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288610.17 </w:t>
            </w:r>
          </w:p>
        </w:tc>
        <w:tc>
          <w:tcPr>
            <w:tcW w:w="1059" w:type="pct"/>
            <w:tcBorders>
              <w:top w:val="nil"/>
              <w:left w:val="nil"/>
              <w:bottom w:val="single" w:color="000000" w:sz="12" w:space="0"/>
              <w:right w:val="nil"/>
            </w:tcBorders>
            <w:noWrap/>
            <w:vAlign w:val="center"/>
          </w:tcPr>
          <w:p w14:paraId="2A633C7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361514.61 </w:t>
            </w:r>
          </w:p>
        </w:tc>
        <w:tc>
          <w:tcPr>
            <w:tcW w:w="1616" w:type="pct"/>
            <w:tcBorders>
              <w:top w:val="nil"/>
              <w:left w:val="nil"/>
              <w:bottom w:val="single" w:color="000000" w:sz="12" w:space="0"/>
              <w:right w:val="nil"/>
            </w:tcBorders>
            <w:noWrap/>
            <w:vAlign w:val="center"/>
          </w:tcPr>
          <w:p w14:paraId="3C1476AE">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r w14:paraId="458EBBEB">
        <w:tblPrEx>
          <w:tblCellMar>
            <w:top w:w="0" w:type="dxa"/>
            <w:left w:w="108" w:type="dxa"/>
            <w:bottom w:w="0" w:type="dxa"/>
            <w:right w:w="108" w:type="dxa"/>
          </w:tblCellMar>
        </w:tblPrEx>
        <w:trPr>
          <w:trHeight w:val="300" w:hRule="atLeast"/>
        </w:trPr>
        <w:tc>
          <w:tcPr>
            <w:tcW w:w="5000" w:type="pct"/>
            <w:gridSpan w:val="4"/>
            <w:tcBorders>
              <w:top w:val="single" w:color="000000" w:sz="12" w:space="0"/>
              <w:left w:val="nil"/>
              <w:bottom w:val="single" w:color="000000" w:sz="12" w:space="0"/>
              <w:right w:val="nil"/>
            </w:tcBorders>
            <w:noWrap/>
            <w:vAlign w:val="center"/>
          </w:tcPr>
          <w:p w14:paraId="0F0B74DB">
            <w:pPr>
              <w:spacing w:line="480" w:lineRule="auto"/>
              <w:jc w:val="left"/>
              <w:rPr>
                <w:rFonts w:ascii="Times New Roman" w:hAnsi="Times New Roman" w:eastAsia="宋体" w:cs="Times New Roman"/>
                <w:color w:val="000000"/>
                <w:sz w:val="22"/>
              </w:rPr>
            </w:pPr>
            <w:r>
              <w:rPr>
                <w:rFonts w:ascii="Times New Roman" w:hAnsi="Times New Roman" w:eastAsia="宋体" w:cs="Times New Roman"/>
                <w:b/>
                <w:bCs/>
                <w:color w:val="000000"/>
                <w:kern w:val="0"/>
                <w:sz w:val="22"/>
                <w:lang w:bidi="ar"/>
              </w:rPr>
              <w:t>(H) Infectious disease dynamic model-COST (PP dataset)</w:t>
            </w:r>
          </w:p>
        </w:tc>
      </w:tr>
      <w:tr w14:paraId="7858EAC2">
        <w:tblPrEx>
          <w:tblCellMar>
            <w:top w:w="0" w:type="dxa"/>
            <w:left w:w="108" w:type="dxa"/>
            <w:bottom w:w="0" w:type="dxa"/>
            <w:right w:w="108" w:type="dxa"/>
          </w:tblCellMar>
        </w:tblPrEx>
        <w:trPr>
          <w:trHeight w:val="285" w:hRule="atLeast"/>
        </w:trPr>
        <w:tc>
          <w:tcPr>
            <w:tcW w:w="1486" w:type="pct"/>
            <w:tcBorders>
              <w:top w:val="single" w:color="000000" w:sz="12" w:space="0"/>
              <w:left w:val="nil"/>
              <w:bottom w:val="single" w:color="000000" w:sz="4" w:space="0"/>
              <w:right w:val="nil"/>
            </w:tcBorders>
            <w:noWrap/>
            <w:vAlign w:val="center"/>
          </w:tcPr>
          <w:p w14:paraId="0FCBEF5B">
            <w:pPr>
              <w:spacing w:line="480" w:lineRule="auto"/>
              <w:jc w:val="center"/>
              <w:rPr>
                <w:rFonts w:ascii="Times New Roman" w:hAnsi="Times New Roman" w:eastAsia="宋体" w:cs="Times New Roman"/>
                <w:b/>
                <w:bCs/>
                <w:color w:val="000000"/>
                <w:sz w:val="22"/>
              </w:rPr>
            </w:pPr>
            <w:r>
              <w:rPr>
                <w:rFonts w:hint="eastAsia" w:ascii="Times New Roman" w:hAnsi="Times New Roman" w:eastAsia="宋体" w:cs="Times New Roman"/>
                <w:b/>
                <w:bCs/>
                <w:color w:val="000000"/>
                <w:sz w:val="22"/>
              </w:rPr>
              <w:t>ART regimens</w:t>
            </w:r>
            <w:bookmarkStart w:id="80" w:name="_GoBack"/>
            <w:bookmarkEnd w:id="80"/>
          </w:p>
        </w:tc>
        <w:tc>
          <w:tcPr>
            <w:tcW w:w="840" w:type="pct"/>
            <w:tcBorders>
              <w:top w:val="single" w:color="000000" w:sz="12" w:space="0"/>
              <w:left w:val="nil"/>
              <w:bottom w:val="single" w:color="000000" w:sz="4" w:space="0"/>
              <w:right w:val="nil"/>
            </w:tcBorders>
            <w:noWrap/>
            <w:vAlign w:val="center"/>
          </w:tcPr>
          <w:p w14:paraId="1DAA2664">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Rapid Initiation</w:t>
            </w:r>
          </w:p>
        </w:tc>
        <w:tc>
          <w:tcPr>
            <w:tcW w:w="1059" w:type="pct"/>
            <w:tcBorders>
              <w:top w:val="single" w:color="000000" w:sz="12" w:space="0"/>
              <w:left w:val="nil"/>
              <w:bottom w:val="single" w:color="000000" w:sz="4" w:space="0"/>
              <w:right w:val="nil"/>
            </w:tcBorders>
            <w:noWrap/>
            <w:vAlign w:val="center"/>
          </w:tcPr>
          <w:p w14:paraId="238F83E0">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Non-Rapid Initiation</w:t>
            </w:r>
          </w:p>
        </w:tc>
        <w:tc>
          <w:tcPr>
            <w:tcW w:w="1616" w:type="pct"/>
            <w:tcBorders>
              <w:top w:val="single" w:color="000000" w:sz="12" w:space="0"/>
              <w:left w:val="nil"/>
              <w:bottom w:val="single" w:color="000000" w:sz="4" w:space="0"/>
              <w:right w:val="nil"/>
            </w:tcBorders>
            <w:noWrap/>
            <w:vAlign w:val="center"/>
          </w:tcPr>
          <w:p w14:paraId="53C2EF08">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(Rapid vs. Non-Rapid)</w:t>
            </w:r>
          </w:p>
        </w:tc>
      </w:tr>
      <w:tr w14:paraId="34CA1848">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0633010D">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BIC/FTC/TAF</w:t>
            </w:r>
          </w:p>
        </w:tc>
        <w:tc>
          <w:tcPr>
            <w:tcW w:w="840" w:type="pct"/>
            <w:tcBorders>
              <w:top w:val="nil"/>
              <w:left w:val="nil"/>
              <w:bottom w:val="nil"/>
              <w:right w:val="nil"/>
            </w:tcBorders>
            <w:noWrap/>
            <w:vAlign w:val="center"/>
          </w:tcPr>
          <w:p w14:paraId="6DBC0AD7">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42262.57 </w:t>
            </w:r>
          </w:p>
        </w:tc>
        <w:tc>
          <w:tcPr>
            <w:tcW w:w="1059" w:type="pct"/>
            <w:tcBorders>
              <w:top w:val="nil"/>
              <w:left w:val="nil"/>
              <w:bottom w:val="nil"/>
              <w:right w:val="nil"/>
            </w:tcBorders>
            <w:noWrap/>
            <w:vAlign w:val="center"/>
          </w:tcPr>
          <w:p w14:paraId="61F8C002">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42160.33 </w:t>
            </w:r>
          </w:p>
        </w:tc>
        <w:tc>
          <w:tcPr>
            <w:tcW w:w="1616" w:type="pct"/>
            <w:tcBorders>
              <w:top w:val="nil"/>
              <w:left w:val="nil"/>
              <w:bottom w:val="nil"/>
              <w:right w:val="nil"/>
            </w:tcBorders>
            <w:noWrap/>
            <w:vAlign w:val="center"/>
          </w:tcPr>
          <w:p w14:paraId="1EEAE7C4">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102.23 </w:t>
            </w:r>
          </w:p>
        </w:tc>
      </w:tr>
      <w:tr w14:paraId="12BD3ED3">
        <w:tblPrEx>
          <w:tblCellMar>
            <w:top w:w="0" w:type="dxa"/>
            <w:left w:w="108" w:type="dxa"/>
            <w:bottom w:w="0" w:type="dxa"/>
            <w:right w:w="108" w:type="dxa"/>
          </w:tblCellMar>
        </w:tblPrEx>
        <w:trPr>
          <w:trHeight w:val="300" w:hRule="atLeast"/>
        </w:trPr>
        <w:tc>
          <w:tcPr>
            <w:tcW w:w="1486" w:type="pct"/>
            <w:tcBorders>
              <w:top w:val="nil"/>
              <w:left w:val="nil"/>
              <w:bottom w:val="nil"/>
              <w:right w:val="nil"/>
            </w:tcBorders>
            <w:noWrap/>
            <w:vAlign w:val="center"/>
          </w:tcPr>
          <w:p w14:paraId="48123FF9">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EFV+TDF+3TC</w:t>
            </w:r>
          </w:p>
        </w:tc>
        <w:tc>
          <w:tcPr>
            <w:tcW w:w="840" w:type="pct"/>
            <w:tcBorders>
              <w:top w:val="nil"/>
              <w:left w:val="nil"/>
              <w:bottom w:val="nil"/>
              <w:right w:val="nil"/>
            </w:tcBorders>
            <w:noWrap/>
            <w:vAlign w:val="center"/>
          </w:tcPr>
          <w:p w14:paraId="7F2D07AC">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42120.56 </w:t>
            </w:r>
          </w:p>
        </w:tc>
        <w:tc>
          <w:tcPr>
            <w:tcW w:w="1059" w:type="pct"/>
            <w:tcBorders>
              <w:top w:val="nil"/>
              <w:left w:val="nil"/>
              <w:bottom w:val="nil"/>
              <w:right w:val="nil"/>
            </w:tcBorders>
            <w:noWrap/>
            <w:vAlign w:val="center"/>
          </w:tcPr>
          <w:p w14:paraId="7D8C57F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41109.61 </w:t>
            </w:r>
          </w:p>
        </w:tc>
        <w:tc>
          <w:tcPr>
            <w:tcW w:w="1616" w:type="pct"/>
            <w:tcBorders>
              <w:top w:val="nil"/>
              <w:left w:val="nil"/>
              <w:bottom w:val="nil"/>
              <w:right w:val="nil"/>
            </w:tcBorders>
            <w:noWrap/>
            <w:vAlign w:val="center"/>
          </w:tcPr>
          <w:p w14:paraId="0C1813D3">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1010.95 </w:t>
            </w:r>
          </w:p>
        </w:tc>
      </w:tr>
      <w:tr w14:paraId="61FFBDA8">
        <w:tblPrEx>
          <w:tblCellMar>
            <w:top w:w="0" w:type="dxa"/>
            <w:left w:w="108" w:type="dxa"/>
            <w:bottom w:w="0" w:type="dxa"/>
            <w:right w:w="108" w:type="dxa"/>
          </w:tblCellMar>
        </w:tblPrEx>
        <w:trPr>
          <w:trHeight w:val="300" w:hRule="atLeast"/>
        </w:trPr>
        <w:tc>
          <w:tcPr>
            <w:tcW w:w="1486" w:type="pct"/>
            <w:tcBorders>
              <w:top w:val="nil"/>
              <w:left w:val="nil"/>
              <w:bottom w:val="single" w:color="000000" w:sz="12" w:space="0"/>
              <w:right w:val="nil"/>
            </w:tcBorders>
            <w:noWrap/>
            <w:vAlign w:val="center"/>
          </w:tcPr>
          <w:p w14:paraId="011FEED6">
            <w:pPr>
              <w:widowControl/>
              <w:spacing w:line="480" w:lineRule="auto"/>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Difference (Between-Regimen)</w:t>
            </w:r>
          </w:p>
        </w:tc>
        <w:tc>
          <w:tcPr>
            <w:tcW w:w="840" w:type="pct"/>
            <w:tcBorders>
              <w:top w:val="nil"/>
              <w:left w:val="nil"/>
              <w:bottom w:val="single" w:color="000000" w:sz="12" w:space="0"/>
              <w:right w:val="nil"/>
            </w:tcBorders>
            <w:noWrap/>
            <w:vAlign w:val="center"/>
          </w:tcPr>
          <w:p w14:paraId="411A347A">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142.01 </w:t>
            </w:r>
          </w:p>
        </w:tc>
        <w:tc>
          <w:tcPr>
            <w:tcW w:w="1059" w:type="pct"/>
            <w:tcBorders>
              <w:top w:val="nil"/>
              <w:left w:val="nil"/>
              <w:bottom w:val="single" w:color="000000" w:sz="12" w:space="0"/>
              <w:right w:val="nil"/>
            </w:tcBorders>
            <w:noWrap/>
            <w:vAlign w:val="center"/>
          </w:tcPr>
          <w:p w14:paraId="255BF0A8">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 xml:space="preserve">1050.72 </w:t>
            </w:r>
          </w:p>
        </w:tc>
        <w:tc>
          <w:tcPr>
            <w:tcW w:w="1616" w:type="pct"/>
            <w:tcBorders>
              <w:top w:val="nil"/>
              <w:left w:val="nil"/>
              <w:bottom w:val="single" w:color="000000" w:sz="12" w:space="0"/>
              <w:right w:val="nil"/>
            </w:tcBorders>
            <w:noWrap/>
            <w:vAlign w:val="center"/>
          </w:tcPr>
          <w:p w14:paraId="532C3525">
            <w:pPr>
              <w:widowControl/>
              <w:spacing w:line="480" w:lineRule="auto"/>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w:t>
            </w:r>
          </w:p>
        </w:tc>
      </w:tr>
    </w:tbl>
    <w:p w14:paraId="2B1BC17B">
      <w:pPr>
        <w:spacing w:line="480" w:lineRule="auto"/>
      </w:pPr>
    </w:p>
    <w:p w14:paraId="62DA514A">
      <w:pPr>
        <w:pStyle w:val="5"/>
        <w:spacing w:before="0" w:after="0" w:line="480" w:lineRule="auto"/>
        <w:rPr>
          <w:rFonts w:ascii="Times New Roman" w:hAnsi="Times New Roman" w:cs="Times New Roman"/>
        </w:rPr>
      </w:pPr>
      <w:r>
        <w:rPr>
          <w:rFonts w:ascii="Times New Roman" w:hAnsi="Times New Roman" w:cs="Times New Roman"/>
        </w:rPr>
        <w:t xml:space="preserve">Sensitivity </w:t>
      </w:r>
      <w:r>
        <w:rPr>
          <w:rFonts w:hint="eastAsia" w:ascii="Times New Roman" w:hAnsi="Times New Roman" w:cs="Times New Roman"/>
        </w:rPr>
        <w:t>A</w:t>
      </w:r>
      <w:r>
        <w:rPr>
          <w:rFonts w:ascii="Times New Roman" w:hAnsi="Times New Roman" w:cs="Times New Roman"/>
        </w:rPr>
        <w:t>nalyses</w:t>
      </w:r>
    </w:p>
    <w:p w14:paraId="6C6D7A44">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To assess the robustness of our cost-effectiveness results, we performed extensive sensitivity analyses, including OWSA and PSA, across both the Markov model and the infectious disease dynamic model, using both (ITT and PP datasets.</w:t>
      </w:r>
    </w:p>
    <w:p w14:paraId="3EF8829B">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In the OWSA conducted under the Markov model framework using the ITT dataset for the rapid BIC versus EFV group comparison (</w:t>
      </w:r>
      <w:r>
        <w:rPr>
          <w:rFonts w:hint="eastAsia" w:ascii="Times New Roman" w:hAnsi="Times New Roman" w:eastAsia="黑体" w:cs="Times New Roman"/>
          <w:b/>
          <w:bCs/>
          <w:sz w:val="24"/>
          <w:szCs w:val="24"/>
        </w:rPr>
        <w:t>Appendix Figure 2</w:t>
      </w:r>
      <w:r>
        <w:rPr>
          <w:rFonts w:hint="eastAsia" w:ascii="Times New Roman" w:hAnsi="Times New Roman" w:eastAsia="黑体" w:cs="Times New Roman"/>
          <w:sz w:val="24"/>
          <w:szCs w:val="24"/>
        </w:rPr>
        <w:t>, Panel A), the top three most influential parameters were: (1) cost of BIC/FTC/TAF medicines (range: $2.5E+03-$4.5E+03), (2) cost of EFV+3TC+TDF medicines, and (3) virological discontinuation rate of BIC/FTC/TAF at weeks 96+. The tornado plot demonstrated that variation in these parameters caused the greatest fluctuation in the ICER value, although all outcomes remained within the acceptable WTP threshold.</w:t>
      </w:r>
    </w:p>
    <w:p w14:paraId="5EB7508B">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For the non-rapid BIC versus EFV group comparison in the same model and dataset (</w:t>
      </w:r>
      <w:r>
        <w:rPr>
          <w:rFonts w:hint="eastAsia" w:ascii="Times New Roman" w:hAnsi="Times New Roman" w:eastAsia="黑体" w:cs="Times New Roman"/>
          <w:b/>
          <w:bCs/>
          <w:sz w:val="24"/>
          <w:szCs w:val="24"/>
        </w:rPr>
        <w:t>Appendix Figure 2</w:t>
      </w:r>
      <w:r>
        <w:rPr>
          <w:rFonts w:hint="eastAsia" w:ascii="Times New Roman" w:hAnsi="Times New Roman" w:eastAsia="黑体" w:cs="Times New Roman"/>
          <w:sz w:val="24"/>
          <w:szCs w:val="24"/>
        </w:rPr>
        <w:t>, Panel B), the most sensitive parameters included: (1) cost of BIC/FTC/TAF medicines, (2) cost of EFV+3TC+TDF medicines, and (3) virological discontinuation rate of EFV+3TC+TDF at weeks 0-48. The analysis revealed consistent patterns across different initiation timing groups, with drug costs consistently emerging as the primary driver of uncertainty.</w:t>
      </w:r>
    </w:p>
    <w:p w14:paraId="3999D557">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Similar patterns were observed in the infectious disease dynamic model (</w:t>
      </w:r>
      <w:r>
        <w:rPr>
          <w:rFonts w:hint="eastAsia" w:ascii="Times New Roman" w:hAnsi="Times New Roman" w:eastAsia="黑体" w:cs="Times New Roman"/>
          <w:b/>
          <w:bCs/>
          <w:sz w:val="24"/>
          <w:szCs w:val="24"/>
        </w:rPr>
        <w:t>Appendix Figure 3</w:t>
      </w:r>
      <w:r>
        <w:rPr>
          <w:rFonts w:hint="eastAsia" w:ascii="Times New Roman" w:hAnsi="Times New Roman" w:eastAsia="黑体" w:cs="Times New Roman"/>
          <w:sz w:val="24"/>
          <w:szCs w:val="24"/>
        </w:rPr>
        <w:t>), where drug costs and discontinuation rates remained the most influential parameters in both rapid and non-rapid initiation groups.</w:t>
      </w:r>
    </w:p>
    <w:p w14:paraId="5D9A3336">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In the PP dataset analyses (</w:t>
      </w:r>
      <w:r>
        <w:rPr>
          <w:rFonts w:hint="eastAsia" w:ascii="Times New Roman" w:hAnsi="Times New Roman" w:eastAsia="黑体" w:cs="Times New Roman"/>
          <w:b/>
          <w:bCs/>
          <w:sz w:val="24"/>
          <w:szCs w:val="24"/>
        </w:rPr>
        <w:t>Appendix Figures 4,5</w:t>
      </w:r>
      <w:r>
        <w:rPr>
          <w:rFonts w:hint="eastAsia" w:ascii="Times New Roman" w:hAnsi="Times New Roman" w:eastAsia="黑体" w:cs="Times New Roman"/>
          <w:sz w:val="24"/>
          <w:szCs w:val="24"/>
        </w:rPr>
        <w:t>), the sensitivity patterns were generally consistent with those observed in the ITT dataset, confirming the robustness of our findings across different analytical populations. Across all scenarios, the variation in outcomes remained within the pre-specified acceptable range defined by the willingness-to-pay threshold.</w:t>
      </w:r>
    </w:p>
    <w:p w14:paraId="7FAB78D4">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The PSA further substantiated the robustness of the model outcomes through 10,000 iterations in each scenario. For the rapid BIC versus EFV group comparison in the Markov model using ITT dataset (</w:t>
      </w:r>
      <w:r>
        <w:rPr>
          <w:rFonts w:hint="eastAsia" w:ascii="Times New Roman" w:hAnsi="Times New Roman" w:eastAsia="黑体" w:cs="Times New Roman"/>
          <w:b/>
          <w:bCs/>
          <w:sz w:val="24"/>
          <w:szCs w:val="24"/>
        </w:rPr>
        <w:t>Appendix Figure 2</w:t>
      </w:r>
      <w:r>
        <w:rPr>
          <w:rFonts w:hint="eastAsia" w:ascii="Times New Roman" w:hAnsi="Times New Roman" w:eastAsia="黑体" w:cs="Times New Roman"/>
          <w:sz w:val="24"/>
          <w:szCs w:val="24"/>
        </w:rPr>
        <w:t>, Panel C), the incremental cost-effectiveness scatterplot showed that the majority of ICERs clustered in the northeast quadrant, indicating higher costs but greater effectiveness for the BIC group. The cost-effectiveness acceptability curve (</w:t>
      </w:r>
      <w:r>
        <w:rPr>
          <w:rFonts w:hint="eastAsia" w:ascii="Times New Roman" w:hAnsi="Times New Roman" w:eastAsia="黑体" w:cs="Times New Roman"/>
          <w:b/>
          <w:bCs/>
          <w:sz w:val="24"/>
          <w:szCs w:val="24"/>
        </w:rPr>
        <w:t>Appendix Figure 2</w:t>
      </w:r>
      <w:r>
        <w:rPr>
          <w:rFonts w:hint="eastAsia" w:ascii="Times New Roman" w:hAnsi="Times New Roman" w:eastAsia="黑体" w:cs="Times New Roman"/>
          <w:sz w:val="24"/>
          <w:szCs w:val="24"/>
        </w:rPr>
        <w:t>, Panel E) demonstrated that at a WTP threshold of 1 time GDP per capita, the probability of the BIC regimen being cost-effective was 100%.</w:t>
      </w:r>
    </w:p>
    <w:p w14:paraId="70475187">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Similarly, for the non-rapid BIC versus EFV group comparison in the same model (</w:t>
      </w:r>
      <w:r>
        <w:rPr>
          <w:rFonts w:hint="eastAsia" w:ascii="Times New Roman" w:hAnsi="Times New Roman" w:eastAsia="黑体" w:cs="Times New Roman"/>
          <w:b/>
          <w:bCs/>
          <w:sz w:val="24"/>
          <w:szCs w:val="24"/>
        </w:rPr>
        <w:t>Appendix Figure 2</w:t>
      </w:r>
      <w:r>
        <w:rPr>
          <w:rFonts w:hint="eastAsia" w:ascii="Times New Roman" w:hAnsi="Times New Roman" w:eastAsia="黑体" w:cs="Times New Roman"/>
          <w:sz w:val="24"/>
          <w:szCs w:val="24"/>
        </w:rPr>
        <w:t>, Panel D), the scatterplot showed a wider distribution of ICERs, yet the CEAC (</w:t>
      </w:r>
      <w:r>
        <w:rPr>
          <w:rFonts w:hint="eastAsia" w:ascii="Times New Roman" w:hAnsi="Times New Roman" w:eastAsia="黑体" w:cs="Times New Roman"/>
          <w:b/>
          <w:bCs/>
          <w:sz w:val="24"/>
          <w:szCs w:val="24"/>
        </w:rPr>
        <w:t>Appendix Figure 1</w:t>
      </w:r>
      <w:r>
        <w:rPr>
          <w:rFonts w:hint="eastAsia" w:ascii="Times New Roman" w:hAnsi="Times New Roman" w:eastAsia="黑体" w:cs="Times New Roman"/>
          <w:sz w:val="24"/>
          <w:szCs w:val="24"/>
        </w:rPr>
        <w:t>, Panel F) still indicated 100% probability of cost-effectiveness for the BIC regimen at the 1 time GDP threshold.</w:t>
      </w:r>
    </w:p>
    <w:p w14:paraId="7B0F9343">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Parallel analyses conducted in the infectious disease dynamic model (</w:t>
      </w:r>
      <w:r>
        <w:rPr>
          <w:rFonts w:hint="eastAsia" w:ascii="Times New Roman" w:hAnsi="Times New Roman" w:eastAsia="黑体" w:cs="Times New Roman"/>
          <w:b/>
          <w:bCs/>
          <w:sz w:val="24"/>
          <w:szCs w:val="24"/>
        </w:rPr>
        <w:t>Appendix Figure 3</w:t>
      </w:r>
      <w:r>
        <w:rPr>
          <w:rFonts w:hint="eastAsia" w:ascii="Times New Roman" w:hAnsi="Times New Roman" w:eastAsia="黑体" w:cs="Times New Roman"/>
          <w:sz w:val="24"/>
          <w:szCs w:val="24"/>
        </w:rPr>
        <w:t>) and using the PP dataset (</w:t>
      </w:r>
      <w:r>
        <w:rPr>
          <w:rFonts w:hint="eastAsia" w:ascii="Times New Roman" w:hAnsi="Times New Roman" w:eastAsia="黑体" w:cs="Times New Roman"/>
          <w:b/>
          <w:bCs/>
          <w:sz w:val="24"/>
          <w:szCs w:val="24"/>
        </w:rPr>
        <w:t>Appendix Figures 4,5</w:t>
      </w:r>
      <w:r>
        <w:rPr>
          <w:rFonts w:hint="eastAsia" w:ascii="Times New Roman" w:hAnsi="Times New Roman" w:eastAsia="黑体" w:cs="Times New Roman"/>
          <w:sz w:val="24"/>
          <w:szCs w:val="24"/>
        </w:rPr>
        <w:t>) yielded consistent results, with all CEACs showing the BIC group achieving 100% probability of cost-effectiveness at the 1 time GDP threshold across all scenarios.</w:t>
      </w:r>
    </w:p>
    <w:p w14:paraId="1F916ED9">
      <w:pPr>
        <w:spacing w:line="480"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In summary, both one-way and probabilistic sensitivity analyses confirmed that the cost-effectiveness conclusions are robust to parameter uncertainty, with the BIC group demonstrating a consistently favorable profile under varying assumptions and model structures. The consistent performance across different models, datasets, and initiation timing groups reinforces the reliability of our base-case results.</w:t>
      </w:r>
    </w:p>
    <w:p w14:paraId="295637E6">
      <w:pPr>
        <w:spacing w:line="480" w:lineRule="auto"/>
        <w:jc w:val="center"/>
        <w:rPr>
          <w:rFonts w:ascii="Times New Roman" w:hAnsi="Times New Roman" w:cs="Times New Roman"/>
          <w:b/>
          <w:bCs/>
          <w:sz w:val="24"/>
          <w:szCs w:val="24"/>
        </w:rPr>
      </w:pPr>
      <w:r>
        <w:rPr>
          <w:rFonts w:hint="eastAsia" w:ascii="Times New Roman" w:hAnsi="Times New Roman" w:cs="Times New Roman"/>
          <w:b/>
          <w:bCs/>
          <w:sz w:val="24"/>
          <w:szCs w:val="24"/>
        </w:rPr>
        <w:drawing>
          <wp:inline distT="0" distB="0" distL="114300" distR="114300">
            <wp:extent cx="5269230" cy="6568440"/>
            <wp:effectExtent l="0" t="0" r="762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2"/>
                    <a:stretch>
                      <a:fillRect/>
                    </a:stretch>
                  </pic:blipFill>
                  <pic:spPr>
                    <a:xfrm>
                      <a:off x="0" y="0"/>
                      <a:ext cx="5269230" cy="6568440"/>
                    </a:xfrm>
                    <a:prstGeom prst="rect">
                      <a:avLst/>
                    </a:prstGeom>
                  </pic:spPr>
                </pic:pic>
              </a:graphicData>
            </a:graphic>
          </wp:inline>
        </w:drawing>
      </w:r>
    </w:p>
    <w:p w14:paraId="6BAB4DD1">
      <w:pPr>
        <w:pStyle w:val="7"/>
        <w:spacing w:line="480" w:lineRule="auto"/>
        <w:jc w:val="center"/>
        <w:rPr>
          <w:rFonts w:ascii="Times New Roman" w:hAnsi="Times New Roman" w:cs="Times New Roman" w:eastAsiaTheme="minorEastAsia"/>
          <w:b/>
          <w:bCs/>
          <w:sz w:val="24"/>
          <w:szCs w:val="24"/>
        </w:rPr>
      </w:pPr>
      <w:bookmarkStart w:id="53" w:name="_Toc213841088"/>
      <w:r>
        <w:rPr>
          <w:rFonts w:hint="eastAsia" w:ascii="Times New Roman" w:hAnsi="Times New Roman" w:cs="Times New Roman" w:eastAsiaTheme="minorEastAsia"/>
          <w:b/>
          <w:bCs/>
          <w:sz w:val="24"/>
          <w:szCs w:val="24"/>
        </w:rPr>
        <w:t xml:space="preserve">Appendix Figure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Appendix_Figure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6</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Sensitivity Analysis Outcomes: BIC Group vs. EFV Group (Markov Model, ITT Dataset)</w:t>
      </w:r>
      <w:bookmarkEnd w:id="53"/>
    </w:p>
    <w:p w14:paraId="25D52DE8">
      <w:pPr>
        <w:spacing w:line="480" w:lineRule="auto"/>
        <w:rPr>
          <w:rFonts w:ascii="Times New Roman" w:hAnsi="Times New Roman" w:cs="Times New Roman"/>
          <w:b/>
          <w:bCs/>
          <w:sz w:val="24"/>
          <w:szCs w:val="24"/>
        </w:rPr>
      </w:pPr>
    </w:p>
    <w:p w14:paraId="7E4EF52B">
      <w:pPr>
        <w:spacing w:line="480" w:lineRule="auto"/>
        <w:jc w:val="center"/>
        <w:rPr>
          <w:rFonts w:ascii="Times New Roman" w:hAnsi="Times New Roman" w:cs="Times New Roman"/>
          <w:b/>
          <w:bCs/>
          <w:sz w:val="24"/>
          <w:szCs w:val="24"/>
        </w:rPr>
      </w:pPr>
      <w:r>
        <w:rPr>
          <w:rFonts w:hint="eastAsia" w:ascii="Times New Roman" w:hAnsi="Times New Roman" w:cs="Times New Roman"/>
          <w:b/>
          <w:bCs/>
          <w:sz w:val="24"/>
          <w:szCs w:val="24"/>
        </w:rPr>
        <w:drawing>
          <wp:inline distT="0" distB="0" distL="114300" distR="114300">
            <wp:extent cx="5271770" cy="6572885"/>
            <wp:effectExtent l="0" t="0" r="5080" b="1841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23"/>
                    <a:stretch>
                      <a:fillRect/>
                    </a:stretch>
                  </pic:blipFill>
                  <pic:spPr>
                    <a:xfrm>
                      <a:off x="0" y="0"/>
                      <a:ext cx="5271770" cy="6572885"/>
                    </a:xfrm>
                    <a:prstGeom prst="rect">
                      <a:avLst/>
                    </a:prstGeom>
                  </pic:spPr>
                </pic:pic>
              </a:graphicData>
            </a:graphic>
          </wp:inline>
        </w:drawing>
      </w:r>
    </w:p>
    <w:p w14:paraId="3620754C">
      <w:pPr>
        <w:pStyle w:val="7"/>
        <w:spacing w:line="480" w:lineRule="auto"/>
        <w:jc w:val="center"/>
        <w:rPr>
          <w:rFonts w:ascii="Times New Roman" w:hAnsi="Times New Roman" w:cs="Times New Roman" w:eastAsiaTheme="minorEastAsia"/>
          <w:b/>
          <w:bCs/>
          <w:sz w:val="24"/>
          <w:szCs w:val="24"/>
        </w:rPr>
      </w:pPr>
      <w:bookmarkStart w:id="54" w:name="_Toc213841089"/>
      <w:r>
        <w:rPr>
          <w:rFonts w:hint="eastAsia" w:ascii="Times New Roman" w:hAnsi="Times New Roman" w:cs="Times New Roman" w:eastAsiaTheme="minorEastAsia"/>
          <w:b/>
          <w:bCs/>
          <w:sz w:val="24"/>
          <w:szCs w:val="24"/>
        </w:rPr>
        <w:t xml:space="preserve">Appendix Figure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Appendix_Figure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7</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Sensitivity Analysis Outcomes: BIC Group vs. EFV Group (Infectious Disease Dynamic Model, ITT Dataset)</w:t>
      </w:r>
      <w:bookmarkEnd w:id="54"/>
    </w:p>
    <w:p w14:paraId="1640B60F">
      <w:pPr>
        <w:spacing w:line="480" w:lineRule="auto"/>
        <w:rPr>
          <w:rFonts w:ascii="Times New Roman" w:hAnsi="Times New Roman" w:cs="Times New Roman"/>
          <w:b/>
          <w:bCs/>
          <w:sz w:val="24"/>
          <w:szCs w:val="24"/>
        </w:rPr>
      </w:pPr>
    </w:p>
    <w:p w14:paraId="4B9521EF">
      <w:pPr>
        <w:spacing w:line="480" w:lineRule="auto"/>
        <w:jc w:val="center"/>
        <w:rPr>
          <w:rFonts w:ascii="Times New Roman" w:hAnsi="Times New Roman" w:cs="Times New Roman"/>
          <w:b/>
          <w:bCs/>
          <w:sz w:val="24"/>
          <w:szCs w:val="24"/>
        </w:rPr>
      </w:pPr>
      <w:r>
        <w:rPr>
          <w:rFonts w:hint="eastAsia" w:ascii="Times New Roman" w:hAnsi="Times New Roman" w:cs="Times New Roman"/>
          <w:b/>
          <w:bCs/>
          <w:sz w:val="24"/>
          <w:szCs w:val="24"/>
        </w:rPr>
        <w:drawing>
          <wp:inline distT="0" distB="0" distL="114300" distR="114300">
            <wp:extent cx="5268595" cy="6590030"/>
            <wp:effectExtent l="0" t="0" r="8255" b="127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24"/>
                    <a:stretch>
                      <a:fillRect/>
                    </a:stretch>
                  </pic:blipFill>
                  <pic:spPr>
                    <a:xfrm>
                      <a:off x="0" y="0"/>
                      <a:ext cx="5268595" cy="6590030"/>
                    </a:xfrm>
                    <a:prstGeom prst="rect">
                      <a:avLst/>
                    </a:prstGeom>
                  </pic:spPr>
                </pic:pic>
              </a:graphicData>
            </a:graphic>
          </wp:inline>
        </w:drawing>
      </w:r>
    </w:p>
    <w:p w14:paraId="3343A86A">
      <w:pPr>
        <w:pStyle w:val="7"/>
        <w:spacing w:line="480" w:lineRule="auto"/>
        <w:jc w:val="center"/>
        <w:rPr>
          <w:rFonts w:ascii="Times New Roman" w:hAnsi="Times New Roman" w:cs="Times New Roman" w:eastAsiaTheme="minorEastAsia"/>
          <w:b/>
          <w:bCs/>
          <w:sz w:val="24"/>
          <w:szCs w:val="24"/>
        </w:rPr>
      </w:pPr>
      <w:bookmarkStart w:id="55" w:name="_Toc213841090"/>
      <w:r>
        <w:rPr>
          <w:rFonts w:hint="eastAsia" w:ascii="Times New Roman" w:hAnsi="Times New Roman" w:cs="Times New Roman" w:eastAsiaTheme="minorEastAsia"/>
          <w:b/>
          <w:bCs/>
          <w:sz w:val="24"/>
          <w:szCs w:val="24"/>
        </w:rPr>
        <w:t xml:space="preserve">Appendix Figure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Appendix_Figure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8</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Sensitivity Analysis Outcomes: BIC Group vs. EFV Group (Markov Model, PP Dataset)</w:t>
      </w:r>
      <w:bookmarkEnd w:id="55"/>
    </w:p>
    <w:p w14:paraId="45A0B523">
      <w:pPr>
        <w:spacing w:line="480" w:lineRule="auto"/>
        <w:rPr>
          <w:rFonts w:ascii="Times New Roman" w:hAnsi="Times New Roman" w:cs="Times New Roman"/>
          <w:b/>
          <w:bCs/>
          <w:sz w:val="24"/>
          <w:szCs w:val="24"/>
        </w:rPr>
      </w:pPr>
    </w:p>
    <w:p w14:paraId="4151D642">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drawing>
          <wp:inline distT="0" distB="0" distL="114300" distR="114300">
            <wp:extent cx="5272405" cy="6547485"/>
            <wp:effectExtent l="0" t="0" r="4445" b="5715"/>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25"/>
                    <a:stretch>
                      <a:fillRect/>
                    </a:stretch>
                  </pic:blipFill>
                  <pic:spPr>
                    <a:xfrm>
                      <a:off x="0" y="0"/>
                      <a:ext cx="5272405" cy="6547485"/>
                    </a:xfrm>
                    <a:prstGeom prst="rect">
                      <a:avLst/>
                    </a:prstGeom>
                  </pic:spPr>
                </pic:pic>
              </a:graphicData>
            </a:graphic>
          </wp:inline>
        </w:drawing>
      </w:r>
    </w:p>
    <w:p w14:paraId="7B9573F2">
      <w:pPr>
        <w:pStyle w:val="7"/>
        <w:spacing w:line="480" w:lineRule="auto"/>
        <w:jc w:val="center"/>
        <w:rPr>
          <w:rFonts w:ascii="Times New Roman" w:hAnsi="Times New Roman" w:cs="Times New Roman" w:eastAsiaTheme="minorEastAsia"/>
          <w:b/>
          <w:bCs/>
          <w:sz w:val="24"/>
          <w:szCs w:val="24"/>
        </w:rPr>
      </w:pPr>
      <w:bookmarkStart w:id="56" w:name="_Toc213841091"/>
      <w:r>
        <w:rPr>
          <w:rFonts w:hint="eastAsia" w:ascii="Times New Roman" w:hAnsi="Times New Roman" w:cs="Times New Roman" w:eastAsiaTheme="minorEastAsia"/>
          <w:b/>
          <w:bCs/>
          <w:sz w:val="24"/>
          <w:szCs w:val="24"/>
        </w:rPr>
        <w:t xml:space="preserve">Appendix Figure </w:t>
      </w:r>
      <w:r>
        <w:rPr>
          <w:rFonts w:hint="eastAsia" w:ascii="Times New Roman" w:hAnsi="Times New Roman" w:cs="Times New Roman" w:eastAsiaTheme="minorEastAsia"/>
          <w:b/>
          <w:bCs/>
          <w:sz w:val="24"/>
          <w:szCs w:val="24"/>
        </w:rPr>
        <w:fldChar w:fldCharType="begin"/>
      </w:r>
      <w:r>
        <w:rPr>
          <w:rFonts w:hint="eastAsia" w:ascii="Times New Roman" w:hAnsi="Times New Roman" w:cs="Times New Roman" w:eastAsiaTheme="minorEastAsia"/>
          <w:b/>
          <w:bCs/>
          <w:sz w:val="24"/>
          <w:szCs w:val="24"/>
        </w:rPr>
        <w:instrText xml:space="preserve"> SEQ Appendix_Figure \* ARABIC </w:instrText>
      </w:r>
      <w:r>
        <w:rPr>
          <w:rFonts w:hint="eastAsia" w:ascii="Times New Roman" w:hAnsi="Times New Roman" w:cs="Times New Roman" w:eastAsiaTheme="minorEastAsia"/>
          <w:b/>
          <w:bCs/>
          <w:sz w:val="24"/>
          <w:szCs w:val="24"/>
        </w:rPr>
        <w:fldChar w:fldCharType="separate"/>
      </w:r>
      <w:r>
        <w:rPr>
          <w:rFonts w:hint="eastAsia" w:ascii="Times New Roman" w:hAnsi="Times New Roman" w:cs="Times New Roman" w:eastAsiaTheme="minorEastAsia"/>
          <w:b/>
          <w:bCs/>
          <w:sz w:val="24"/>
          <w:szCs w:val="24"/>
        </w:rPr>
        <w:t>9</w:t>
      </w:r>
      <w:r>
        <w:rPr>
          <w:rFonts w:hint="eastAsia" w:ascii="Times New Roman" w:hAnsi="Times New Roman" w:cs="Times New Roman" w:eastAsiaTheme="minorEastAsia"/>
          <w:b/>
          <w:bCs/>
          <w:sz w:val="24"/>
          <w:szCs w:val="24"/>
        </w:rPr>
        <w:fldChar w:fldCharType="end"/>
      </w:r>
      <w:r>
        <w:rPr>
          <w:rFonts w:hint="eastAsia" w:ascii="Times New Roman" w:hAnsi="Times New Roman" w:cs="Times New Roman" w:eastAsiaTheme="minorEastAsia"/>
          <w:b/>
          <w:bCs/>
          <w:sz w:val="24"/>
          <w:szCs w:val="24"/>
        </w:rPr>
        <w:t xml:space="preserve"> Sensitivity Analysis Outcomes: BIC Group vs. EFV Group (Infectious Disease Dynamic Model, PP Dataset)</w:t>
      </w:r>
      <w:bookmarkEnd w:id="56"/>
    </w:p>
    <w:p w14:paraId="2F8E002E">
      <w:pPr>
        <w:spacing w:line="48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75A9A286">
      <w:pPr>
        <w:pStyle w:val="2"/>
        <w:ind w:left="0" w:firstLine="0"/>
        <w:rPr>
          <w:rFonts w:ascii="Times New Roman" w:hAnsi="Times New Roman" w:cs="Times New Roman"/>
        </w:rPr>
      </w:pPr>
      <w:r>
        <w:rPr>
          <w:rFonts w:ascii="Times New Roman" w:hAnsi="Times New Roman" w:cs="Times New Roman"/>
          <w:i/>
          <w:iCs/>
          <w:szCs w:val="24"/>
        </w:rPr>
        <w:fldChar w:fldCharType="begin"/>
      </w:r>
      <w:r>
        <w:rPr>
          <w:rFonts w:ascii="Times New Roman" w:hAnsi="Times New Roman" w:cs="Times New Roman"/>
          <w:i/>
          <w:iCs/>
          <w:szCs w:val="24"/>
        </w:rPr>
        <w:instrText xml:space="preserve"> ADDIN NE.Bib</w:instrText>
      </w:r>
      <w:r>
        <w:rPr>
          <w:rFonts w:ascii="Times New Roman" w:hAnsi="Times New Roman" w:cs="Times New Roman"/>
          <w:i/>
          <w:iCs/>
          <w:szCs w:val="24"/>
        </w:rPr>
        <w:fldChar w:fldCharType="separate"/>
      </w:r>
      <w:bookmarkStart w:id="57" w:name="_Toc216103813"/>
      <w:r>
        <w:rPr>
          <w:rFonts w:ascii="Times New Roman" w:hAnsi="Times New Roman" w:cs="Times New Roman"/>
        </w:rPr>
        <w:t>References</w:t>
      </w:r>
      <w:bookmarkEnd w:id="57"/>
    </w:p>
    <w:p w14:paraId="07CCE944">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rPr>
        <w:tab/>
      </w:r>
      <w:bookmarkStart w:id="58" w:name="_neb074D9521_4CF8_4F51_84F1_F7747DB2E6CB"/>
      <w:r>
        <w:rPr>
          <w:rFonts w:ascii="Times New Roman" w:hAnsi="Times New Roman" w:eastAsia="Times New Roman" w:cs="Times New Roman"/>
          <w:color w:val="000000"/>
          <w:sz w:val="24"/>
          <w:szCs w:val="24"/>
        </w:rPr>
        <w:t>Bai, W.L., Pan, S.M., &amp; Wang, A.L., Sexual Behavior and Relationships of Contemporary Chinese People. Social Sciences Academic Press, 2004.(in Chinese).</w:t>
      </w:r>
      <w:bookmarkEnd w:id="58"/>
    </w:p>
    <w:p w14:paraId="5B1D8F79">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rPr>
        <w:tab/>
      </w:r>
      <w:bookmarkStart w:id="59" w:name="_neb483D4B7E_B973_4275_B556_1DB67E6DE68F"/>
      <w:r>
        <w:rPr>
          <w:rFonts w:ascii="Times New Roman" w:hAnsi="Times New Roman" w:eastAsia="Times New Roman" w:cs="Times New Roman"/>
          <w:color w:val="000000"/>
          <w:sz w:val="24"/>
          <w:szCs w:val="24"/>
        </w:rPr>
        <w:t>AIDS, T.J.U.N., https://www.unaids.org/en/regionscountries/countries/china. 2023.</w:t>
      </w:r>
      <w:bookmarkEnd w:id="59"/>
    </w:p>
    <w:p w14:paraId="1815F086">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24"/>
          <w:szCs w:val="24"/>
        </w:rPr>
        <w:tab/>
      </w:r>
      <w:bookmarkStart w:id="60" w:name="_neb66A808BF_6DB4_4F38_9721_AF3BA2C7FB41"/>
      <w:r>
        <w:rPr>
          <w:rFonts w:ascii="Times New Roman" w:hAnsi="Times New Roman" w:eastAsia="Times New Roman" w:cs="Times New Roman"/>
          <w:color w:val="000000"/>
          <w:sz w:val="24"/>
          <w:szCs w:val="24"/>
        </w:rPr>
        <w:t>Zhao, R., et al., Optimising HIV pre-exposure prophylaxis and testing strategies in men who have  sex with men in Australia, Thailand, and China: a modelling study and  cost-effectiveness analysis. Lancet Glob Health, 2024. 12(2): p. e243-e256.</w:t>
      </w:r>
      <w:bookmarkEnd w:id="60"/>
    </w:p>
    <w:p w14:paraId="1CB8F6CF">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[4].</w:t>
      </w:r>
      <w:r>
        <w:rPr>
          <w:rFonts w:ascii="Times New Roman" w:hAnsi="Times New Roman" w:eastAsia="Times New Roman" w:cs="Times New Roman"/>
          <w:color w:val="000000"/>
          <w:sz w:val="24"/>
          <w:szCs w:val="24"/>
        </w:rPr>
        <w:tab/>
      </w:r>
      <w:bookmarkStart w:id="61" w:name="_nebC538DD8E_5999_4130_B410_46B31272688A"/>
      <w:r>
        <w:rPr>
          <w:rFonts w:ascii="Times New Roman" w:hAnsi="Times New Roman" w:eastAsia="Times New Roman" w:cs="Times New Roman"/>
          <w:color w:val="000000"/>
          <w:sz w:val="24"/>
          <w:szCs w:val="24"/>
        </w:rPr>
        <w:t>Broyles, L.N., et al., The risk of sexual transmission of HIV in individuals with low-level HIV  viraemia: a systematic review. Lancet, 2023. 402(10400): p. 464-471.</w:t>
      </w:r>
      <w:bookmarkEnd w:id="61"/>
    </w:p>
    <w:p w14:paraId="7EE12A87">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[5].</w:t>
      </w:r>
      <w:r>
        <w:rPr>
          <w:rFonts w:ascii="Times New Roman" w:hAnsi="Times New Roman" w:eastAsia="Times New Roman" w:cs="Times New Roman"/>
          <w:color w:val="000000"/>
          <w:sz w:val="24"/>
          <w:szCs w:val="24"/>
        </w:rPr>
        <w:tab/>
      </w:r>
      <w:bookmarkStart w:id="62" w:name="_nebD6037EA5_3D07_4EB6_A223_93F4312C7DE7"/>
      <w:r>
        <w:rPr>
          <w:rFonts w:ascii="Times New Roman" w:hAnsi="Times New Roman" w:eastAsia="Times New Roman" w:cs="Times New Roman"/>
          <w:color w:val="000000"/>
          <w:sz w:val="24"/>
          <w:szCs w:val="24"/>
        </w:rPr>
        <w:t>Orkin, C., et al., Fixed-dose combination bictegravir, emtricitabine, and tenofovir alafenamide  versus dolutegravir-containing regimens for initial treatment of HIV-1 infection:  week 144 results from two randomised, double-blind, multicentre, phase 3,  non-inferiority trials. Lancet HIV, 2020. 7(6): p. e389-e400.</w:t>
      </w:r>
      <w:bookmarkEnd w:id="62"/>
    </w:p>
    <w:p w14:paraId="1F297A40">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z w:val="24"/>
          <w:szCs w:val="24"/>
        </w:rPr>
        <w:tab/>
      </w:r>
      <w:bookmarkStart w:id="63" w:name="_neb3AD25C8D_7FDD_4D26_81BE_445804B219AE"/>
      <w:r>
        <w:rPr>
          <w:rFonts w:ascii="Times New Roman" w:hAnsi="Times New Roman" w:eastAsia="Times New Roman" w:cs="Times New Roman"/>
          <w:color w:val="000000"/>
          <w:sz w:val="24"/>
          <w:szCs w:val="24"/>
        </w:rPr>
        <w:t>Patrikar, S., et al., Rate of decline in CD4 count in HIV patients not on antiretroviral therapy. Med J Armed Forces India, 2014. 70(2): p. 134-8.</w:t>
      </w:r>
      <w:bookmarkEnd w:id="63"/>
    </w:p>
    <w:p w14:paraId="1543B0CF">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[7].</w:t>
      </w:r>
      <w:r>
        <w:rPr>
          <w:rFonts w:ascii="Times New Roman" w:hAnsi="Times New Roman" w:eastAsia="Times New Roman" w:cs="Times New Roman"/>
          <w:color w:val="000000"/>
          <w:sz w:val="24"/>
          <w:szCs w:val="24"/>
        </w:rPr>
        <w:tab/>
      </w:r>
      <w:bookmarkStart w:id="64" w:name="_neb3451EE5D_A31A_48ED_9EBA_5A0DE66746EF"/>
      <w:r>
        <w:rPr>
          <w:rFonts w:ascii="Times New Roman" w:hAnsi="Times New Roman" w:eastAsia="Times New Roman" w:cs="Times New Roman"/>
          <w:color w:val="000000"/>
          <w:sz w:val="24"/>
          <w:szCs w:val="24"/>
        </w:rPr>
        <w:t>Girouard, M.P., et al., The Cost-effectiveness and Budget Impact of 2-Drug Dolutegravir-Lamivudine  Regimens for the Treatment of HIV Infection in the United States. Clin Infect Dis, 2016. 62(6): p. 784-91.</w:t>
      </w:r>
      <w:bookmarkEnd w:id="64"/>
    </w:p>
    <w:p w14:paraId="60E2BA95">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z w:val="24"/>
          <w:szCs w:val="24"/>
        </w:rPr>
        <w:tab/>
      </w:r>
      <w:bookmarkStart w:id="65" w:name="_neb7070121D_627D_4933_965D_7F0D8D7F5DFB"/>
      <w:r>
        <w:rPr>
          <w:rFonts w:ascii="Times New Roman" w:hAnsi="Times New Roman" w:eastAsia="Times New Roman" w:cs="Times New Roman"/>
          <w:color w:val="000000"/>
          <w:sz w:val="24"/>
          <w:szCs w:val="24"/>
        </w:rPr>
        <w:t>Restelli, U., et al., Cost-effectiveness analysis of dolutegravir plus backbone compared with  raltegravir plus backbone, darunavir+ritonavir plus backbone and  efavirenz/tenofovir/emtricitabine in treatment naïve and experienced HIV-positive  patients. Ther Clin Risk Manag, 2017. 13: p. 787-797.</w:t>
      </w:r>
      <w:bookmarkEnd w:id="65"/>
    </w:p>
    <w:p w14:paraId="751CC79C">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z w:val="24"/>
          <w:szCs w:val="24"/>
        </w:rPr>
        <w:tab/>
      </w:r>
      <w:bookmarkStart w:id="66" w:name="_nebE2AB6310_F349_4982_8E10_6071592173DE"/>
      <w:r>
        <w:rPr>
          <w:rFonts w:ascii="Times New Roman" w:hAnsi="Times New Roman" w:eastAsia="Times New Roman" w:cs="Times New Roman"/>
          <w:color w:val="000000"/>
          <w:sz w:val="24"/>
          <w:szCs w:val="24"/>
        </w:rPr>
        <w:t>Jiangsu Provincial Price Bureau, Notice on the Implementation Plan for the Comprehensive Reform of Medical and Drug Prices in Provincial (Ministry-Level) Public Hospitals (Su Jia Yi [2015] No. 284).(in Chinese).</w:t>
      </w:r>
      <w:bookmarkEnd w:id="66"/>
    </w:p>
    <w:p w14:paraId="6C229192">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rPr>
        <w:tab/>
      </w:r>
      <w:bookmarkStart w:id="67" w:name="_neb0676DFA0_45A5_4D86_B003_ABD57284FB34"/>
      <w:r>
        <w:rPr>
          <w:rFonts w:ascii="Times New Roman" w:hAnsi="Times New Roman" w:eastAsia="Times New Roman" w:cs="Times New Roman"/>
          <w:color w:val="000000"/>
          <w:sz w:val="24"/>
          <w:szCs w:val="24"/>
        </w:rPr>
        <w:t>GBD. 2023. https://vizhub.healthdata.org/gbd-results/. Accessed2023.</w:t>
      </w:r>
      <w:bookmarkEnd w:id="67"/>
    </w:p>
    <w:p w14:paraId="05378F72">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[11].</w:t>
      </w:r>
      <w:r>
        <w:rPr>
          <w:rFonts w:ascii="Times New Roman" w:hAnsi="Times New Roman" w:eastAsia="Times New Roman" w:cs="Times New Roman"/>
          <w:color w:val="000000"/>
          <w:sz w:val="24"/>
          <w:szCs w:val="24"/>
        </w:rPr>
        <w:tab/>
      </w:r>
      <w:bookmarkStart w:id="68" w:name="_nebEC76F809_B714_4A54_A3CC_F86777187F6A"/>
      <w:r>
        <w:rPr>
          <w:rFonts w:ascii="Times New Roman" w:hAnsi="Times New Roman" w:eastAsia="Times New Roman" w:cs="Times New Roman"/>
          <w:color w:val="000000"/>
          <w:sz w:val="24"/>
          <w:szCs w:val="24"/>
        </w:rPr>
        <w:t>Girouard, M.P., et al., The Cost-effectiveness and Budget Impact of 2-Drug Dolutegravir-Lamivudine  Regimens for the Treatment of HIV Infection in the United States. Clin Infect Dis, 2016. 62(6): p. 784-91.</w:t>
      </w:r>
      <w:bookmarkEnd w:id="68"/>
    </w:p>
    <w:p w14:paraId="3F86B034">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[12].</w:t>
      </w:r>
      <w:r>
        <w:rPr>
          <w:rFonts w:ascii="Times New Roman" w:hAnsi="Times New Roman" w:eastAsia="Times New Roman" w:cs="Times New Roman"/>
          <w:color w:val="000000"/>
          <w:sz w:val="24"/>
          <w:szCs w:val="24"/>
        </w:rPr>
        <w:tab/>
      </w:r>
      <w:bookmarkStart w:id="69" w:name="_neb9E76D834_1F3D_4383_A419_05804602332D"/>
      <w:r>
        <w:rPr>
          <w:rFonts w:ascii="Times New Roman" w:hAnsi="Times New Roman" w:eastAsia="Times New Roman" w:cs="Times New Roman"/>
          <w:color w:val="000000"/>
          <w:sz w:val="24"/>
          <w:szCs w:val="24"/>
        </w:rPr>
        <w:t>Peng, S., et al., Cost-effectiveness of DTG+ABC/3TC versus EFV/TDF/FTC for first-line treatment of  HIV-1 in the United States. J Int AIDS Soc, 2014. 17(4 Suppl 3): p. 19605.</w:t>
      </w:r>
      <w:bookmarkEnd w:id="69"/>
    </w:p>
    <w:p w14:paraId="2D227FAD">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[13].</w:t>
      </w:r>
      <w:r>
        <w:rPr>
          <w:rFonts w:ascii="Times New Roman" w:hAnsi="Times New Roman" w:eastAsia="Times New Roman" w:cs="Times New Roman"/>
          <w:color w:val="000000"/>
          <w:sz w:val="24"/>
          <w:szCs w:val="24"/>
        </w:rPr>
        <w:tab/>
      </w:r>
      <w:bookmarkStart w:id="70" w:name="_nebC3883B4D_443F_48F5_8A6B_688B3A5C49B7"/>
      <w:r>
        <w:rPr>
          <w:rFonts w:ascii="Times New Roman" w:hAnsi="Times New Roman" w:eastAsia="Times New Roman" w:cs="Times New Roman"/>
          <w:color w:val="000000"/>
          <w:sz w:val="24"/>
          <w:szCs w:val="24"/>
        </w:rPr>
        <w:t>Armenia, D., et al., Bictegravir/emtricitabine/tenofovir alafenamide ensures high rates of virological  suppression maintenance despite previous resistance in PLWH who optimize  treatment in clinical practice. J Glob Antimicrob Resist, 2022. 30: p. 326-334.</w:t>
      </w:r>
      <w:bookmarkEnd w:id="70"/>
    </w:p>
    <w:p w14:paraId="1F88DFF3">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[14].</w:t>
      </w:r>
      <w:r>
        <w:rPr>
          <w:rFonts w:ascii="Times New Roman" w:hAnsi="Times New Roman" w:eastAsia="Times New Roman" w:cs="Times New Roman"/>
          <w:color w:val="000000"/>
          <w:sz w:val="24"/>
          <w:szCs w:val="24"/>
        </w:rPr>
        <w:tab/>
      </w:r>
      <w:bookmarkStart w:id="71" w:name="_neb51677A2D_BD8E_4207_A68E_98FE966938E4"/>
      <w:r>
        <w:rPr>
          <w:rFonts w:ascii="Times New Roman" w:hAnsi="Times New Roman" w:eastAsia="Times New Roman" w:cs="Times New Roman"/>
          <w:color w:val="000000"/>
          <w:sz w:val="24"/>
          <w:szCs w:val="24"/>
        </w:rPr>
        <w:t>Orkin, C., et al., Doravirine/Lamivudine/Tenofovir Disoproxil Fumarate (TDF) Versus  Efavirenz/Emtricitabine/TDF in Treatment-naive Adults With Human Immunodeficiency  Virus Type 1 Infection: Week 96 Results of the Randomized, Double-blind, Phase 3  DRIVE-AHEAD Noninferiority Trial. Clin Infect Dis, 2021. 73(1): p. 33-42.</w:t>
      </w:r>
      <w:bookmarkEnd w:id="71"/>
    </w:p>
    <w:p w14:paraId="6104276C">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[15].</w:t>
      </w:r>
      <w:r>
        <w:rPr>
          <w:rFonts w:ascii="Times New Roman" w:hAnsi="Times New Roman" w:eastAsia="Times New Roman" w:cs="Times New Roman"/>
          <w:color w:val="000000"/>
          <w:sz w:val="24"/>
          <w:szCs w:val="24"/>
        </w:rPr>
        <w:tab/>
      </w:r>
      <w:bookmarkStart w:id="72" w:name="_nebA48C424B_1E57_46CD_B93C_D8FFEFDBAC53"/>
      <w:r>
        <w:rPr>
          <w:rFonts w:ascii="Times New Roman" w:hAnsi="Times New Roman" w:eastAsia="Times New Roman" w:cs="Times New Roman"/>
          <w:color w:val="000000"/>
          <w:sz w:val="24"/>
          <w:szCs w:val="24"/>
        </w:rPr>
        <w:t>Wu, J., Constructing a Dynamic Model to Evaluate the Effectiveness of HIV/AIDS Prevention and Control in China. Chinese Center for Disease Control and Prevention, 2014.(in Chinese).</w:t>
      </w:r>
      <w:bookmarkEnd w:id="72"/>
    </w:p>
    <w:p w14:paraId="77693246">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[16].</w:t>
      </w:r>
      <w:r>
        <w:rPr>
          <w:rFonts w:ascii="Times New Roman" w:hAnsi="Times New Roman" w:eastAsia="Times New Roman" w:cs="Times New Roman"/>
          <w:color w:val="000000"/>
          <w:sz w:val="24"/>
          <w:szCs w:val="24"/>
        </w:rPr>
        <w:tab/>
      </w:r>
      <w:bookmarkStart w:id="73" w:name="_neb802FBB06_5C6D_47FE_A5DC_89AEDC2F8530"/>
      <w:r>
        <w:rPr>
          <w:rFonts w:ascii="Times New Roman" w:hAnsi="Times New Roman" w:eastAsia="Times New Roman" w:cs="Times New Roman"/>
          <w:color w:val="000000"/>
          <w:sz w:val="24"/>
          <w:szCs w:val="24"/>
        </w:rPr>
        <w:t>Rodger, A.J., et al., Sexual Activity Without Condoms and Risk of HIV Transmission in Serodifferent  Couples When the HIV-Positive Partner Is Using Suppressive Antiretroviral  Therapy. JAMA, 2016. 316(2): p. 171-81.</w:t>
      </w:r>
      <w:bookmarkEnd w:id="73"/>
    </w:p>
    <w:p w14:paraId="19BA91AE">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[17].</w:t>
      </w:r>
      <w:r>
        <w:rPr>
          <w:rFonts w:ascii="Times New Roman" w:hAnsi="Times New Roman" w:eastAsia="Times New Roman" w:cs="Times New Roman"/>
          <w:color w:val="000000"/>
          <w:sz w:val="24"/>
          <w:szCs w:val="24"/>
        </w:rPr>
        <w:tab/>
      </w:r>
      <w:bookmarkStart w:id="74" w:name="_neb14452B78_7423_4A33_99F2_2ABB7DE6033B"/>
      <w:r>
        <w:rPr>
          <w:rFonts w:ascii="Times New Roman" w:hAnsi="Times New Roman" w:eastAsia="Times New Roman" w:cs="Times New Roman"/>
          <w:color w:val="000000"/>
          <w:sz w:val="24"/>
          <w:szCs w:val="24"/>
        </w:rPr>
        <w:t>Simpson, K.N., et al., Lopinavir/ritonavir versus darunavir plus ritonavir for HIV infection: a  cost-effectiveness analysis for the United States. Pharmacoeconomics, 2013. 31(5): p. 427-44.</w:t>
      </w:r>
      <w:bookmarkEnd w:id="74"/>
    </w:p>
    <w:p w14:paraId="25738991">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[18].</w:t>
      </w:r>
      <w:r>
        <w:rPr>
          <w:rFonts w:ascii="Times New Roman" w:hAnsi="Times New Roman" w:eastAsia="Times New Roman" w:cs="Times New Roman"/>
          <w:color w:val="000000"/>
          <w:sz w:val="24"/>
          <w:szCs w:val="24"/>
        </w:rPr>
        <w:tab/>
      </w:r>
      <w:bookmarkStart w:id="75" w:name="_nebED61AB35_D99B_4D3C_8766_26A7CFCFCD84"/>
      <w:r>
        <w:rPr>
          <w:rFonts w:ascii="Times New Roman" w:hAnsi="Times New Roman" w:eastAsia="Times New Roman" w:cs="Times New Roman"/>
          <w:color w:val="000000"/>
          <w:sz w:val="24"/>
          <w:szCs w:val="24"/>
        </w:rPr>
        <w:t>Moreno, G.S., et al., Cost-utility analysis of the fixed-dose combination of  dolutegravir/abacavir/lamivudine as initial treatment of HIV+ patients in Spain. Farm Hosp, 2017. 41(5): p. 601-610.</w:t>
      </w:r>
      <w:bookmarkEnd w:id="75"/>
    </w:p>
    <w:p w14:paraId="5C7152D8">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[19].</w:t>
      </w:r>
      <w:r>
        <w:rPr>
          <w:rFonts w:ascii="Times New Roman" w:hAnsi="Times New Roman" w:eastAsia="Times New Roman" w:cs="Times New Roman"/>
          <w:color w:val="000000"/>
          <w:sz w:val="24"/>
          <w:szCs w:val="24"/>
        </w:rPr>
        <w:tab/>
      </w:r>
      <w:bookmarkStart w:id="76" w:name="_nebB78ED396_471B_47E7_B4ED_6E3DDF45DFD4"/>
      <w:r>
        <w:rPr>
          <w:rFonts w:ascii="Times New Roman" w:hAnsi="Times New Roman" w:eastAsia="Times New Roman" w:cs="Times New Roman"/>
          <w:color w:val="000000"/>
          <w:sz w:val="24"/>
          <w:szCs w:val="24"/>
        </w:rPr>
        <w:t>world development indicators2023. https://databank.worldbank.org/source/world-development-indicators(accessed 2013-2023External health expenditure per capita, PPP (current international $))..</w:t>
      </w:r>
      <w:bookmarkEnd w:id="76"/>
    </w:p>
    <w:p w14:paraId="02841A24">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[20].</w:t>
      </w:r>
      <w:r>
        <w:rPr>
          <w:rFonts w:ascii="Times New Roman" w:hAnsi="Times New Roman" w:eastAsia="Times New Roman" w:cs="Times New Roman"/>
          <w:color w:val="000000"/>
          <w:sz w:val="24"/>
          <w:szCs w:val="24"/>
        </w:rPr>
        <w:tab/>
      </w:r>
      <w:bookmarkStart w:id="77" w:name="_neb218469CF_237F_4015_8709_9F8FDD5BC2F5"/>
      <w:r>
        <w:rPr>
          <w:rFonts w:ascii="Times New Roman" w:hAnsi="Times New Roman" w:eastAsia="Times New Roman" w:cs="Times New Roman"/>
          <w:color w:val="000000"/>
          <w:sz w:val="24"/>
          <w:szCs w:val="24"/>
        </w:rPr>
        <w:t>Chinese Society of Infectious Diseases, AIDS and Hepatitis C Group, Chinese Center for Disease Control and Prevention, China HIV/AIDS Diagnosis and Treatment Guidelines (2021 Edition). Xiehe Medical Journal, 2022. 13(02): p. 203-226.(in Chinese).</w:t>
      </w:r>
      <w:bookmarkEnd w:id="77"/>
    </w:p>
    <w:p w14:paraId="20EB793F">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[21].</w:t>
      </w:r>
      <w:r>
        <w:rPr>
          <w:rFonts w:ascii="Times New Roman" w:hAnsi="Times New Roman" w:eastAsia="Times New Roman" w:cs="Times New Roman"/>
          <w:color w:val="000000"/>
          <w:sz w:val="24"/>
          <w:szCs w:val="24"/>
        </w:rPr>
        <w:tab/>
      </w:r>
      <w:bookmarkStart w:id="78" w:name="_nebC3D8D0E6_36E3_4E92_A9B0_5981EB691B8C"/>
      <w:r>
        <w:rPr>
          <w:rFonts w:ascii="Times New Roman" w:hAnsi="Times New Roman" w:eastAsia="Times New Roman" w:cs="Times New Roman"/>
          <w:color w:val="000000"/>
          <w:sz w:val="24"/>
          <w:szCs w:val="24"/>
        </w:rPr>
        <w:t>MENET.https://www.menet.com.cn/data/.</w:t>
      </w:r>
      <w:bookmarkEnd w:id="78"/>
    </w:p>
    <w:p w14:paraId="04973923">
      <w:pPr>
        <w:spacing w:line="480" w:lineRule="auto"/>
        <w:rPr>
          <w:rFonts w:ascii="Times New Roman" w:hAnsi="Times New Roman" w:cs="Times New Roman"/>
          <w:sz w:val="24"/>
          <w:szCs w:val="24"/>
        </w:rPr>
      </w:pPr>
      <w:r>
        <w:rPr>
          <w:rFonts w:ascii="Times New Roman" w:hAnsi="Times New Roman" w:eastAsia="Times New Roman" w:cs="Times New Roman"/>
          <w:color w:val="000000"/>
          <w:sz w:val="24"/>
          <w:szCs w:val="24"/>
        </w:rPr>
        <w:t>[22].</w:t>
      </w:r>
      <w:r>
        <w:rPr>
          <w:rFonts w:ascii="Times New Roman" w:hAnsi="Times New Roman" w:eastAsia="Times New Roman" w:cs="Times New Roman"/>
          <w:color w:val="000000"/>
          <w:sz w:val="24"/>
          <w:szCs w:val="24"/>
        </w:rPr>
        <w:tab/>
      </w:r>
      <w:bookmarkStart w:id="79" w:name="_nebAE4B46FC_0176_467A_8FFB_695914D6BA57"/>
      <w:r>
        <w:rPr>
          <w:rFonts w:ascii="Times New Roman" w:hAnsi="Times New Roman" w:eastAsia="Times New Roman" w:cs="Times New Roman"/>
          <w:color w:val="000000"/>
          <w:sz w:val="24"/>
          <w:szCs w:val="24"/>
        </w:rPr>
        <w:t>Moreno, G.S., et al., Cost-utility analysis of the fixed-dose combination of  dolutegravir/abacavir/lamivudine as initial treatment of HIV+ patients in Spain. Farm Hosp, 2017. 41(5): p. 601-610.</w:t>
      </w:r>
      <w:bookmarkEnd w:id="79"/>
    </w:p>
    <w:p w14:paraId="3877B6A0">
      <w:pPr>
        <w:spacing w:line="480" w:lineRule="auto"/>
        <w:rPr>
          <w:rFonts w:ascii="Times New Roman" w:hAnsi="Times New Roman" w:cs="Times New Roman"/>
          <w:i/>
          <w:iCs/>
          <w:sz w:val="24"/>
          <w:szCs w:val="24"/>
        </w:rPr>
      </w:pPr>
      <w:r>
        <w:rPr>
          <w:rFonts w:ascii="Times New Roman" w:hAnsi="Times New Roman" w:cs="Times New Roman"/>
          <w:i/>
          <w:iCs/>
          <w:sz w:val="24"/>
          <w:szCs w:val="24"/>
        </w:rPr>
        <w:fldChar w:fldCharType="end"/>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467AF7"/>
    <w:multiLevelType w:val="multilevel"/>
    <w:tmpl w:val="17467AF7"/>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1AC190A"/>
    <w:multiLevelType w:val="singleLevel"/>
    <w:tmpl w:val="41AC190A"/>
    <w:lvl w:ilvl="0" w:tentative="0">
      <w:start w:val="2"/>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NTU4ZDk3Mjc2MjVlYjMzM2ExZjQ1NjM2MWU5MzcifQ=="/>
    <w:docVar w:name="NE.Ref{00BD8693-F953-45E9-AC22-EE17AC26B708}" w:val=" ADDIN NE.Ref.{00BD8693-F953-45E9-AC22-EE17AC26B708}&lt;Citation&gt;&lt;Group&gt;&lt;References&gt;&lt;Item&gt;&lt;ID&gt;2090&lt;/ID&gt;&lt;UID&gt;{66A808BF-6DB4-4F38-9721-AF3BA2C7FB41}&lt;/UID&gt;&lt;Title&gt;Optimising HIV pre-exposure prophylaxis and testing strategies in men who have  sex with men in Australia, Thailand, and China: a modelling study and  cost-effectiveness analysis&lt;/Title&gt;&lt;Template&gt;Journal Article&lt;/Template&gt;&lt;Star&gt;0&lt;/Star&gt;&lt;Tag&gt;0&lt;/Tag&gt;&lt;Author&gt;Zhao, R; Fairley, C K; Cook, A R; Phanuphak, N; He, S; Tieosapjaroen, W; Chow, EPF; Phillips, T R; Jin, Tan RK; Wei, Y; Shen, M; Zhuang, G; Ong, J J; Zhang, L&lt;/Author&gt;&lt;Year&gt;2024&lt;/Year&gt;&lt;Details&gt;&lt;_accession_num&gt;38245115&lt;/_accession_num&gt;&lt;_author_adr&gt;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Saw Swee Hock School of Public Health, National University of Singapore,  Singapore.; Institute of HIV Research and Innovation, Bangkok, Thailand; Center of Excellence  in Transgender Health, Faculty of Medicine, Chulalongkorn University, Bangkok,  Thailand.;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Melbourne Sexual Health Centre, Alfred Health, Melbourne, VIC, Australia; Central  Clinical School, Faculty of Medicine, Nursing and Health Sciences, Monash  University, Melbourne, VIC, Australia; Melbourne School of Population and Global  Health, Centre for Epidemiology and Biostatistics, University of Melbourne,  Melbourne, VIC, Australia.; Melbourne Sexual Health Centre, Alfred Health, Melbourne, VIC, Australia; Central  Clinical School, Faculty of Medicine, Nursing and Health Sciences, Monash  University, Melbourne, VIC, Australia.; Saw Swee Hock School of Public Health, National University of Singapore,  Singapore; University of North Carolina Project-China, Guangzhou, China.; China-Australia Joint Research Center for Infectious Diseases, School of Public  Health, Xi&amp;apos;an Jiaotong University Health Science Center, Xi&amp;apos;an Jiaotong  University, Xi&amp;apos;an, China.; China-Australia Joint Research Center for Infectious Diseases, School of Public  Health, Xi&amp;apos;an Jiaotong University Health Science Center, Xi&amp;apos;an Jiaotong  University, Xi&amp;apos;an, China; Interdisciplinary Center for Mathematics and Life  Sciences, School of Mathematics and Statistics, Xi&amp;apos;an Jiaotong University, Xi&amp;apos;an,  China; Key Laboratory of Environment and Genes Related to Diseases, Xi&amp;apos;an  Jiaotong University, Xi&amp;apos;an, China; Key Laboratory for Disease Prevention and  Control and Health Promotion of Shaanxi Province, Xi&amp;apos;an, China.; China-Australia Joint Research Center for Infectious Diseases, School of Public  Health, Xi&amp;apos;an Jiaotong University Health Science Center, Xi&amp;apos;an Jiaotong  University, Xi&amp;apos;an, China; Key Laboratory for Disease Prevention and Control and  Health Promotion of Shaanxi Province, Xi&amp;apos;an, China. Electronic address:  zhuanggh@mail.xjtu.edu.cn.;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Faculty of  Infectious and Tropical Diseases, London School of Hygiene and Tropical Medicine,  London, UK. Electronic address: doctorjasonong@gmail.com.;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Key Laboratory  for Disease Prevention and Control and Health Promotion of Shaanxi Province,  Xi&amp;apos;an, China. Electronic address: lei.zhang1@xjtu.edu.cn.&lt;/_author_adr&gt;&lt;_collection_scope&gt;SSCI;SCIE&lt;/_collection_scope&gt;&lt;_created&gt;65657617&lt;/_created&gt;&lt;_date&gt;2024-02-01&lt;/_date&gt;&lt;_date_display&gt;2024 Feb&lt;/_date_display&gt;&lt;_doi&gt;10.1016/S2214-109X(23)00536-3&lt;/_doi&gt;&lt;_impact_factor&gt;  34.300&lt;/_impact_factor&gt;&lt;_isbn&gt;2214-109X (Electronic); 2214-109X (Linking)&lt;/_isbn&gt;&lt;_issue&gt;2&lt;/_issue&gt;&lt;_journal&gt;Lancet Glob Health&lt;/_journal&gt;&lt;_language&gt;eng&lt;/_language&gt;&lt;_modified&gt;65657617&lt;/_modified&gt;&lt;_ori_publication&gt;Copyright © 2024 The Author(s). Published by Elsevier Ltd. This is an Open Access _x000d__x000a_      article under the CC BY-NC-ND 4.0 license. Published by Elsevier Ltd.. All rights _x000d__x000a_      reserved.&lt;/_ori_publication&gt;&lt;_pages&gt;e243-e256&lt;/_pages&gt;&lt;_social_category&gt;公共卫生、环境卫生与职业卫生(1)&lt;/_social_category&gt;&lt;_subject_headings&gt;Male; Humans; *HIV Infections/diagnosis/prevention &amp;amp; control/drug therapy; Homosexuality, Male; *Pre-Exposure Prophylaxis; *Anti-HIV Agents/therapeutic use; Cost-Effectiveness Analysis; Thailand; *Sexual and Gender Minorities; Cost-Benefit Analysis; Australia/epidemiology; China/epidemiology&lt;/_subject_headings&gt;&lt;_tertiary_title&gt;The Lancet. Global health&lt;/_tertiary_title&gt;&lt;_type_work&gt;Journal Article&lt;/_type_work&gt;&lt;_url&gt;http://www.ncbi.nlm.nih.gov/entrez/query.fcgi?cmd=Retrieve&amp;amp;db=pubmed&amp;amp;dopt=Abstract&amp;amp;list_uids=38245115&amp;amp;query_hl=1&lt;/_url&gt;&lt;_volume&gt;12&lt;/_volume&gt;&lt;/Details&gt;&lt;Extra&gt;&lt;DBUID&gt;{DE16ABCE-A785-434C-BF43-2FE58866AFDD}&lt;/DBUID&gt;&lt;/Extra&gt;&lt;/Item&gt;&lt;/References&gt;&lt;/Group&gt;&lt;/Citation&gt;_x000a_"/>
    <w:docVar w:name="NE.Ref{0ACDB392-A236-455E-AB9F-69085E8D61E7}" w:val=" ADDIN NE.Ref.{0ACDB392-A236-455E-AB9F-69085E8D61E7}&lt;Citation&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Group&gt;&lt;References&gt;&lt;Item&gt;&lt;ID&gt;2114&lt;/ID&gt;&lt;UID&gt;{E2AB6310-F349-4982-8E10-6071592173DE}&lt;/UID&gt;&lt;Title&gt;Jiangsu Provincial Price Bureau, Notice on the Implementation Plan for the Comprehensive Reform of Medical and Drug Prices in Provincial (Ministry-Level) Public Hospitals (Su Jia Yi [2015] No. 284).(in Chinese)&lt;/Title&gt;&lt;Template&gt;Journal Article&lt;/Template&gt;&lt;Star&gt;0&lt;/Star&gt;&lt;Tag&gt;0&lt;/Tag&gt;&lt;Author/&gt;&lt;Year&gt;0&lt;/Year&gt;&lt;Details&gt;&lt;_accessed&gt;65683778&lt;/_accessed&gt;&lt;_created&gt;65683778&lt;/_created&gt;&lt;_modified&gt;65683778&lt;/_modified&gt;&lt;/Details&gt;&lt;Extra&gt;&lt;DBUID&gt;{DE16ABCE-A785-434C-BF43-2FE58866AFDD}&lt;/DBUID&gt;&lt;/Extra&gt;&lt;/Item&gt;&lt;/References&gt;&lt;/Group&gt;&lt;/Citation&gt;_x000a_"/>
    <w:docVar w:name="NE.Ref{12731ED5-2EFA-4280-B9F1-9E63E62D8837}" w:val=" ADDIN NE.Ref.{12731ED5-2EFA-4280-B9F1-9E63E62D8837}&lt;Citation&gt;&lt;Group&gt;&lt;References&gt;&lt;Item&gt;&lt;ID&gt;2119&lt;/ID&gt;&lt;UID&gt;{9E76D834-1F3D-4383-A419-05804602332D}&lt;/UID&gt;&lt;Title&gt;Cost-effectiveness of DTG+ABC/3TC versus EFV/TDF/FTC for first-line treatment of  HIV-1 in the United States&lt;/Title&gt;&lt;Template&gt;Journal Article&lt;/Template&gt;&lt;Star&gt;0&lt;/Star&gt;&lt;Tag&gt;0&lt;/Tag&gt;&lt;Author&gt;Peng, S; Tafazzoli, A; Dorman, E; Rosenblatt, L; Villasis-Keever, A; Sorensen, S&lt;/Author&gt;&lt;Year&gt;2014&lt;/Year&gt;&lt;Details&gt;&lt;_accession_num&gt;25394109&lt;/_accession_num&gt;&lt;_author_adr&gt;Evidera, Modeling &amp;amp; Simulation, Bethesda, MD, USA.; Evidera, Modeling &amp;amp; Simulation, Bethesda, MD, USA.; Evidera, Modeling &amp;amp; Simulation, Bethesda, MD, USA.; Health Economics &amp;amp; Outcomes Research, Bristol-Myers Squibb Company, Plainsboro,  NJ, USA.; HIV Medical Strategy, Bristol-Myers Squibb Company, Plainsboro, NJ, USA.; Evidera, Modeling &amp;amp; Simulation, Bethesda, MD, USA.&lt;/_author_adr&gt;&lt;_date_display&gt;2014&lt;/_date_display&gt;&lt;_date&gt;2014-01-20&lt;/_date&gt;&lt;_doi&gt;10.7448/IAS.17.4.19605&lt;/_doi&gt;&lt;_isbn&gt;1758-2652 (Electronic); 1758-2652 (Linking)&lt;/_isbn&gt;&lt;_issue&gt;4 Suppl 3&lt;/_issue&gt;&lt;_journal&gt;J Int AIDS Soc&lt;/_journal&gt;&lt;_language&gt;eng&lt;/_language&gt;&lt;_pages&gt;19605&lt;/_pages&gt;&lt;_tertiary_title&gt;Journal of the International AIDS Society&lt;/_tertiary_title&gt;&lt;_type_work&gt;Journal Article&lt;/_type_work&gt;&lt;_url&gt;http://www.ncbi.nlm.nih.gov/entrez/query.fcgi?cmd=Retrieve&amp;amp;db=pubmed&amp;amp;dopt=Abstract&amp;amp;list_uids=25394109&amp;amp;query_hl=1&lt;/_url&gt;&lt;_volume&gt;17&lt;/_volume&gt;&lt;_created&gt;65687864&lt;/_created&gt;&lt;_modified&gt;65687864&lt;/_modified&gt;&lt;_impact_factor&gt;   6.000&lt;/_impact_factor&gt;&lt;_social_category&gt;免疫学(2) &amp;amp; 传染病学(1)&lt;/_social_category&gt;&lt;_collection_scope&gt;SCIE&lt;/_collection_scope&gt;&lt;/Details&gt;&lt;Extra&gt;&lt;DBUID&gt;{DE16ABCE-A785-434C-BF43-2FE58866AFDD}&lt;/DBUID&gt;&lt;/Extra&gt;&lt;/Item&gt;&lt;/References&gt;&lt;/Group&gt;&lt;/Citation&gt;_x000a_"/>
    <w:docVar w:name="NE.Ref{1B2F30A6-A1F9-447A-8087-B34683F7AE20}" w:val=" ADDIN NE.Ref.{1B2F30A6-A1F9-447A-8087-B34683F7AE20}&lt;Citation&gt;&lt;Group&gt;&lt;References&gt;&lt;Item&gt;&lt;ID&gt;2116&lt;/ID&gt;&lt;UID&gt;{D6037EA5-3D07-4EB6-A223-93F4312C7DE7}&lt;/UID&gt;&lt;Title&gt;Fixed-dose combination bictegravir, emtricitabine, and tenofovir alafenamide  versus dolutegravir-containing regimens for initial treatment of HIV-1 infection:  week 144 results from two randomised, double-blind, multicentre, phase 3,  non-inferiority trials&lt;/Title&gt;&lt;Template&gt;Journal Article&lt;/Template&gt;&lt;Star&gt;0&lt;/Star&gt;&lt;Tag&gt;0&lt;/Tag&gt;&lt;Author&gt;Orkin, C; DeJesus, E; Sax, P E; Arribas, J R; Gupta, S K; Martorell, C; Stephens, J L; Stellbrink, H J; Wohl, D; Maggiolo, F; Thompson, M A; Podzamczer, D; Hagins, D; Flamm, J A; Brinson, C; Clarke, A; Huang, H; Acosta, R; Brainard, D M; Collins, S E; Martin, H&lt;/Author&gt;&lt;Year&gt;2020&lt;/Year&gt;&lt;Details&gt;&lt;_accession_num&gt;32504574&lt;/_accession_num&gt;&lt;_author_adr&gt;Queen Mary University of London, London, UK; Barts Health NHS Trust, Royal London  Hospital, Ambrose King Centre, London, UK.; Orlando Immunology Center, Orlando, FL, USA.; Division of Infectious Diseases, Brigham and Women&amp;apos;s Hospital and Harvard Medical  School, Boston, MA, USA.; Infectious Diseases Unit, Hospital Universitario La Paz, IdiPaz Madrid, Spain.; Department of Medicine, Division of Infectious Diseases, Indiana University  School of Medicine, Indianapolis, IN, USA.; The Research Institute, Springfield, MA, USA.; Department of Internal Medicine, Mercer University School of Medicine, Macon, GA,  USA.; Department of Internal Medicine, Infectious Diseases, University of Hamburg,  Hamburg, Germany.; Department of Medicine, Institute of Global Health and Infectious Diseases,  University of North Carolina at Chapel Hill, Chapel Hill, NC, USA.; Unit of HIV-related Diseases and Experimental Therapies, Azienda Ospedaliera Papa  Giovanni XXIII, Bergamo, Italy.; AIDS Research Consortium of Atlanta, Atlanta, GA, USA.; Infectious Disease Department, Hospital Universitari de Bellvitge, Barcelona,  Spain.; Georgia Department of Public Health, Coastal Health District, Chatham Care  Center, Savannah, GA, USA.; Department of Adult and Family Medicine, Kaiser Permanente Medical Group,  Sacramento, CA, USA.; Central Texas Clinical Research, Austin, TX, USA.; Elton John Centre, Royal Sussex County Hospital, Brighton &amp;amp; Sussex University  Hospitals NHS Trust, Brighton, UK.; Department of Biometrics, Gilead Sciences, Foster City, CA, USA.; Department of Virology, Gilead Sciences, Foster City, CA, USA.; Department of HIV Clinical Research, Gilead Sciences, Foster City, CA, USA.; Department of HIV Clinical Research, Gilead Sciences, Foster City, CA, USA.  Electronic address: sean.collins@gilead.com.; Department of HIV Clinical Research, Gilead Sciences, Foster City, CA, USA.&lt;/_author_adr&gt;&lt;_collection_scope&gt;SCIE&lt;/_collection_scope&gt;&lt;_created&gt;65687859&lt;/_created&gt;&lt;_date&gt;2020-06-01&lt;/_date&gt;&lt;_date_display&gt;2020 Jun&lt;/_date_display&gt;&lt;_doi&gt;10.1016/S2352-3018(20)30099-0&lt;/_doi&gt;&lt;_impact_factor&gt;  16.100&lt;/_impact_factor&gt;&lt;_isbn&gt;2352-3018 (Electronic); 2352-3018 (Linking)&lt;/_isbn&gt;&lt;_issue&gt;6&lt;/_issue&gt;&lt;_journal&gt;Lancet HIV&lt;/_journal&gt;&lt;_language&gt;eng&lt;/_language&gt;&lt;_modified&gt;65687859&lt;/_modified&gt;&lt;_ori_publication&gt;Copyright © 2020 Elsevier Ltd. All rights reserved.&lt;/_ori_publication&gt;&lt;_pages&gt;e389-e400&lt;/_pages&gt;&lt;_social_category&gt;免疫学(1) &amp;amp; 传染病学(1)&lt;/_social_category&gt;&lt;_subject_headings&gt;Adenine/administration &amp;amp; dosage/adverse effects/*analogs &amp;amp; derivatives; Adult; Aged; Alanine; Dideoxynucleosides/*administration &amp;amp; dosage/adverse effects; Double-Blind Method; Drug Administration Schedule; Drug Combinations; Emtricitabine/*administration &amp;amp; dosage/adverse effects; Female; HIV Infections/*drug therapy/virology; HIV-1/genetics; Heterocyclic Compounds, 3-Ring/*administration &amp;amp; dosage/adverse effects; Heterocyclic Compounds, 4 or More Rings/*administration &amp;amp; dosage/adverse effects; Humans; Lamivudine/*administration &amp;amp; dosage/adverse effects; Male; Middle Aged; Oxazines; Piperazines; Pyridones; RNA, Viral/blood; Tenofovir/*administration &amp;amp; dosage/adverse effects; Treatment Outcome; Young Adult&lt;/_subject_headings&gt;&lt;_tertiary_title&gt;The lancet. HIV&lt;/_tertiary_title&gt;&lt;_type_work&gt;Clinical Trial, Phase III; Comparative Study; Equivalence Trial; Journal Article; Multicenter Study; Research Support, Non-U.S. Gov&amp;apos;t&lt;/_type_work&gt;&lt;_url&gt;http://www.ncbi.nlm.nih.gov/entrez/query.fcgi?cmd=Retrieve&amp;amp;db=pubmed&amp;amp;dopt=Abstract&amp;amp;list_uids=32504574&amp;amp;query_hl=1&lt;/_url&gt;&lt;_volume&gt;7&lt;/_volume&gt;&lt;/Details&gt;&lt;Extra&gt;&lt;DBUID&gt;{DE16ABCE-A785-434C-BF43-2FE58866AFDD}&lt;/DBUID&gt;&lt;/Extra&gt;&lt;/Item&gt;&lt;/References&gt;&lt;/Group&gt;&lt;/Citation&gt;_x000a_"/>
    <w:docVar w:name="NE.Ref{1EE3A521-3FEC-4D69-96FB-99A04A1B0227}" w:val=" ADDIN NE.Ref.{1EE3A521-3FEC-4D69-96FB-99A04A1B0227}&lt;Citation&gt;&lt;Group&gt;&lt;References&gt;&lt;Item&gt;&lt;ID&gt;2123&lt;/ID&gt;&lt;UID&gt;{AE4B46FC-0176-467A-8FFB-695914D6BA57}&lt;/UID&gt;&lt;Title&gt;Cost-utility analysis of the fixed-dose combination of  dolutegravir/abacavir/lamivudine as initial treatment of HIV+ patients in Spain&lt;/Title&gt;&lt;Template&gt;Journal Article&lt;/Template&gt;&lt;Star&gt;0&lt;/Star&gt;&lt;Tag&gt;0&lt;/Tag&gt;&lt;Author&gt;Moreno, Guillen S; Losa, García JE; Berenguer, Berenguer J; Martínez, Sesmero JM; Cenoz, Gomis S; Graefenhain, R; Lopez, Sanchez-Cambronero D; Parrondo, Garcia FJ&lt;/Author&gt;&lt;Year&gt;2017&lt;/Year&gt;&lt;Details&gt;&lt;_accession_num&gt;28847249&lt;/_accession_num&gt;&lt;_author_adr&gt;Servicio de Enfermedades Infecciosas. Hospital Ramon y Cajal, Madrid.  smguillen@salud.madrid.org.; Sección Infecciosas, Departamento de Medicina Interna, Hospital Universitario  Fundación Alcorcón, Madrid.. jelosag@telefonica.net.; Servicio de Enfermedades Infecciosas, Hospital Gregorio Marañón, Madrid..  jbb4@me.com.; Departamento de Farmacia, Complejo Hospitalario de Toledo, Toledo..  jmanuelms@sescam.jccm.es.; ViiV Healthcare España, Madrid.. santiago.g.cenoz-gomis@viivhealthcare.com.; ViiV Healthcare España, Madrid.. ruth.x.graefenhain@viivhealthcare.com.; ViiV Healthcare España, Madrid.. david.j.lopez@viivhealthcare.com.; JParrondo-HEALTH, Coslada, Madrid.. javierparrondo@jparrondo.es.&lt;/_author_adr&gt;&lt;_collection_scope&gt;ESCI&lt;/_collection_scope&gt;&lt;_created&gt;65687871&lt;/_created&gt;&lt;_date&gt;2017-09-01&lt;/_date&gt;&lt;_date_display&gt;2017 Sep 1&lt;/_date_display&gt;&lt;_doi&gt;10.7399/fh.10808&lt;/_doi&gt;&lt;_impact_factor&gt;   1.400&lt;/_impact_factor&gt;&lt;_isbn&gt;2171-8695 (Electronic); 1130-6343 (Linking)&lt;/_isbn&gt;&lt;_issue&gt;5&lt;/_issue&gt;&lt;_journal&gt;Farm Hosp&lt;/_journal&gt;&lt;_language&gt;eng&lt;/_language&gt;&lt;_modified&gt;65687871&lt;/_modified&gt;&lt;_ori_publication&gt;Copyright AULA MEDICA EDICIONES 2014. Published by AULA MEDICA. All rights _x000d__x000a_      reserved.&lt;/_ori_publication&gt;&lt;_pages&gt;601-610&lt;/_pages&gt;&lt;_subject_headings&gt;Adult; Anti-HIV Agents/administration &amp;amp; dosage/*therapeutic use; Antiretroviral Therapy, Highly Active/*methods; Cost-Benefit Analysis; Dideoxynucleosides/administration &amp;amp; dosage/*therapeutic use; Drug Combinations; Drug Compounding; Female; HIV Seropositivity/*drug therapy; Heterocyclic Compounds, 3-Ring/administration &amp;amp; dosage/*therapeutic use; Humans; Lamivudine/administration &amp;amp; dosage/*therapeutic use; Male; Oxazines; Piperazines; Pyridones; Reverse Transcriptase Inhibitors/administration &amp;amp; dosage/*therapeutic use; Spain&lt;/_subject_headings&gt;&lt;_tertiary_title&gt;Farmacia hospitalaria : organo oficial de expresion cientifica de la Sociedad _x000d__x000a_      Espanola de Farmacia Hospitalaria&lt;/_tertiary_title&gt;&lt;_type_work&gt;Journal Article&lt;/_type_work&gt;&lt;_url&gt;http://www.ncbi.nlm.nih.gov/entrez/query.fcgi?cmd=Retrieve&amp;amp;db=pubmed&amp;amp;dopt=Abstract&amp;amp;list_uids=28847249&amp;amp;query_hl=1&lt;/_url&gt;&lt;_volume&gt;41&lt;/_volume&gt;&lt;/Details&gt;&lt;Extra&gt;&lt;DBUID&gt;{DE16ABCE-A785-434C-BF43-2FE58866AFDD}&lt;/DBUID&gt;&lt;/Extra&gt;&lt;/Item&gt;&lt;/References&gt;&lt;/Group&gt;&lt;/Citation&gt;_x000a_"/>
    <w:docVar w:name="NE.Ref{22C19551-8242-4B91-A72B-ACB523878330}" w:val=" ADDIN NE.Ref.{22C19551-8242-4B91-A72B-ACB523878330}&lt;Citation&gt;&lt;Group&gt;&lt;References&gt;&lt;Item&gt;&lt;ID&gt;2119&lt;/ID&gt;&lt;UID&gt;{9E76D834-1F3D-4383-A419-05804602332D}&lt;/UID&gt;&lt;Title&gt;Cost-effectiveness of DTG+ABC/3TC versus EFV/TDF/FTC for first-line treatment of  HIV-1 in the United States&lt;/Title&gt;&lt;Template&gt;Journal Article&lt;/Template&gt;&lt;Star&gt;0&lt;/Star&gt;&lt;Tag&gt;0&lt;/Tag&gt;&lt;Author&gt;Peng, S; Tafazzoli, A; Dorman, E; Rosenblatt, L; Villasis-Keever, A; Sorensen, S&lt;/Author&gt;&lt;Year&gt;2014&lt;/Year&gt;&lt;Details&gt;&lt;_accession_num&gt;25394109&lt;/_accession_num&gt;&lt;_author_adr&gt;Evidera, Modeling &amp;amp; Simulation, Bethesda, MD, USA.; Evidera, Modeling &amp;amp; Simulation, Bethesda, MD, USA.; Evidera, Modeling &amp;amp; Simulation, Bethesda, MD, USA.; Health Economics &amp;amp; Outcomes Research, Bristol-Myers Squibb Company, Plainsboro,  NJ, USA.; HIV Medical Strategy, Bristol-Myers Squibb Company, Plainsboro, NJ, USA.; Evidera, Modeling &amp;amp; Simulation, Bethesda, MD, USA.&lt;/_author_adr&gt;&lt;_collection_scope&gt;SCIE&lt;/_collection_scope&gt;&lt;_created&gt;65687864&lt;/_created&gt;&lt;_date&gt;2014-01-20&lt;/_date&gt;&lt;_date_display&gt;2014&lt;/_date_display&gt;&lt;_doi&gt;10.7448/IAS.17.4.19605&lt;/_doi&gt;&lt;_impact_factor&gt;   6.000&lt;/_impact_factor&gt;&lt;_isbn&gt;1758-2652 (Electronic); 1758-2652 (Linking)&lt;/_isbn&gt;&lt;_issue&gt;4 Suppl 3&lt;/_issue&gt;&lt;_journal&gt;J Int AIDS Soc&lt;/_journal&gt;&lt;_language&gt;eng&lt;/_language&gt;&lt;_modified&gt;65687864&lt;/_modified&gt;&lt;_pages&gt;19605&lt;/_pages&gt;&lt;_social_category&gt;免疫学(2) &amp;amp; 传染病学(1)&lt;/_social_category&gt;&lt;_tertiary_title&gt;Journal of the International AIDS Society&lt;/_tertiary_title&gt;&lt;_type_work&gt;Journal Article&lt;/_type_work&gt;&lt;_url&gt;http://www.ncbi.nlm.nih.gov/entrez/query.fcgi?cmd=Retrieve&amp;amp;db=pubmed&amp;amp;dopt=Abstract&amp;amp;list_uids=25394109&amp;amp;query_hl=1&lt;/_url&gt;&lt;_volume&gt;17&lt;/_volume&gt;&lt;/Details&gt;&lt;Extra&gt;&lt;DBUID&gt;{DE16ABCE-A785-434C-BF43-2FE58866AFDD}&lt;/DBUID&gt;&lt;/Extra&gt;&lt;/Item&gt;&lt;/References&gt;&lt;/Group&gt;&lt;/Citation&gt;_x000a_"/>
    <w:docVar w:name="NE.Ref{253EADA3-4FA9-4B37-9D10-659082E24D26}" w:val=" ADDIN NE.Ref.{253EADA3-4FA9-4B37-9D10-659082E24D26}&lt;Citation&gt;&lt;Group&gt;&lt;References&gt;&lt;Item&gt;&lt;ID&gt;2108&lt;/ID&gt;&lt;UID&gt;{218469CF-237F-4015-8709-9F8FDD5BC2F5}&lt;/UID&gt;&lt;Title&gt;Chinese Society of Infectious Diseases, AIDS and Hepatitis C Group, Chinese Center for Disease Control and Prevention, China HIV/AIDS Diagnosis and Treatment Guidelines (2021 Edition). Xiehe Medical Journal, 2022. 13(02): p. 203-226.(in Chinese)&lt;/Title&gt;&lt;Template&gt;Journal Article&lt;/Template&gt;&lt;Star&gt;0&lt;/Star&gt;&lt;Tag&gt;0&lt;/Tag&gt;&lt;Author/&gt;&lt;Year&gt;0&lt;/Year&gt;&lt;Details&gt;&lt;_accessed&gt;65683773&lt;/_accessed&gt;&lt;_created&gt;65683773&lt;/_created&gt;&lt;_modified&gt;65683773&lt;/_modified&gt;&lt;/Details&gt;&lt;Extra&gt;&lt;DBUID&gt;{DE16ABCE-A785-434C-BF43-2FE58866AFDD}&lt;/DBUID&gt;&lt;/Extra&gt;&lt;/Item&gt;&lt;/References&gt;&lt;/Group&gt;&lt;/Citation&gt;_x000a_"/>
    <w:docVar w:name="NE.Ref{2573EBAE-ADBB-4BAF-9CFC-677C1CADF74A}" w:val=" ADDIN NE.Ref.{2573EBAE-ADBB-4BAF-9CFC-677C1CADF74A}&lt;Citation&gt;&lt;Group&gt;&lt;References&gt;&lt;Item&gt;&lt;ID&gt;2090&lt;/ID&gt;&lt;UID&gt;{66A808BF-6DB4-4F38-9721-AF3BA2C7FB41}&lt;/UID&gt;&lt;Title&gt;Optimising HIV pre-exposure prophylaxis and testing strategies in men who have  sex with men in Australia, Thailand, and China: a modelling study and  cost-effectiveness analysis&lt;/Title&gt;&lt;Template&gt;Journal Article&lt;/Template&gt;&lt;Star&gt;0&lt;/Star&gt;&lt;Tag&gt;0&lt;/Tag&gt;&lt;Author&gt;Zhao, R; Fairley, C K; Cook, A R; Phanuphak, N; He, S; Tieosapjaroen, W; Chow, EPF; Phillips, T R; Jin, Tan RK; Wei, Y; Shen, M; Zhuang, G; Ong, J J; Zhang, L&lt;/Author&gt;&lt;Year&gt;2024&lt;/Year&gt;&lt;Details&gt;&lt;_accession_num&gt;38245115&lt;/_accession_num&gt;&lt;_author_adr&gt;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Saw Swee Hock School of Public Health, National University of Singapore,  Singapore.; Institute of HIV Research and Innovation, Bangkok, Thailand; Center of Excellence  in Transgender Health, Faculty of Medicine, Chulalongkorn University, Bangkok,  Thailand.;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Melbourne Sexual Health Centre, Alfred Health, Melbourne, VIC, Australia; Central  Clinical School, Faculty of Medicine, Nursing and Health Sciences, Monash  University, Melbourne, VIC, Australia; Melbourne School of Population and Global  Health, Centre for Epidemiology and Biostatistics, University of Melbourne,  Melbourne, VIC, Australia.; Melbourne Sexual Health Centre, Alfred Health, Melbourne, VIC, Australia; Central  Clinical School, Faculty of Medicine, Nursing and Health Sciences, Monash  University, Melbourne, VIC, Australia.; Saw Swee Hock School of Public Health, National University of Singapore,  Singapore; University of North Carolina Project-China, Guangzhou, China.; China-Australia Joint Research Center for Infectious Diseases, School of Public  Health, Xi&amp;apos;an Jiaotong University Health Science Center, Xi&amp;apos;an Jiaotong  University, Xi&amp;apos;an, China.; China-Australia Joint Research Center for Infectious Diseases, School of Public  Health, Xi&amp;apos;an Jiaotong University Health Science Center, Xi&amp;apos;an Jiaotong  University, Xi&amp;apos;an, China; Interdisciplinary Center for Mathematics and Life  Sciences, School of Mathematics and Statistics, Xi&amp;apos;an Jiaotong University, Xi&amp;apos;an,  China; Key Laboratory of Environment and Genes Related to Diseases, Xi&amp;apos;an  Jiaotong University, Xi&amp;apos;an, China; Key Laboratory for Disease Prevention and  Control and Health Promotion of Shaanxi Province, Xi&amp;apos;an, China.; China-Australia Joint Research Center for Infectious Diseases, School of Public  Health, Xi&amp;apos;an Jiaotong University Health Science Center, Xi&amp;apos;an Jiaotong  University, Xi&amp;apos;an, China; Key Laboratory for Disease Prevention and Control and  Health Promotion of Shaanxi Province, Xi&amp;apos;an, China. Electronic address:  zhuanggh@mail.xjtu.edu.cn.;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Faculty of  Infectious and Tropical Diseases, London School of Hygiene and Tropical Medicine,  London, UK. Electronic address: doctorjasonong@gmail.com.;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Key Laboratory  for Disease Prevention and Control and Health Promotion of Shaanxi Province,  Xi&amp;apos;an, China. Electronic address: lei.zhang1@xjtu.edu.cn.&lt;/_author_adr&gt;&lt;_collection_scope&gt;SSCI;SCIE&lt;/_collection_scope&gt;&lt;_created&gt;65657617&lt;/_created&gt;&lt;_date&gt;2024-02-01&lt;/_date&gt;&lt;_date_display&gt;2024 Feb&lt;/_date_display&gt;&lt;_doi&gt;10.1016/S2214-109X(23)00536-3&lt;/_doi&gt;&lt;_impact_factor&gt;  34.300&lt;/_impact_factor&gt;&lt;_isbn&gt;2214-109X (Electronic); 2214-109X (Linking)&lt;/_isbn&gt;&lt;_issue&gt;2&lt;/_issue&gt;&lt;_journal&gt;Lancet Glob Health&lt;/_journal&gt;&lt;_language&gt;eng&lt;/_language&gt;&lt;_modified&gt;65657617&lt;/_modified&gt;&lt;_ori_publication&gt;Copyright © 2024 The Author(s). Published by Elsevier Ltd. This is an Open Access _x000d__x000a_      article under the CC BY-NC-ND 4.0 license. Published by Elsevier Ltd.. All rights _x000d__x000a_      reserved.&lt;/_ori_publication&gt;&lt;_pages&gt;e243-e256&lt;/_pages&gt;&lt;_social_category&gt;公共卫生、环境卫生与职业卫生(1)&lt;/_social_category&gt;&lt;_subject_headings&gt;Male; Humans; *HIV Infections/diagnosis/prevention &amp;amp; control/drug therapy; Homosexuality, Male; *Pre-Exposure Prophylaxis; *Anti-HIV Agents/therapeutic use; Cost-Effectiveness Analysis; Thailand; *Sexual and Gender Minorities; Cost-Benefit Analysis; Australia/epidemiology; China/epidemiology&lt;/_subject_headings&gt;&lt;_tertiary_title&gt;The Lancet. Global health&lt;/_tertiary_title&gt;&lt;_type_work&gt;Journal Article&lt;/_type_work&gt;&lt;_url&gt;http://www.ncbi.nlm.nih.gov/entrez/query.fcgi?cmd=Retrieve&amp;amp;db=pubmed&amp;amp;dopt=Abstract&amp;amp;list_uids=38245115&amp;amp;query_hl=1&lt;/_url&gt;&lt;_volume&gt;12&lt;/_volume&gt;&lt;/Details&gt;&lt;Extra&gt;&lt;DBUID&gt;{DE16ABCE-A785-434C-BF43-2FE58866AFDD}&lt;/DBUID&gt;&lt;/Extra&gt;&lt;/Item&gt;&lt;/References&gt;&lt;/Group&gt;&lt;/Citation&gt;_x000a_"/>
    <w:docVar w:name="NE.Ref{2885E967-7EFE-4AE4-A412-E29A35A3DA6A}" w:val=" ADDIN NE.Ref.{2885E967-7EFE-4AE4-A412-E29A35A3DA6A}&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2C88DC9A-25A9-407F-ADB6-6633C4895C5B}" w:val=" ADDIN NE.Ref.{2C88DC9A-25A9-407F-ADB6-6633C4895C5B}&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304D5BA3-C03D-41AA-A233-520147F30FCF}" w:val=" ADDIN NE.Ref.{304D5BA3-C03D-41AA-A233-520147F30FCF}&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collection_scope&gt;SCIE&lt;/_collection_scope&gt;&lt;_created&gt;65687866&lt;/_created&gt;&lt;_date&gt;2021-07-01&lt;/_date&gt;&lt;_date_display&gt;2021 Jul 1&lt;/_date_display&gt;&lt;_doi&gt;10.1093/cid/ciaa822&lt;/_doi&gt;&lt;_impact_factor&gt;  11.800&lt;/_impact_factor&gt;&lt;_isbn&gt;1537-6591 (Electronic); 1058-4838 (Print); 1058-4838 (Linking)&lt;/_isbn&gt;&lt;_issue&gt;1&lt;/_issue&gt;&lt;_journal&gt;Clin Infect Dis&lt;/_journal&gt;&lt;_keywords&gt;HIV-1; NNRTI; doravirine; efavirenz; treatment-naive&lt;/_keywords&gt;&lt;_language&gt;eng&lt;/_language&gt;&lt;_modified&gt;65687866&lt;/_modified&gt;&lt;_ori_publication&gt;© The Author(s) 2020. Published by Oxford University Press for the Infectious _x000d__x000a_      Diseases Society of America.&lt;/_ori_publication&gt;&lt;_pages&gt;33-42&lt;/_pages&gt;&lt;_social_category&gt;免疫学(1) &amp;amp; 传染病学(1) &amp;amp; 微生物学(1)&lt;/_social_category&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Details&gt;&lt;Extra&gt;&lt;DBUID&gt;{DE16ABCE-A785-434C-BF43-2FE58866AFDD}&lt;/DBUID&gt;&lt;/Extra&gt;&lt;/Item&gt;&lt;/References&gt;&lt;/Group&gt;&lt;/Citation&gt;_x000a_"/>
    <w:docVar w:name="NE.Ref{3FE46E9A-D9DB-402C-837D-250C5A1C1A20}" w:val=" ADDIN NE.Ref.{3FE46E9A-D9DB-402C-837D-250C5A1C1A20}&lt;Citation&gt;&lt;Group&gt;&lt;References&gt;&lt;Item&gt;&lt;ID&gt;2113&lt;/ID&gt;&lt;UID&gt;{074D9521-4CF8-4F51-84F1-F7747DB2E6CB}&lt;/UID&gt;&lt;Title&gt;Bai, W.L., Pan, S.M., &amp;amp; Wang, A.L., Sexual Behavior and Relationships of Contemporary Chinese People. Social Sciences Academic Press, 2004.(in Chinese)&lt;/Title&gt;&lt;Template&gt;Journal Article&lt;/Template&gt;&lt;Star&gt;0&lt;/Star&gt;&lt;Tag&gt;0&lt;/Tag&gt;&lt;Author/&gt;&lt;Year&gt;0&lt;/Year&gt;&lt;Details&gt;&lt;_accessed&gt;65683777&lt;/_accessed&gt;&lt;_created&gt;65683777&lt;/_created&gt;&lt;_modified&gt;65683777&lt;/_modified&gt;&lt;/Details&gt;&lt;Extra&gt;&lt;DBUID&gt;{DE16ABCE-A785-434C-BF43-2FE58866AFDD}&lt;/DBUID&gt;&lt;/Extra&gt;&lt;/Item&gt;&lt;/References&gt;&lt;/Group&gt;&lt;/Citation&gt;_x000a_"/>
    <w:docVar w:name="NE.Ref{4057C2CD-73B2-4B89-B310-40D181A6CA59}" w:val=" ADDIN NE.Ref.{4057C2CD-73B2-4B89-B310-40D181A6CA59}&lt;Citation&gt;&lt;Group&gt;&lt;References&gt;&lt;Item&gt;&lt;ID&gt;2122&lt;/ID&gt;&lt;UID&gt;{C3D8D0E6-36E3-4E92-A9B0-5981EB691B8C}&lt;/UID&gt;&lt;Title&gt;MENET.https://www.menet.com.cn/data/&lt;/Title&gt;&lt;Template&gt;Journal Article&lt;/Template&gt;&lt;Star&gt;0&lt;/Star&gt;&lt;Tag&gt;0&lt;/Tag&gt;&lt;Author/&gt;&lt;Year&gt;0&lt;/Year&gt;&lt;Details&gt;&lt;_accessed&gt;65712496&lt;/_accessed&gt;&lt;_created&gt;65687871&lt;/_created&gt;&lt;_modified&gt;65712496&lt;/_modified&gt;&lt;/Details&gt;&lt;Extra&gt;&lt;DBUID&gt;{DE16ABCE-A785-434C-BF43-2FE58866AFDD}&lt;/DBUID&gt;&lt;/Extra&gt;&lt;/Item&gt;&lt;/References&gt;&lt;/Group&gt;&lt;/Citation&gt;_x000a_"/>
    <w:docVar w:name="NE.Ref{46E7AEBB-2BC3-4372-9010-47D7C51CF975}" w:val=" ADDIN NE.Ref.{46E7AEBB-2BC3-4372-9010-47D7C51CF975}&lt;Citation&gt;&lt;Group&gt;&lt;References&gt;&lt;Item&gt;&lt;ID&gt;1263&lt;/ID&gt;&lt;UID&gt;{3451EE5D-A31A-48ED-9EBA-5A0DE66746EF}&lt;/UID&gt;&lt;Title&gt;The Cost-effectiveness and Budget Impact of 2-Drug Dolutegravir-Lamivudine  Regimens for the Treatment of HIV Infection in the United States&lt;/Title&gt;&lt;Template&gt;Journal Article&lt;/Template&gt;&lt;Star&gt;0&lt;/Star&gt;&lt;Tag&gt;0&lt;/Tag&gt;&lt;Author&gt;Girouard, M P; Sax, P E; Parker, R A; Taiwo, B; Freedberg, K A; Gulick, R M; Weinstein, M C; Paltiel, A D; Walensky, R P&lt;/Author&gt;&lt;Year&gt;2016&lt;/Year&gt;&lt;Details&gt;&lt;_accessed&gt;65370962&lt;/_accessed&gt;&lt;_accession_num&gt;26658053&lt;/_accession_num&gt;&lt;_author_adr&gt;Medical Practice Evaluation Center Division of General Internal Medicine,  Massachusetts General Hospital.; Division of Infectious Diseases, Brigham and Women&amp;apos;s Hospital Harvard Medical  School.; Medical Practice Evaluation Center Harvard Medical School Biostatistics Center,  Massachusetts General Hospital, Boston, Massachusetts.; Division of Infectious Diseases, Northwestern University Feinberg School of  Medicine, Chicago, Illinois.; Medical Practice Evaluation Center Division of General Internal Medicine,  Massachusetts General Hospital Harvard Medical School Division of Infectious  Diseases, Massachusetts General Hospital Department of Epidemiology, Boston  University School of Public Health Department of Health Policy and Management,  Harvard T. H. Chan School of Public Health, Boston, Massachusetts.; Division of Infectious Diseases, Weill Medical College of Cornell University, New  York, New York.; Department of Health Policy and Management, Harvard T. H. Chan School of Public  Health, Boston, Massachusetts Department of Biostatistics, Harvard T. H. Chan  School of Public Health, Boston, Massachusetts.; Yale School of Public Health, New Haven, Connecticut.; Medical Practice Evaluation Center Division of General Internal Medicine,  Massachusetts General Hospital Division of Infectious Diseases, Brigham and  Women&amp;apos;s Hospital Harvard Medical School Division of Infectious Diseases,  Massachusetts General Hospital.&lt;/_author_adr&gt;&lt;_collection_scope&gt;SCIE&lt;/_collection_scope&gt;&lt;_created&gt;65366734&lt;/_created&gt;&lt;_date&gt;2016-03-15&lt;/_date&gt;&lt;_date_display&gt;2016 Mar 15&lt;/_date_display&gt;&lt;_doi&gt;10.1093/cid/civ981&lt;/_doi&gt;&lt;_impact_factor&gt;  11.800&lt;/_impact_factor&gt;&lt;_isbn&gt;1537-6591 (Electronic); 1058-4838 (Print); 1058-4838 (Linking)&lt;/_isbn&gt;&lt;_issue&gt;6&lt;/_issue&gt;&lt;_journal&gt;Clin Infect Dis&lt;/_journal&gt;&lt;_keywords&gt;ART; HIV; cost-effectiveness; dolutegravir; lamivudine&lt;/_keywords&gt;&lt;_language&gt;eng&lt;/_language&gt;&lt;_modified&gt;65369654&lt;/_modified&gt;&lt;_ori_publication&gt;© The Author 2015. Published by Oxford University Press for the Infectious _x000d__x000a_      Diseases Society of America. All rights reserved. For permissions, e-mail _x000d__x000a_      journals.permissions@oup.com.&lt;/_ori_publication&gt;&lt;_pages&gt;784-91&lt;/_pages&gt;&lt;_social_category&gt;免疫学(1) &amp;amp; 传染病学(1) &amp;amp; 微生物学(1)&lt;/_social_category&gt;&lt;_subject_headings&gt;Anti-HIV Agents/*economics/therapeutic use; Antiretroviral Therapy, Highly Active/economics; CD4 Lymphocyte Count; Cost-Benefit Analysis; HIV Infections/*drug therapy/*economics/epidemiology/virology; HIV Integrase Inhibitors/*economics/therapeutic use; HIV-1/drug effects; Heterocyclic Compounds, 3-Ring/*economics/therapeutic use; Humans; Lamivudine/*economics/therapeutic use; Models, Statistical; Oxazines; Piperazines; Pyridones; United States/epidemiology&lt;/_subject_headings&gt;&lt;_tertiary_title&gt;Clinical infectious diseases : an official publication of the Infectious Diseases _x000d__x000a_      Society of America&lt;/_tertiary_title&gt;&lt;_type_work&gt;Journal Article; Research Support, N.I.H., Extramural; Research Support, Non-U.S. Gov&amp;apos;t&lt;/_type_work&gt;&lt;_url&gt;http://www.ncbi.nlm.nih.gov/entrez/query.fcgi?cmd=Retrieve&amp;amp;db=pubmed&amp;amp;dopt=Abstract&amp;amp;list_uids=26658053&amp;amp;query_hl=1&lt;/_url&gt;&lt;_volume&gt;62&lt;/_volume&gt;&lt;/Details&gt;&lt;Extra&gt;&lt;DBUID&gt;{DE16ABCE-A785-434C-BF43-2FE58866AFDD}&lt;/DBUID&gt;&lt;/Extra&gt;&lt;/Item&gt;&lt;/References&gt;&lt;/Group&gt;&lt;/Citation&gt;_x000a_"/>
    <w:docVar w:name="NE.Ref{4D55DB72-4325-49A1-BCFC-956DB2FB12AA}" w:val=" ADDIN NE.Ref.{4D55DB72-4325-49A1-BCFC-956DB2FB12AA}&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4DB0F108-A4B6-4764-B2B0-0CB68D63F193}" w:val=" ADDIN NE.Ref.{4DB0F108-A4B6-4764-B2B0-0CB68D63F193}&lt;Citation&gt;&lt;Group&gt;&lt;References&gt;&lt;Item&gt;&lt;ID&gt;2121&lt;/ID&gt;&lt;UID&gt;{C3883B4D-443F-48F5-8A6B-688B3A5C49B7}&lt;/UID&gt;&lt;Title&gt;Bictegravir/emtricitabine/tenofovir alafenamide ensures high rates of virological  suppression maintenance despite previous resistance in PLWH who optimize  treatment in clinical practice&lt;/Title&gt;&lt;Template&gt;Journal Article&lt;/Template&gt;&lt;Star&gt;0&lt;/Star&gt;&lt;Tag&gt;0&lt;/Tag&gt;&lt;Author&gt;Armenia, D; Forbici, F; Bertoli, A; Berno, G; Malagnino, V; Gagliardini, R; Borghi, V; Gennari, W; Cicalini, S; Buonomini, A; Teti, E; Lanini, S; Latini, A; Sarmati, L; Mussini, C; Andreoni, M; Antinori, A; Perno, C F; Ceccherini-Silberstein, F; Santoro, M M&lt;/Author&gt;&lt;Year&gt;2022&lt;/Year&gt;&lt;Details&gt;&lt;_accession_num&gt;35793776&lt;/_accession_num&gt;&lt;_author_adr&gt;Saint Camillus International University of Health Sciences, Rome, Italy.; National Institute for Infectious Diseases Lazzaro Spallanzani, IRCCS, Rome,  Italy.; University of Rome &amp;apos;Tor Vergata&amp;apos;, Rome, Italy; Polyclinic of Rome &amp;apos;Tor Vergata&amp;apos;,  Rome, Italy.; National Institute for Infectious Diseases Lazzaro Spallanzani, IRCCS, Rome,  Italy.; Polyclinic of Rome &amp;apos;Tor Vergata&amp;apos;, Rome, Italy.; National Institute for Infectious Diseases Lazzaro Spallanzani, IRCCS, Rome,  Italy.; Polyclinic of Modena, Modena, Italy.; Polyclinic of Modena, Modena, Italy.; National Institute for Infectious Diseases Lazzaro Spallanzani, IRCCS, Rome,  Italy.; San Gallicano Dermatological Institute, IRCCS, Rome, Italy.; Polyclinic of Rome &amp;apos;Tor Vergata&amp;apos;, Rome, Italy.; National Institute for Infectious Diseases Lazzaro Spallanzani, IRCCS, Rome,  Italy.; San Gallicano Dermatological Institute, IRCCS, Rome, Italy.; Polyclinic of Rome &amp;apos;Tor Vergata&amp;apos;, Rome, Italy.; Polyclinic of Modena, Modena, Italy.; Polyclinic of Rome &amp;apos;Tor Vergata&amp;apos;, Rome, Italy.; National Institute for Infectious Diseases Lazzaro Spallanzani, IRCCS, Rome,  Italy.; Bambino Gesù Children&amp;apos;s Hospital, Rome, Italy.; University of Rome &amp;apos;Tor Vergata&amp;apos;, Rome, Italy.; University of Rome &amp;apos;Tor Vergata&amp;apos;, Rome, Italy. Electronic address:  santormaria@gmail.com.&lt;/_author_adr&gt;&lt;_date_display&gt;2022 Sep&lt;/_date_display&gt;&lt;_date&gt;2022-09-01&lt;/_date&gt;&lt;_doi&gt;10.1016/j.jgar.2022.06.027&lt;/_doi&gt;&lt;_isbn&gt;2213-7173 (Electronic); 2213-7165 (Linking)&lt;/_isbn&gt;&lt;_journal&gt;J Glob Antimicrob Resist&lt;/_journal&gt;&lt;_keywords&gt;Bictegravir; HIV drug resistance; Integrase inhibitors; Treatment optimization strategies; Virological response&lt;/_keywords&gt;&lt;_language&gt;eng&lt;/_language&gt;&lt;_ori_publication&gt;Copyright © 2022 The Authors. Published by Elsevier Ltd.. All rights reserved.&lt;/_ori_publication&gt;&lt;_pages&gt;326-334&lt;/_pages&gt;&lt;_subject_headings&gt;Adenine/therapeutic use; Alanine; Amides; *Anti-HIV Agents/therapeutic use; Drug Combinations; Emtricitabine/therapeutic use; *HIV Infections/drug therapy; *HIV Integrase Inhibitors/therapeutic use; *HIV-1/genetics; Heterocyclic Compounds, 3-Ring; Heterocyclic Compounds, 4 or More Rings/therapeutic use; Humans; Piperazines; Pyridones; Tenofovir/analogs &amp;amp; derivatives&lt;/_subject_headings&gt;&lt;_tertiary_title&gt;Journal of global antimicrobial resistance&lt;/_tertiary_title&gt;&lt;_type_work&gt;Journal Article; Research Support, Non-U.S. Gov&amp;apos;t&lt;/_type_work&gt;&lt;_url&gt;http://www.ncbi.nlm.nih.gov/entrez/query.fcgi?cmd=Retrieve&amp;amp;db=pubmed&amp;amp;dopt=Abstract&amp;amp;list_uids=35793776&amp;amp;query_hl=1&lt;/_url&gt;&lt;_volume&gt;30&lt;/_volume&gt;&lt;_created&gt;65687866&lt;/_created&gt;&lt;_modified&gt;65687866&lt;/_modified&gt;&lt;_impact_factor&gt;   4.600&lt;/_impact_factor&gt;&lt;_social_category&gt;传染病学(4) &amp;amp; 药学(3)&lt;/_social_category&gt;&lt;_collection_scope&gt;SCIE&lt;/_collection_scope&gt;&lt;/Details&gt;&lt;Extra&gt;&lt;DBUID&gt;{DE16ABCE-A785-434C-BF43-2FE58866AFDD}&lt;/DBUID&gt;&lt;/Extra&gt;&lt;/Item&gt;&lt;/References&gt;&lt;/Group&gt;&lt;/Citation&gt;_x000a_"/>
    <w:docVar w:name="NE.Ref{4EEAD8A9-73A7-4556-84F5-453835B86384}" w:val=" ADDIN NE.Ref.{4EEAD8A9-73A7-4556-84F5-453835B86384}&lt;Citation&gt;&lt;Group&gt;&lt;References&gt;&lt;Item&gt;&lt;ID&gt;2118&lt;/ID&gt;&lt;UID&gt;{EC76F809-B714-4A54-A3CC-F86777187F6A}&lt;/UID&gt;&lt;Title&gt;The Cost-effectiveness and Budget Impact of 2-Drug Dolutegravir-Lamivudine  Regimens for the Treatment of HIV Infection in the United States&lt;/Title&gt;&lt;Template&gt;Journal Article&lt;/Template&gt;&lt;Star&gt;0&lt;/Star&gt;&lt;Tag&gt;0&lt;/Tag&gt;&lt;Author&gt;Girouard, M P; Sax, P E; Parker, R A; Taiwo, B; Freedberg, K A; Gulick, R M; Weinstein, M C; Paltiel, A D; Walensky, R P&lt;/Author&gt;&lt;Year&gt;2016&lt;/Year&gt;&lt;Details&gt;&lt;_accession_num&gt;26658053&lt;/_accession_num&gt;&lt;_author_adr&gt;Medical Practice Evaluation Center Division of General Internal Medicine,  Massachusetts General Hospital.; Division of Infectious Diseases, Brigham and Women&amp;apos;s Hospital Harvard Medical  School.; Medical Practice Evaluation Center Harvard Medical School Biostatistics Center,  Massachusetts General Hospital, Boston, Massachusetts.; Division of Infectious Diseases, Northwestern University Feinberg School of  Medicine, Chicago, Illinois.; Medical Practice Evaluation Center Division of General Internal Medicine,  Massachusetts General Hospital Harvard Medical School Division of Infectious  Diseases, Massachusetts General Hospital Department of Epidemiology, Boston  University School of Public Health Department of Health Policy and Management,  Harvard T. H. Chan School of Public Health, Boston, Massachusetts.; Division of Infectious Diseases, Weill Medical College of Cornell University, New  York, New York.; Department of Health Policy and Management, Harvard T. H. Chan School of Public  Health, Boston, Massachusetts Department of Biostatistics, Harvard T. H. Chan  School of Public Health, Boston, Massachusetts.; Yale School of Public Health, New Haven, Connecticut.; Medical Practice Evaluation Center Division of General Internal Medicine,  Massachusetts General Hospital Division of Infectious Diseases, Brigham and  Women&amp;apos;s Hospital Harvard Medical School Division of Infectious Diseases,  Massachusetts General Hospital.&lt;/_author_adr&gt;&lt;_collection_scope&gt;SCIE&lt;/_collection_scope&gt;&lt;_created&gt;65687863&lt;/_created&gt;&lt;_date&gt;2016-03-15&lt;/_date&gt;&lt;_date_display&gt;2016 Mar 15&lt;/_date_display&gt;&lt;_doi&gt;10.1093/cid/civ981&lt;/_doi&gt;&lt;_impact_factor&gt;  11.800&lt;/_impact_factor&gt;&lt;_isbn&gt;1537-6591 (Electronic); 1058-4838 (Print); 1058-4838 (Linking)&lt;/_isbn&gt;&lt;_issue&gt;6&lt;/_issue&gt;&lt;_journal&gt;Clin Infect Dis&lt;/_journal&gt;&lt;_keywords&gt;ART; HIV; cost-effectiveness; dolutegravir; lamivudine&lt;/_keywords&gt;&lt;_language&gt;eng&lt;/_language&gt;&lt;_modified&gt;65687863&lt;/_modified&gt;&lt;_ori_publication&gt;© The Author 2015. Published by Oxford University Press for the Infectious _x000d__x000a_      Diseases Society of America. All rights reserved. For permissions, e-mail _x000d__x000a_      journals.permissions@oup.com.&lt;/_ori_publication&gt;&lt;_pages&gt;784-91&lt;/_pages&gt;&lt;_social_category&gt;免疫学(1) &amp;amp; 传染病学(1) &amp;amp; 微生物学(1)&lt;/_social_category&gt;&lt;_subject_headings&gt;Anti-HIV Agents/*economics/therapeutic use; Antiretroviral Therapy, Highly Active/economics; CD4 Lymphocyte Count; Cost-Benefit Analysis; HIV Infections/*drug therapy/*economics/epidemiology/virology; HIV Integrase Inhibitors/*economics/therapeutic use; HIV-1/drug effects; Heterocyclic Compounds, 3-Ring/*economics/therapeutic use; Humans; Lamivudine/*economics/therapeutic use; Models, Statistical; Oxazines; Piperazines; Pyridones; United States/epidemiology&lt;/_subject_headings&gt;&lt;_tertiary_title&gt;Clinical infectious diseases : an official publication of the Infectious Diseases _x000d__x000a_      Society of America&lt;/_tertiary_title&gt;&lt;_type_work&gt;Journal Article; Research Support, N.I.H., Extramural; Research Support, Non-U.S. Gov&amp;apos;t&lt;/_type_work&gt;&lt;_url&gt;http://www.ncbi.nlm.nih.gov/entrez/query.fcgi?cmd=Retrieve&amp;amp;db=pubmed&amp;amp;dopt=Abstract&amp;amp;list_uids=26658053&amp;amp;query_hl=1&lt;/_url&gt;&lt;_volume&gt;62&lt;/_volume&gt;&lt;/Details&gt;&lt;Extra&gt;&lt;DBUID&gt;{DE16ABCE-A785-434C-BF43-2FE58866AFDD}&lt;/DBUID&gt;&lt;/Extra&gt;&lt;/Item&gt;&lt;/References&gt;&lt;/Group&gt;&lt;/Citation&gt;_x000a_"/>
    <w:docVar w:name="NE.Ref{4FE71E08-0D5D-491A-AABB-9482E3F61BB1}" w:val=" ADDIN NE.Ref.{4FE71E08-0D5D-491A-AABB-9482E3F61BB1}&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5058D24F-0CF3-4486-BE4C-B7816D8BE66B}" w:val=" ADDIN NE.Ref.{5058D24F-0CF3-4486-BE4C-B7816D8BE66B}&lt;Citation&gt;&lt;Group&gt;&lt;References&gt;&lt;Item&gt;&lt;ID&gt;2089&lt;/ID&gt;&lt;UID&gt;{483D4B7E-B973-4275-B556-1DB67E6DE68F}&lt;/UID&gt;&lt;Title&gt;https://www.unaids.org/en/regionscountries/countries/china&lt;/Title&gt;&lt;Template&gt;Web Page&lt;/Template&gt;&lt;Star&gt;0&lt;/Star&gt;&lt;Tag&gt;0&lt;/Tag&gt;&lt;Author&gt;AIDS, The Joint United Nations&lt;/Author&gt;&lt;Year&gt;2023&lt;/Year&gt;&lt;Details&gt;&lt;_accessed&gt;65712496&lt;/_accessed&gt;&lt;_created&gt;65657615&lt;/_created&gt;&lt;_modified&gt;65683778&lt;/_modified&gt;&lt;_url&gt;https://www.unaids.org/en/regionscountries/countries/china&lt;/_url&gt;&lt;/Details&gt;&lt;Extra&gt;&lt;DBUID&gt;{DE16ABCE-A785-434C-BF43-2FE58866AFDD}&lt;/DBUID&gt;&lt;/Extra&gt;&lt;/Item&gt;&lt;/References&gt;&lt;/Group&gt;&lt;/Citation&gt;_x000a_"/>
    <w:docVar w:name="NE.Ref{54647317-A951-47D9-A3C0-8E6EB035C910}" w:val=" ADDIN NE.Ref.{54647317-A951-47D9-A3C0-8E6EB035C910}&lt;Citation&gt;&lt;Group&gt;&lt;References&gt;&lt;Item&gt;&lt;ID&gt;2103&lt;/ID&gt;&lt;UID&gt;{802FBB06-5C6D-47FE-A5DC-89AEDC2F8530}&lt;/UID&gt;&lt;Title&gt;Sexual Activity Without Condoms and Risk of HIV Transmission in Serodifferent  Couples When the HIV-Positive Partner Is Using Suppressive Antiretroviral  Therapy&lt;/Title&gt;&lt;Template&gt;Journal Article&lt;/Template&gt;&lt;Star&gt;0&lt;/Star&gt;&lt;Tag&gt;0&lt;/Tag&gt;&lt;Author&gt;Rodger, A J; Cambiano, V; Bruun, T; Vernazza, P; Collins, S; van Lunzen, J; Corbelli, G M; Estrada, V; Geretti, A M; Beloukas, A; Asboe, D; Viciana, P; Gutiérrez, F; Clotet, B; Pradier, C; Gerstoft, J; Weber, R; Westling, K; Wandeler, G; Prins, J M; Rieger, A; Stoeckle, M; Kümmerle, T; Bini, T; Ammassari, A; Gilson, R; Krznaric, I; Ristola, M; Zangerle, R; Handberg, P; Antela, A; Allan, S; Phillips, A N; Lundgren, J&lt;/Author&gt;&lt;Year&gt;2016&lt;/Year&gt;&lt;Details&gt;&lt;_accession_num&gt;27404185&lt;/_accession_num&gt;&lt;_author_adr&gt;Research Department of Infection and Population Health, University College  London, London, United Kingdom.; Research Department of Infection and Population Health, University College  London, London, United Kingdom.; Department of Infectious Diseases/CHIP, Rigshospitalet, University of Copenhagen,  Copenhagen, Denmark.; Division of Infectious Diseases and Hospital Epidemiology, Cantonal Hospital, St  Gallen, Switzerland.; HIV i-Base, London, United Kingdom.; University Medical Center Hamburg-Eppendorf, Hamburg-Eppendorf, Germany.; European AIDS Treatment Group, Bruxelles, Belgium.; Hospital Clinico San Carlos and Universidad Complutense, Madrid, Spain.; Institute of Infection and Global Health, University of Liverpool, Liverpool,  United Kingdom.; Institute of Infection and Global Health, University of Liverpool, Liverpool,  United Kingdom.; Chelsea and Westminster NHS Foundation Trust, London, United Kingdom.; Hospital Virgen del Rocío, Sevilla, Spain.; Hospital General de Elche &amp;amp; Universidad Miguel Hernández, Alicante, Spain.; IrsiCaixa Foundation, UAB, UVIC-UCC, Hospital Universitari &amp;quot;Germans Trias i  Pujol,&amp;quot; Badalona, Catalonia, Spain.; Department of Public Health, Nice University Hospital and EA 6312, University  Nice Sophia-Antipolis, France.; Rigshospitalet, Copenhagen, Denmark.; Division of Infectious Diseases and Hospital Epidemiology, University Hospital  Zurich, University of Zurich, Zurich, Switzerland.; Unit of Infectious Diseases and Dermatology, Department of Medicine, Karolinska  Institutet, and Department of Infectious Diseases, Karolinska University  Hospital, Stockholm, Sweden.; Department of Infectious Diseases, Bern University Hospital, University of Bern,  Bern, Switzerland.; Academic Medical Center, Amsterdam, the Netherlands.; Medical University of Vienna, Vienna, Austria.; Division of Infectious Diseases and Hospital Epidemiology, University Hospital  Basel, Basel, Switzerland.; Department of Internal Medicine 1, University Hospital of Cologne, Cologne,  Germany.; Ospedal San Paolo, Milan, Italy.; Ospedale L. Spallanzani, Roma, Italy.; Research Department of Infection and Population Health, University College  London, London, United Kingdom.; Praxis Driesener Straße, Berlin, Germany.; Helsinki University Central Hospital, Helsinki, Finland.; Medical University Innsbruck, Innsbruck, Austria.; Hvidovre Universitets Hospital, Hvidovre, Denamrk.; Hospital Clínico Universitario de Santiago de Compostela, Santiago de Compostela,  Spain.; Coventry and Warwickshire Hospital, Coventry, United Kingdom.; Research Department of Infection and Population Health, University College  London, London, United Kingdom.; Department of Infectious Diseases/CHIP, Rigshospitalet, University of Copenhagen,  Copenhagen, Denmark.&lt;/_author_adr&gt;&lt;_collection_scope&gt;SCIE&lt;/_collection_scope&gt;&lt;_created&gt;65673477&lt;/_created&gt;&lt;_date&gt;2016-07-12&lt;/_date&gt;&lt;_date_display&gt;2016 Jul 12&lt;/_date_display&gt;&lt;_doi&gt;10.1001/jama.2016.5148&lt;/_doi&gt;&lt;_impact_factor&gt; 120.700&lt;/_impact_factor&gt;&lt;_isbn&gt;1538-3598 (Electronic); 0098-7484 (Linking)&lt;/_isbn&gt;&lt;_issue&gt;2&lt;/_issue&gt;&lt;_journal&gt;JAMA&lt;/_journal&gt;&lt;_language&gt;eng&lt;/_language&gt;&lt;_modified&gt;65673477&lt;/_modified&gt;&lt;_pages&gt;171-81&lt;/_pages&gt;&lt;_social_category&gt;医学：内科(1)&lt;/_social_category&gt;&lt;_subject_headings&gt;Adult; Anti-HIV Agents/therapeutic use; Condoms; Europe; Family Characteristics; Female; HIV Infections/*transmission; HIV Seronegativity; HIV Seropositivity; *HIV-1/classification/enzymology; Humans; Male; Middle Aged; Phylogeny; Prospective Studies; RNA, Viral; Risk; *Sexual Behavior; *Sexual Partners; *Unsafe Sex; Viral Load&lt;/_subject_headings&gt;&lt;_tertiary_title&gt;JAMA&lt;/_tertiary_title&gt;&lt;_type_work&gt;Journal Article; Multicenter Study; Observational Study; Research Support, Non-U.S. Gov&amp;apos;t&lt;/_type_work&gt;&lt;_url&gt;http://www.ncbi.nlm.nih.gov/entrez/query.fcgi?cmd=Retrieve&amp;amp;db=pubmed&amp;amp;dopt=Abstract&amp;amp;list_uids=27404185&amp;amp;query_hl=1&lt;/_url&gt;&lt;_volume&gt;316&lt;/_volume&gt;&lt;/Details&gt;&lt;Extra&gt;&lt;DBUID&gt;{DE16ABCE-A785-434C-BF43-2FE58866AFDD}&lt;/DBUID&gt;&lt;/Extra&gt;&lt;/Item&gt;&lt;/References&gt;&lt;/Group&gt;&lt;/Citation&gt;_x000a_"/>
    <w:docVar w:name="NE.Ref{579300B7-BF0B-42E8-9214-5AAA12B3A4C9}" w:val=" ADDIN NE.Ref.{579300B7-BF0B-42E8-9214-5AAA12B3A4C9}&lt;Citation&gt;&lt;Group&gt;&lt;References&gt;&lt;Item&gt;&lt;ID&gt;2123&lt;/ID&gt;&lt;UID&gt;{AE4B46FC-0176-467A-8FFB-695914D6BA57}&lt;/UID&gt;&lt;Title&gt;Cost-utility analysis of the fixed-dose combination of  dolutegravir/abacavir/lamivudine as initial treatment of HIV+ patients in Spain&lt;/Title&gt;&lt;Template&gt;Journal Article&lt;/Template&gt;&lt;Star&gt;0&lt;/Star&gt;&lt;Tag&gt;0&lt;/Tag&gt;&lt;Author&gt;Moreno, Guillen S; Losa, García JE; Berenguer, Berenguer J; Martínez, Sesmero JM; Cenoz, Gomis S; Graefenhain, R; Lopez, Sanchez-Cambronero D; Parrondo, Garcia FJ&lt;/Author&gt;&lt;Year&gt;2017&lt;/Year&gt;&lt;Details&gt;&lt;_accession_num&gt;28847249&lt;/_accession_num&gt;&lt;_author_adr&gt;Servicio de Enfermedades Infecciosas. Hospital Ramon y Cajal, Madrid.  smguillen@salud.madrid.org.; Sección Infecciosas, Departamento de Medicina Interna, Hospital Universitario  Fundación Alcorcón, Madrid.. jelosag@telefonica.net.; Servicio de Enfermedades Infecciosas, Hospital Gregorio Marañón, Madrid..  jbb4@me.com.; Departamento de Farmacia, Complejo Hospitalario de Toledo, Toledo..  jmanuelms@sescam.jccm.es.; ViiV Healthcare España, Madrid.. santiago.g.cenoz-gomis@viivhealthcare.com.; ViiV Healthcare España, Madrid.. ruth.x.graefenhain@viivhealthcare.com.; ViiV Healthcare España, Madrid.. david.j.lopez@viivhealthcare.com.; JParrondo-HEALTH, Coslada, Madrid.. javierparrondo@jparrondo.es.&lt;/_author_adr&gt;&lt;_date_display&gt;2017 Sep 1&lt;/_date_display&gt;&lt;_date&gt;2017-09-01&lt;/_date&gt;&lt;_doi&gt;10.7399/fh.10808&lt;/_doi&gt;&lt;_isbn&gt;2171-8695 (Electronic); 1130-6343 (Linking)&lt;/_isbn&gt;&lt;_issue&gt;5&lt;/_issue&gt;&lt;_journal&gt;Farm Hosp&lt;/_journal&gt;&lt;_language&gt;eng&lt;/_language&gt;&lt;_ori_publication&gt;Copyright AULA MEDICA EDICIONES 2014. Published by AULA MEDICA. All rights _x000d__x000a_      reserved.&lt;/_ori_publication&gt;&lt;_pages&gt;601-610&lt;/_pages&gt;&lt;_subject_headings&gt;Adult; Anti-HIV Agents/administration &amp;amp; dosage/*therapeutic use; Antiretroviral Therapy, Highly Active/*methods; Cost-Benefit Analysis; Dideoxynucleosides/administration &amp;amp; dosage/*therapeutic use; Drug Combinations; Drug Compounding; Female; HIV Seropositivity/*drug therapy; Heterocyclic Compounds, 3-Ring/administration &amp;amp; dosage/*therapeutic use; Humans; Lamivudine/administration &amp;amp; dosage/*therapeutic use; Male; Oxazines; Piperazines; Pyridones; Reverse Transcriptase Inhibitors/administration &amp;amp; dosage/*therapeutic use; Spain&lt;/_subject_headings&gt;&lt;_tertiary_title&gt;Farmacia hospitalaria : organo oficial de expresion cientifica de la Sociedad _x000d__x000a_      Espanola de Farmacia Hospitalaria&lt;/_tertiary_title&gt;&lt;_type_work&gt;Journal Article&lt;/_type_work&gt;&lt;_url&gt;http://www.ncbi.nlm.nih.gov/entrez/query.fcgi?cmd=Retrieve&amp;amp;db=pubmed&amp;amp;dopt=Abstract&amp;amp;list_uids=28847249&amp;amp;query_hl=1&lt;/_url&gt;&lt;_volume&gt;41&lt;/_volume&gt;&lt;_created&gt;65687871&lt;/_created&gt;&lt;_modified&gt;65687871&lt;/_modified&gt;&lt;_impact_factor&gt;   1.400&lt;/_impact_factor&gt;&lt;_collection_scope&gt;ESCI&lt;/_collection_scope&gt;&lt;/Details&gt;&lt;Extra&gt;&lt;DBUID&gt;{DE16ABCE-A785-434C-BF43-2FE58866AFDD}&lt;/DBUID&gt;&lt;/Extra&gt;&lt;/Item&gt;&lt;/References&gt;&lt;/Group&gt;&lt;/Citation&gt;_x000a_"/>
    <w:docVar w:name="NE.Ref{57D548C0-2B84-4BEB-B8A0-8EA0E4E45657}" w:val=" ADDIN NE.Ref.{57D548C0-2B84-4BEB-B8A0-8EA0E4E45657}&lt;Citation&gt;&lt;Group&gt;&lt;References&gt;&lt;Item&gt;&lt;ID&gt;2116&lt;/ID&gt;&lt;UID&gt;{D6037EA5-3D07-4EB6-A223-93F4312C7DE7}&lt;/UID&gt;&lt;Title&gt;Fixed-dose combination bictegravir, emtricitabine, and tenofovir alafenamide  versus dolutegravir-containing regimens for initial treatment of HIV-1 infection:  week 144 results from two randomised, double-blind, multicentre, phase 3,  non-inferiority trials&lt;/Title&gt;&lt;Template&gt;Journal Article&lt;/Template&gt;&lt;Star&gt;0&lt;/Star&gt;&lt;Tag&gt;0&lt;/Tag&gt;&lt;Author&gt;Orkin, C; DeJesus, E; Sax, P E; Arribas, J R; Gupta, S K; Martorell, C; Stephens, J L; Stellbrink, H J; Wohl, D; Maggiolo, F; Thompson, M A; Podzamczer, D; Hagins, D; Flamm, J A; Brinson, C; Clarke, A; Huang, H; Acosta, R; Brainard, D M; Collins, S E; Martin, H&lt;/Author&gt;&lt;Year&gt;2020&lt;/Year&gt;&lt;Details&gt;&lt;_accession_num&gt;32504574&lt;/_accession_num&gt;&lt;_author_adr&gt;Queen Mary University of London, London, UK; Barts Health NHS Trust, Royal London  Hospital, Ambrose King Centre, London, UK.; Orlando Immunology Center, Orlando, FL, USA.; Division of Infectious Diseases, Brigham and Women&amp;apos;s Hospital and Harvard Medical  School, Boston, MA, USA.; Infectious Diseases Unit, Hospital Universitario La Paz, IdiPaz Madrid, Spain.; Department of Medicine, Division of Infectious Diseases, Indiana University  School of Medicine, Indianapolis, IN, USA.; The Research Institute, Springfield, MA, USA.; Department of Internal Medicine, Mercer University School of Medicine, Macon, GA,  USA.; Department of Internal Medicine, Infectious Diseases, University of Hamburg,  Hamburg, Germany.; Department of Medicine, Institute of Global Health and Infectious Diseases,  University of North Carolina at Chapel Hill, Chapel Hill, NC, USA.; Unit of HIV-related Diseases and Experimental Therapies, Azienda Ospedaliera Papa  Giovanni XXIII, Bergamo, Italy.; AIDS Research Consortium of Atlanta, Atlanta, GA, USA.; Infectious Disease Department, Hospital Universitari de Bellvitge, Barcelona,  Spain.; Georgia Department of Public Health, Coastal Health District, Chatham Care  Center, Savannah, GA, USA.; Department of Adult and Family Medicine, Kaiser Permanente Medical Group,  Sacramento, CA, USA.; Central Texas Clinical Research, Austin, TX, USA.; Elton John Centre, Royal Sussex County Hospital, Brighton &amp;amp; Sussex University  Hospitals NHS Trust, Brighton, UK.; Department of Biometrics, Gilead Sciences, Foster City, CA, USA.; Department of Virology, Gilead Sciences, Foster City, CA, USA.; Department of HIV Clinical Research, Gilead Sciences, Foster City, CA, USA.; Department of HIV Clinical Research, Gilead Sciences, Foster City, CA, USA.  Electronic address: sean.collins@gilead.com.; Department of HIV Clinical Research, Gilead Sciences, Foster City, CA, USA.&lt;/_author_adr&gt;&lt;_date_display&gt;2020 Jun&lt;/_date_display&gt;&lt;_date&gt;2020-06-01&lt;/_date&gt;&lt;_doi&gt;10.1016/S2352-3018(20)30099-0&lt;/_doi&gt;&lt;_isbn&gt;2352-3018 (Electronic); 2352-3018 (Linking)&lt;/_isbn&gt;&lt;_issue&gt;6&lt;/_issue&gt;&lt;_journal&gt;Lancet HIV&lt;/_journal&gt;&lt;_language&gt;eng&lt;/_language&gt;&lt;_ori_publication&gt;Copyright © 2020 Elsevier Ltd. All rights reserved.&lt;/_ori_publication&gt;&lt;_pages&gt;e389-e400&lt;/_pages&gt;&lt;_subject_headings&gt;Adenine/administration &amp;amp; dosage/adverse effects/*analogs &amp;amp; derivatives; Adult; Aged; Alanine; Dideoxynucleosides/*administration &amp;amp; dosage/adverse effects; Double-Blind Method; Drug Administration Schedule; Drug Combinations; Emtricitabine/*administration &amp;amp; dosage/adverse effects; Female; HIV Infections/*drug therapy/virology; HIV-1/genetics; Heterocyclic Compounds, 3-Ring/*administration &amp;amp; dosage/adverse effects; Heterocyclic Compounds, 4 or More Rings/*administration &amp;amp; dosage/adverse effects; Humans; Lamivudine/*administration &amp;amp; dosage/adverse effects; Male; Middle Aged; Oxazines; Piperazines; Pyridones; RNA, Viral/blood; Tenofovir/*administration &amp;amp; dosage/adverse effects; Treatment Outcome; Young Adult&lt;/_subject_headings&gt;&lt;_tertiary_title&gt;The lancet. HIV&lt;/_tertiary_title&gt;&lt;_type_work&gt;Clinical Trial, Phase III; Comparative Study; Equivalence Trial; Journal Article; Multicenter Study; Research Support, Non-U.S. Gov&amp;apos;t&lt;/_type_work&gt;&lt;_url&gt;http://www.ncbi.nlm.nih.gov/entrez/query.fcgi?cmd=Retrieve&amp;amp;db=pubmed&amp;amp;dopt=Abstract&amp;amp;list_uids=32504574&amp;amp;query_hl=1&lt;/_url&gt;&lt;_volume&gt;7&lt;/_volume&gt;&lt;_created&gt;65687859&lt;/_created&gt;&lt;_modified&gt;65687859&lt;/_modified&gt;&lt;_impact_factor&gt;  16.100&lt;/_impact_factor&gt;&lt;_social_category&gt;免疫学(1) &amp;amp; 传染病学(1)&lt;/_social_category&gt;&lt;_collection_scope&gt;SCIE&lt;/_collection_scope&gt;&lt;/Details&gt;&lt;Extra&gt;&lt;DBUID&gt;{DE16ABCE-A785-434C-BF43-2FE58866AFDD}&lt;/DBUID&gt;&lt;/Extra&gt;&lt;/Item&gt;&lt;/References&gt;&lt;/Group&gt;&lt;/Citation&gt;_x000a_"/>
    <w:docVar w:name="NE.Ref{58FFD806-682C-49BD-A5EC-774F8924C6D8}" w:val=" ADDIN NE.Ref.{58FFD806-682C-49BD-A5EC-774F8924C6D8}&lt;Citation&gt;&lt;Group&gt;&lt;References&gt;&lt;Item&gt;&lt;ID&gt;2102&lt;/ID&gt;&lt;UID&gt;{B78ED396-471B-47E7-B4ED-6E3DDF45DFD4}&lt;/UID&gt;&lt;Title&gt;world development indicators2023. https://databank.worldbank.org/source/world-development-indicators(accessed 2013-2023External health expenditure per capita, PPP (current international $)).&lt;/Title&gt;&lt;Template&gt;Journal Article&lt;/Template&gt;&lt;Star&gt;0&lt;/Star&gt;&lt;Tag&gt;0&lt;/Tag&gt;&lt;Author/&gt;&lt;Year&gt;0&lt;/Year&gt;&lt;Details&gt;&lt;_accessed&gt;65657700&lt;/_accessed&gt;&lt;_created&gt;65657700&lt;/_created&gt;&lt;_modified&gt;65657700&lt;/_modified&gt;&lt;/Details&gt;&lt;Extra&gt;&lt;DBUID&gt;{DE16ABCE-A785-434C-BF43-2FE58866AFDD}&lt;/DBUID&gt;&lt;/Extra&gt;&lt;/Item&gt;&lt;/References&gt;&lt;/Group&gt;&lt;/Citation&gt;_x000a_"/>
    <w:docVar w:name="NE.Ref{5B664630-BB70-4DE6-ADC9-650A98D2AA67}" w:val=" ADDIN NE.Ref.{5B664630-BB70-4DE6-ADC9-650A98D2AA67}&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5F10374C-F5F9-4922-9533-D0FBE058B456}" w:val=" ADDIN NE.Ref.{5F10374C-F5F9-4922-9533-D0FBE058B456}&lt;Citation&gt;&lt;Group&gt;&lt;References&gt;&lt;Item&gt;&lt;ID&gt;2115&lt;/ID&gt;&lt;UID&gt;{0676DFA0-45A5-4D86-B003-ABD57284FB34}&lt;/UID&gt;&lt;Title&gt;GBD. 2023. https://vizhub.healthdata.org/gbd-results/. Accessed2023&lt;/Title&gt;&lt;Template&gt;Journal Article&lt;/Template&gt;&lt;Star&gt;0&lt;/Star&gt;&lt;Tag&gt;0&lt;/Tag&gt;&lt;Author/&gt;&lt;Year&gt;0&lt;/Year&gt;&lt;Details&gt;&lt;_accessed&gt;65687858&lt;/_accessed&gt;&lt;_created&gt;65687858&lt;/_created&gt;&lt;_modified&gt;65687858&lt;/_modified&gt;&lt;/Details&gt;&lt;Extra&gt;&lt;DBUID&gt;{DE16ABCE-A785-434C-BF43-2FE58866AFDD}&lt;/DBUID&gt;&lt;/Extra&gt;&lt;/Item&gt;&lt;/References&gt;&lt;/Group&gt;&lt;/Citation&gt;_x000a_"/>
    <w:docVar w:name="NE.Ref{5F3EC6C3-BDF8-47F7-B073-7A6CEFBF220E}" w:val=" ADDIN NE.Ref.{5F3EC6C3-BDF8-47F7-B073-7A6CEFBF220E}&lt;Citation&gt;&lt;Group&gt;&lt;References&gt;&lt;Item&gt;&lt;ID&gt;2091&lt;/ID&gt;&lt;UID&gt;{C538DD8E-5999-4130-B410-46B31272688A}&lt;/UID&gt;&lt;Title&gt;The risk of sexual transmission of HIV in individuals with low-level HIV  viraemia: a systematic review&lt;/Title&gt;&lt;Template&gt;Journal Article&lt;/Template&gt;&lt;Star&gt;0&lt;/Star&gt;&lt;Tag&gt;0&lt;/Tag&gt;&lt;Author&gt;Broyles, L N; Luo, R; Boeras, D; Vojnov, L&lt;/Author&gt;&lt;Year&gt;2023&lt;/Year&gt;&lt;Details&gt;&lt;_accession_num&gt;37490935&lt;/_accession_num&gt;&lt;_author_adr&gt;Global Health Impact Group, Atlanta, GA, USA.; Global Health Impact Group, Atlanta, GA, USA.; Global Health Impact Group, Atlanta, GA, USA.; WHO, Geneva, Switzerland. Electronic address: vojnovl@who.int.&lt;/_author_adr&gt;&lt;_collection_scope&gt;SCIE&lt;/_collection_scope&gt;&lt;_created&gt;65657619&lt;/_created&gt;&lt;_date&gt;2023-08-05&lt;/_date&gt;&lt;_date_display&gt;2023 Aug 5&lt;/_date_display&gt;&lt;_doi&gt;10.1016/S0140-6736(23)00877-2&lt;/_doi&gt;&lt;_impact_factor&gt; 168.900&lt;/_impact_factor&gt;&lt;_isbn&gt;1474-547X (Electronic); 0140-6736 (Print); 0140-6736 (Linking)&lt;/_isbn&gt;&lt;_issue&gt;10400&lt;/_issue&gt;&lt;_journal&gt;Lancet&lt;/_journal&gt;&lt;_language&gt;eng&lt;/_language&gt;&lt;_modified&gt;65657619&lt;/_modified&gt;&lt;_ori_publication&gt;© 2023 World Health Organization. Published by Elsevier Ltd. All rights reserved. _x000d__x000a_      This is an Open Access article published under the CC BY 3.0 IGO license which _x000d__x000a_      permits unrestricted use, distribution, and reproduction in any medium, provided _x000d__x000a_      the original work is properly cited. In any use of this article, there should be _x000d__x000a_      no suggestion that WHO endorses any specific organisation, products or services. _x000d__x000a_      The use of the WHO logo is not permitted. This notice should be preserved along _x000d__x000a_      with the article&amp;apos;s original URL.&lt;/_ori_publication&gt;&lt;_pages&gt;464-471&lt;/_pages&gt;&lt;_social_category&gt;医学：内科(1)&lt;/_social_category&gt;&lt;_subject_headings&gt;Humans; *HIV Infections; *Anti-HIV Agents/therapeutic use; Prospective Studies; Viremia/drug therapy; Viral Load&lt;/_subject_headings&gt;&lt;_tertiary_title&gt;Lancet (London, England)&lt;/_tertiary_title&gt;&lt;_type_work&gt;Journal Article; Research Support, Non-U.S. Gov&amp;apos;t; Systematic Review&lt;/_type_work&gt;&lt;_url&gt;http://www.ncbi.nlm.nih.gov/entrez/query.fcgi?cmd=Retrieve&amp;amp;db=pubmed&amp;amp;dopt=Abstract&amp;amp;list_uids=37490935&amp;amp;query_hl=1&lt;/_url&gt;&lt;_volume&gt;402&lt;/_volume&gt;&lt;/Details&gt;&lt;Extra&gt;&lt;DBUID&gt;{DE16ABCE-A785-434C-BF43-2FE58866AFDD}&lt;/DBUID&gt;&lt;/Extra&gt;&lt;/Item&gt;&lt;/References&gt;&lt;/Group&gt;&lt;/Citation&gt;_x000a_"/>
    <w:docVar w:name="NE.Ref{6524DA6F-DB07-4A72-8615-E4DF72C93A33}" w:val=" ADDIN NE.Ref.{6524DA6F-DB07-4A72-8615-E4DF72C93A33}&lt;Citation&gt;&lt;Group&gt;&lt;References&gt;&lt;Item&gt;&lt;ID&gt;2116&lt;/ID&gt;&lt;UID&gt;{D6037EA5-3D07-4EB6-A223-93F4312C7DE7}&lt;/UID&gt;&lt;Title&gt;Fixed-dose combination bictegravir, emtricitabine, and tenofovir alafenamide  versus dolutegravir-containing regimens for initial treatment of HIV-1 infection:  week 144 results from two randomised, double-blind, multicentre, phase 3,  non-inferiority trials&lt;/Title&gt;&lt;Template&gt;Journal Article&lt;/Template&gt;&lt;Star&gt;0&lt;/Star&gt;&lt;Tag&gt;0&lt;/Tag&gt;&lt;Author&gt;Orkin, C; DeJesus, E; Sax, P E; Arribas, J R; Gupta, S K; Martorell, C; Stephens, J L; Stellbrink, H J; Wohl, D; Maggiolo, F; Thompson, M A; Podzamczer, D; Hagins, D; Flamm, J A; Brinson, C; Clarke, A; Huang, H; Acosta, R; Brainard, D M; Collins, S E; Martin, H&lt;/Author&gt;&lt;Year&gt;2020&lt;/Year&gt;&lt;Details&gt;&lt;_accession_num&gt;32504574&lt;/_accession_num&gt;&lt;_author_adr&gt;Queen Mary University of London, London, UK; Barts Health NHS Trust, Royal London  Hospital, Ambrose King Centre, London, UK.; Orlando Immunology Center, Orlando, FL, USA.; Division of Infectious Diseases, Brigham and Women&amp;apos;s Hospital and Harvard Medical  School, Boston, MA, USA.; Infectious Diseases Unit, Hospital Universitario La Paz, IdiPaz Madrid, Spain.; Department of Medicine, Division of Infectious Diseases, Indiana University  School of Medicine, Indianapolis, IN, USA.; The Research Institute, Springfield, MA, USA.; Department of Internal Medicine, Mercer University School of Medicine, Macon, GA,  USA.; Department of Internal Medicine, Infectious Diseases, University of Hamburg,  Hamburg, Germany.; Department of Medicine, Institute of Global Health and Infectious Diseases,  University of North Carolina at Chapel Hill, Chapel Hill, NC, USA.; Unit of HIV-related Diseases and Experimental Therapies, Azienda Ospedaliera Papa  Giovanni XXIII, Bergamo, Italy.; AIDS Research Consortium of Atlanta, Atlanta, GA, USA.; Infectious Disease Department, Hospital Universitari de Bellvitge, Barcelona,  Spain.; Georgia Department of Public Health, Coastal Health District, Chatham Care  Center, Savannah, GA, USA.; Department of Adult and Family Medicine, Kaiser Permanente Medical Group,  Sacramento, CA, USA.; Central Texas Clinical Research, Austin, TX, USA.; Elton John Centre, Royal Sussex County Hospital, Brighton &amp;amp; Sussex University  Hospitals NHS Trust, Brighton, UK.; Department of Biometrics, Gilead Sciences, Foster City, CA, USA.; Department of Virology, Gilead Sciences, Foster City, CA, USA.; Department of HIV Clinical Research, Gilead Sciences, Foster City, CA, USA.; Department of HIV Clinical Research, Gilead Sciences, Foster City, CA, USA.  Electronic address: sean.collins@gilead.com.; Department of HIV Clinical Research, Gilead Sciences, Foster City, CA, USA.&lt;/_author_adr&gt;&lt;_date_display&gt;2020 Jun&lt;/_date_display&gt;&lt;_date&gt;2020-06-01&lt;/_date&gt;&lt;_doi&gt;10.1016/S2352-3018(20)30099-0&lt;/_doi&gt;&lt;_isbn&gt;2352-3018 (Electronic); 2352-3018 (Linking)&lt;/_isbn&gt;&lt;_issue&gt;6&lt;/_issue&gt;&lt;_journal&gt;Lancet HIV&lt;/_journal&gt;&lt;_language&gt;eng&lt;/_language&gt;&lt;_ori_publication&gt;Copyright © 2020 Elsevier Ltd. All rights reserved.&lt;/_ori_publication&gt;&lt;_pages&gt;e389-e400&lt;/_pages&gt;&lt;_subject_headings&gt;Adenine/administration &amp;amp; dosage/adverse effects/*analogs &amp;amp; derivatives; Adult; Aged; Alanine; Dideoxynucleosides/*administration &amp;amp; dosage/adverse effects; Double-Blind Method; Drug Administration Schedule; Drug Combinations; Emtricitabine/*administration &amp;amp; dosage/adverse effects; Female; HIV Infections/*drug therapy/virology; HIV-1/genetics; Heterocyclic Compounds, 3-Ring/*administration &amp;amp; dosage/adverse effects; Heterocyclic Compounds, 4 or More Rings/*administration &amp;amp; dosage/adverse effects; Humans; Lamivudine/*administration &amp;amp; dosage/adverse effects; Male; Middle Aged; Oxazines; Piperazines; Pyridones; RNA, Viral/blood; Tenofovir/*administration &amp;amp; dosage/adverse effects; Treatment Outcome; Young Adult&lt;/_subject_headings&gt;&lt;_tertiary_title&gt;The lancet. HIV&lt;/_tertiary_title&gt;&lt;_type_work&gt;Clinical Trial, Phase III; Comparative Study; Equivalence Trial; Journal Article; Multicenter Study; Research Support, Non-U.S. Gov&amp;apos;t&lt;/_type_work&gt;&lt;_url&gt;http://www.ncbi.nlm.nih.gov/entrez/query.fcgi?cmd=Retrieve&amp;amp;db=pubmed&amp;amp;dopt=Abstract&amp;amp;list_uids=32504574&amp;amp;query_hl=1&lt;/_url&gt;&lt;_volume&gt;7&lt;/_volume&gt;&lt;_created&gt;65687859&lt;/_created&gt;&lt;_modified&gt;65687859&lt;/_modified&gt;&lt;_impact_factor&gt;  16.100&lt;/_impact_factor&gt;&lt;_social_category&gt;免疫学(1) &amp;amp; 传染病学(1)&lt;/_social_category&gt;&lt;_collection_scope&gt;SCIE&lt;/_collection_scope&gt;&lt;/Details&gt;&lt;Extra&gt;&lt;DBUID&gt;{DE16ABCE-A785-434C-BF43-2FE58866AFDD}&lt;/DBUID&gt;&lt;/Extra&gt;&lt;/Item&gt;&lt;/References&gt;&lt;/Group&gt;&lt;/Citation&gt;_x000a_"/>
    <w:docVar w:name="NE.Ref{68F0FDA0-15A3-445C-AD94-31A52A8F3383}" w:val=" ADDIN NE.Ref.{68F0FDA0-15A3-445C-AD94-31A52A8F3383}&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6B982B2F-EBC0-435F-93B8-1CAB39DB581E}" w:val=" ADDIN NE.Ref.{6B982B2F-EBC0-435F-93B8-1CAB39DB581E}&lt;Citation&gt;&lt;Group&gt;&lt;References&gt;&lt;Item&gt;&lt;ID&gt;2102&lt;/ID&gt;&lt;UID&gt;{B78ED396-471B-47E7-B4ED-6E3DDF45DFD4}&lt;/UID&gt;&lt;Title&gt;world development indicators2023. https://databank.worldbank.org/source/world-development-indicators(accessed 2013-2023External health expenditure per capita, PPP (current international $)).&lt;/Title&gt;&lt;Template&gt;Journal Article&lt;/Template&gt;&lt;Star&gt;0&lt;/Star&gt;&lt;Tag&gt;0&lt;/Tag&gt;&lt;Author/&gt;&lt;Year&gt;0&lt;/Year&gt;&lt;Details&gt;&lt;_accessed&gt;65657700&lt;/_accessed&gt;&lt;_created&gt;65657700&lt;/_created&gt;&lt;_modified&gt;65657700&lt;/_modified&gt;&lt;/Details&gt;&lt;Extra&gt;&lt;DBUID&gt;{DE16ABCE-A785-434C-BF43-2FE58866AFDD}&lt;/DBUID&gt;&lt;/Extra&gt;&lt;/Item&gt;&lt;/References&gt;&lt;/Group&gt;&lt;/Citation&gt;_x000a_"/>
    <w:docVar w:name="NE.Ref{6EE204EE-EDA8-403C-AECC-991221198824}" w:val=" ADDIN NE.Ref.{6EE204EE-EDA8-403C-AECC-991221198824}&lt;Citation&gt;&lt;Group&gt;&lt;References&gt;&lt;Item&gt;&lt;ID&gt;2116&lt;/ID&gt;&lt;UID&gt;{D6037EA5-3D07-4EB6-A223-93F4312C7DE7}&lt;/UID&gt;&lt;Title&gt;Fixed-dose combination bictegravir, emtricitabine, and tenofovir alafenamide  versus dolutegravir-containing regimens for initial treatment of HIV-1 infection:  week 144 results from two randomised, double-blind, multicentre, phase 3,  non-inferiority trials&lt;/Title&gt;&lt;Template&gt;Journal Article&lt;/Template&gt;&lt;Star&gt;0&lt;/Star&gt;&lt;Tag&gt;0&lt;/Tag&gt;&lt;Author&gt;Orkin, C; DeJesus, E; Sax, P E; Arribas, J R; Gupta, S K; Martorell, C; Stephens, J L; Stellbrink, H J; Wohl, D; Maggiolo, F; Thompson, M A; Podzamczer, D; Hagins, D; Flamm, J A; Brinson, C; Clarke, A; Huang, H; Acosta, R; Brainard, D M; Collins, S E; Martin, H&lt;/Author&gt;&lt;Year&gt;2020&lt;/Year&gt;&lt;Details&gt;&lt;_accession_num&gt;32504574&lt;/_accession_num&gt;&lt;_author_adr&gt;Queen Mary University of London, London, UK; Barts Health NHS Trust, Royal London  Hospital, Ambrose King Centre, London, UK.; Orlando Immunology Center, Orlando, FL, USA.; Division of Infectious Diseases, Brigham and Women&amp;apos;s Hospital and Harvard Medical  School, Boston, MA, USA.; Infectious Diseases Unit, Hospital Universitario La Paz, IdiPaz Madrid, Spain.; Department of Medicine, Division of Infectious Diseases, Indiana University  School of Medicine, Indianapolis, IN, USA.; The Research Institute, Springfield, MA, USA.; Department of Internal Medicine, Mercer University School of Medicine, Macon, GA,  USA.; Department of Internal Medicine, Infectious Diseases, University of Hamburg,  Hamburg, Germany.; Department of Medicine, Institute of Global Health and Infectious Diseases,  University of North Carolina at Chapel Hill, Chapel Hill, NC, USA.; Unit of HIV-related Diseases and Experimental Therapies, Azienda Ospedaliera Papa  Giovanni XXIII, Bergamo, Italy.; AIDS Research Consortium of Atlanta, Atlanta, GA, USA.; Infectious Disease Department, Hospital Universitari de Bellvitge, Barcelona,  Spain.; Georgia Department of Public Health, Coastal Health District, Chatham Care  Center, Savannah, GA, USA.; Department of Adult and Family Medicine, Kaiser Permanente Medical Group,  Sacramento, CA, USA.; Central Texas Clinical Research, Austin, TX, USA.; Elton John Centre, Royal Sussex County Hospital, Brighton &amp;amp; Sussex University  Hospitals NHS Trust, Brighton, UK.; Department of Biometrics, Gilead Sciences, Foster City, CA, USA.; Department of Virology, Gilead Sciences, Foster City, CA, USA.; Department of HIV Clinical Research, Gilead Sciences, Foster City, CA, USA.; Department of HIV Clinical Research, Gilead Sciences, Foster City, CA, USA.  Electronic address: sean.collins@gilead.com.; Department of HIV Clinical Research, Gilead Sciences, Foster City, CA, USA.&lt;/_author_adr&gt;&lt;_collection_scope&gt;SCIE&lt;/_collection_scope&gt;&lt;_created&gt;65687859&lt;/_created&gt;&lt;_date&gt;2020-06-01&lt;/_date&gt;&lt;_date_display&gt;2020 Jun&lt;/_date_display&gt;&lt;_doi&gt;10.1016/S2352-3018(20)30099-0&lt;/_doi&gt;&lt;_impact_factor&gt;  16.100&lt;/_impact_factor&gt;&lt;_isbn&gt;2352-3018 (Electronic); 2352-3018 (Linking)&lt;/_isbn&gt;&lt;_issue&gt;6&lt;/_issue&gt;&lt;_journal&gt;Lancet HIV&lt;/_journal&gt;&lt;_language&gt;eng&lt;/_language&gt;&lt;_modified&gt;65687859&lt;/_modified&gt;&lt;_ori_publication&gt;Copyright © 2020 Elsevier Ltd. All rights reserved.&lt;/_ori_publication&gt;&lt;_pages&gt;e389-e400&lt;/_pages&gt;&lt;_social_category&gt;免疫学(1) &amp;amp; 传染病学(1)&lt;/_social_category&gt;&lt;_subject_headings&gt;Adenine/administration &amp;amp; dosage/adverse effects/*analogs &amp;amp; derivatives; Adult; Aged; Alanine; Dideoxynucleosides/*administration &amp;amp; dosage/adverse effects; Double-Blind Method; Drug Administration Schedule; Drug Combinations; Emtricitabine/*administration &amp;amp; dosage/adverse effects; Female; HIV Infections/*drug therapy/virology; HIV-1/genetics; Heterocyclic Compounds, 3-Ring/*administration &amp;amp; dosage/adverse effects; Heterocyclic Compounds, 4 or More Rings/*administration &amp;amp; dosage/adverse effects; Humans; Lamivudine/*administration &amp;amp; dosage/adverse effects; Male; Middle Aged; Oxazines; Piperazines; Pyridones; RNA, Viral/blood; Tenofovir/*administration &amp;amp; dosage/adverse effects; Treatment Outcome; Young Adult&lt;/_subject_headings&gt;&lt;_tertiary_title&gt;The lancet. HIV&lt;/_tertiary_title&gt;&lt;_type_work&gt;Clinical Trial, Phase III; Comparative Study; Equivalence Trial; Journal Article; Multicenter Study; Research Support, Non-U.S. Gov&amp;apos;t&lt;/_type_work&gt;&lt;_url&gt;http://www.ncbi.nlm.nih.gov/entrez/query.fcgi?cmd=Retrieve&amp;amp;db=pubmed&amp;amp;dopt=Abstract&amp;amp;list_uids=32504574&amp;amp;query_hl=1&lt;/_url&gt;&lt;_volume&gt;7&lt;/_volume&gt;&lt;/Details&gt;&lt;Extra&gt;&lt;DBUID&gt;{DE16ABCE-A785-434C-BF43-2FE58866AFDD}&lt;/DBUID&gt;&lt;/Extra&gt;&lt;/Item&gt;&lt;/References&gt;&lt;/Group&gt;&lt;/Citation&gt;_x000a_"/>
    <w:docVar w:name="NE.Ref{70057C6A-8A4E-411E-8339-10D6051E94ED}" w:val=" ADDIN NE.Ref.{70057C6A-8A4E-411E-8339-10D6051E94ED}&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date_display&gt;2021 Jul 1&lt;/_date_display&gt;&lt;_date&gt;2021-07-01&lt;/_date&gt;&lt;_doi&gt;10.1093/cid/ciaa822&lt;/_doi&gt;&lt;_isbn&gt;1537-6591 (Electronic); 1058-4838 (Print); 1058-4838 (Linking)&lt;/_isbn&gt;&lt;_issue&gt;1&lt;/_issue&gt;&lt;_journal&gt;Clin Infect Dis&lt;/_journal&gt;&lt;_keywords&gt;HIV-1; NNRTI; doravirine; efavirenz; treatment-naive&lt;/_keywords&gt;&lt;_language&gt;eng&lt;/_language&gt;&lt;_ori_publication&gt;© The Author(s) 2020. Published by Oxford University Press for the Infectious _x000d__x000a_      Diseases Society of America.&lt;/_ori_publication&gt;&lt;_pages&gt;33-42&lt;/_pages&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_created&gt;65687866&lt;/_created&gt;&lt;_modified&gt;65687866&lt;/_modified&gt;&lt;_impact_factor&gt;  11.800&lt;/_impact_factor&gt;&lt;_social_category&gt;免疫学(1) &amp;amp; 传染病学(1) &amp;amp; 微生物学(1)&lt;/_social_category&gt;&lt;_collection_scope&gt;SCIE&lt;/_collection_scope&gt;&lt;/Details&gt;&lt;Extra&gt;&lt;DBUID&gt;{DE16ABCE-A785-434C-BF43-2FE58866AFDD}&lt;/DBUID&gt;&lt;/Extra&gt;&lt;/Item&gt;&lt;/References&gt;&lt;/Group&gt;&lt;/Citation&gt;_x000a_"/>
    <w:docVar w:name="NE.Ref{713C635D-BFAD-4CA6-9C8C-05830DC87196}" w:val=" ADDIN NE.Ref.{713C635D-BFAD-4CA6-9C8C-05830DC87196}&lt;Citation&gt;&lt;Group&gt;&lt;References&gt;&lt;Item&gt;&lt;ID&gt;2091&lt;/ID&gt;&lt;UID&gt;{C538DD8E-5999-4130-B410-46B31272688A}&lt;/UID&gt;&lt;Title&gt;The risk of sexual transmission of HIV in individuals with low-level HIV  viraemia: a systematic review&lt;/Title&gt;&lt;Template&gt;Journal Article&lt;/Template&gt;&lt;Star&gt;0&lt;/Star&gt;&lt;Tag&gt;0&lt;/Tag&gt;&lt;Author&gt;Broyles, L N; Luo, R; Boeras, D; Vojnov, L&lt;/Author&gt;&lt;Year&gt;2023&lt;/Year&gt;&lt;Details&gt;&lt;_accession_num&gt;37490935&lt;/_accession_num&gt;&lt;_author_adr&gt;Global Health Impact Group, Atlanta, GA, USA.; Global Health Impact Group, Atlanta, GA, USA.; Global Health Impact Group, Atlanta, GA, USA.; WHO, Geneva, Switzerland. Electronic address: vojnovl@who.int.&lt;/_author_adr&gt;&lt;_collection_scope&gt;SCIE&lt;/_collection_scope&gt;&lt;_created&gt;65657619&lt;/_created&gt;&lt;_date&gt;2023-08-05&lt;/_date&gt;&lt;_date_display&gt;2023 Aug 5&lt;/_date_display&gt;&lt;_doi&gt;10.1016/S0140-6736(23)00877-2&lt;/_doi&gt;&lt;_impact_factor&gt; 168.900&lt;/_impact_factor&gt;&lt;_isbn&gt;1474-547X (Electronic); 0140-6736 (Print); 0140-6736 (Linking)&lt;/_isbn&gt;&lt;_issue&gt;10400&lt;/_issue&gt;&lt;_journal&gt;Lancet&lt;/_journal&gt;&lt;_language&gt;eng&lt;/_language&gt;&lt;_modified&gt;65657619&lt;/_modified&gt;&lt;_ori_publication&gt;© 2023 World Health Organization. Published by Elsevier Ltd. All rights reserved. _x000d__x000a_      This is an Open Access article published under the CC BY 3.0 IGO license which _x000d__x000a_      permits unrestricted use, distribution, and reproduction in any medium, provided _x000d__x000a_      the original work is properly cited. In any use of this article, there should be _x000d__x000a_      no suggestion that WHO endorses any specific organisation, products or services. _x000d__x000a_      The use of the WHO logo is not permitted. This notice should be preserved along _x000d__x000a_      with the article&amp;apos;s original URL.&lt;/_ori_publication&gt;&lt;_pages&gt;464-471&lt;/_pages&gt;&lt;_social_category&gt;医学：内科(1)&lt;/_social_category&gt;&lt;_subject_headings&gt;Humans; *HIV Infections; *Anti-HIV Agents/therapeutic use; Prospective Studies; Viremia/drug therapy; Viral Load&lt;/_subject_headings&gt;&lt;_tertiary_title&gt;Lancet (London, England)&lt;/_tertiary_title&gt;&lt;_type_work&gt;Journal Article; Research Support, Non-U.S. Gov&amp;apos;t; Systematic Review&lt;/_type_work&gt;&lt;_url&gt;http://www.ncbi.nlm.nih.gov/entrez/query.fcgi?cmd=Retrieve&amp;amp;db=pubmed&amp;amp;dopt=Abstract&amp;amp;list_uids=37490935&amp;amp;query_hl=1&lt;/_url&gt;&lt;_volume&gt;402&lt;/_volume&gt;&lt;/Details&gt;&lt;Extra&gt;&lt;DBUID&gt;{DE16ABCE-A785-434C-BF43-2FE58866AFDD}&lt;/DBUID&gt;&lt;/Extra&gt;&lt;/Item&gt;&lt;/References&gt;&lt;/Group&gt;&lt;/Citation&gt;_x000a_"/>
    <w:docVar w:name="NE.Ref{730B8DE4-FC2B-4D5D-A52A-BE73023C10A2}" w:val=" ADDIN NE.Ref.{730B8DE4-FC2B-4D5D-A52A-BE73023C10A2}&lt;Citation&gt;&lt;Group&gt;&lt;References&gt;&lt;Item&gt;&lt;ID&gt;2121&lt;/ID&gt;&lt;UID&gt;{C3883B4D-443F-48F5-8A6B-688B3A5C49B7}&lt;/UID&gt;&lt;Title&gt;Bictegravir/emtricitabine/tenofovir alafenamide ensures high rates of virological  suppression maintenance despite previous resistance in PLWH who optimize  treatment in clinical practice&lt;/Title&gt;&lt;Template&gt;Journal Article&lt;/Template&gt;&lt;Star&gt;0&lt;/Star&gt;&lt;Tag&gt;0&lt;/Tag&gt;&lt;Author&gt;Armenia, D; Forbici, F; Bertoli, A; Berno, G; Malagnino, V; Gagliardini, R; Borghi, V; Gennari, W; Cicalini, S; Buonomini, A; Teti, E; Lanini, S; Latini, A; Sarmati, L; Mussini, C; Andreoni, M; Antinori, A; Perno, C F; Ceccherini-Silberstein, F; Santoro, M M&lt;/Author&gt;&lt;Year&gt;2022&lt;/Year&gt;&lt;Details&gt;&lt;_accession_num&gt;35793776&lt;/_accession_num&gt;&lt;_author_adr&gt;Saint Camillus International University of Health Sciences, Rome, Italy.; National Institute for Infectious Diseases Lazzaro Spallanzani, IRCCS, Rome,  Italy.; University of Rome &amp;apos;Tor Vergata&amp;apos;, Rome, Italy; Polyclinic of Rome &amp;apos;Tor Vergata&amp;apos;,  Rome, Italy.; National Institute for Infectious Diseases Lazzaro Spallanzani, IRCCS, Rome,  Italy.; Polyclinic of Rome &amp;apos;Tor Vergata&amp;apos;, Rome, Italy.; National Institute for Infectious Diseases Lazzaro Spallanzani, IRCCS, Rome,  Italy.; Polyclinic of Modena, Modena, Italy.; Polyclinic of Modena, Modena, Italy.; National Institute for Infectious Diseases Lazzaro Spallanzani, IRCCS, Rome,  Italy.; San Gallicano Dermatological Institute, IRCCS, Rome, Italy.; Polyclinic of Rome &amp;apos;Tor Vergata&amp;apos;, Rome, Italy.; National Institute for Infectious Diseases Lazzaro Spallanzani, IRCCS, Rome,  Italy.; San Gallicano Dermatological Institute, IRCCS, Rome, Italy.; Polyclinic of Rome &amp;apos;Tor Vergata&amp;apos;, Rome, Italy.; Polyclinic of Modena, Modena, Italy.; Polyclinic of Rome &amp;apos;Tor Vergata&amp;apos;, Rome, Italy.; National Institute for Infectious Diseases Lazzaro Spallanzani, IRCCS, Rome,  Italy.; Bambino Gesù Children&amp;apos;s Hospital, Rome, Italy.; University of Rome &amp;apos;Tor Vergata&amp;apos;, Rome, Italy.; University of Rome &amp;apos;Tor Vergata&amp;apos;, Rome, Italy. Electronic address:  santormaria@gmail.com.&lt;/_author_adr&gt;&lt;_collection_scope&gt;SCIE&lt;/_collection_scope&gt;&lt;_created&gt;65687866&lt;/_created&gt;&lt;_date&gt;2022-09-01&lt;/_date&gt;&lt;_date_display&gt;2022 Sep&lt;/_date_display&gt;&lt;_doi&gt;10.1016/j.jgar.2022.06.027&lt;/_doi&gt;&lt;_impact_factor&gt;   4.600&lt;/_impact_factor&gt;&lt;_isbn&gt;2213-7173 (Electronic); 2213-7165 (Linking)&lt;/_isbn&gt;&lt;_journal&gt;J Glob Antimicrob Resist&lt;/_journal&gt;&lt;_keywords&gt;Bictegravir; HIV drug resistance; Integrase inhibitors; Treatment optimization strategies; Virological response&lt;/_keywords&gt;&lt;_language&gt;eng&lt;/_language&gt;&lt;_modified&gt;65687866&lt;/_modified&gt;&lt;_ori_publication&gt;Copyright © 2022 The Authors. Published by Elsevier Ltd.. All rights reserved.&lt;/_ori_publication&gt;&lt;_pages&gt;326-334&lt;/_pages&gt;&lt;_social_category&gt;传染病学(4) &amp;amp; 药学(3)&lt;/_social_category&gt;&lt;_subject_headings&gt;Adenine/therapeutic use; Alanine; Amides; *Anti-HIV Agents/therapeutic use; Drug Combinations; Emtricitabine/therapeutic use; *HIV Infections/drug therapy; *HIV Integrase Inhibitors/therapeutic use; *HIV-1/genetics; Heterocyclic Compounds, 3-Ring; Heterocyclic Compounds, 4 or More Rings/therapeutic use; Humans; Piperazines; Pyridones; Tenofovir/analogs &amp;amp; derivatives&lt;/_subject_headings&gt;&lt;_tertiary_title&gt;Journal of global antimicrobial resistance&lt;/_tertiary_title&gt;&lt;_type_work&gt;Journal Article; Research Support, Non-U.S. Gov&amp;apos;t&lt;/_type_work&gt;&lt;_url&gt;http://www.ncbi.nlm.nih.gov/entrez/query.fcgi?cmd=Retrieve&amp;amp;db=pubmed&amp;amp;dopt=Abstract&amp;amp;list_uids=35793776&amp;amp;query_hl=1&lt;/_url&gt;&lt;_volume&gt;30&lt;/_volume&gt;&lt;/Details&gt;&lt;Extra&gt;&lt;DBUID&gt;{DE16ABCE-A785-434C-BF43-2FE58866AFDD}&lt;/DBUID&gt;&lt;/Extra&gt;&lt;/Item&gt;&lt;/References&gt;&lt;/Group&gt;&lt;/Citation&gt;_x000a_"/>
    <w:docVar w:name="NE.Ref{7DF89328-D694-44BF-B8B5-7F4C7749044D}" w:val=" ADDIN NE.Ref.{7DF89328-D694-44BF-B8B5-7F4C7749044D}&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7EC504F2-8448-4C5F-A463-A6B638DCB663}" w:val=" ADDIN NE.Ref.{7EC504F2-8448-4C5F-A463-A6B638DCB663}&lt;Citation&gt;&lt;Group&gt;&lt;References&gt;&lt;Item&gt;&lt;ID&gt;2103&lt;/ID&gt;&lt;UID&gt;{802FBB06-5C6D-47FE-A5DC-89AEDC2F8530}&lt;/UID&gt;&lt;Title&gt;Sexual Activity Without Condoms and Risk of HIV Transmission in Serodifferent  Couples When the HIV-Positive Partner Is Using Suppressive Antiretroviral  Therapy&lt;/Title&gt;&lt;Template&gt;Journal Article&lt;/Template&gt;&lt;Star&gt;0&lt;/Star&gt;&lt;Tag&gt;0&lt;/Tag&gt;&lt;Author&gt;Rodger, A J; Cambiano, V; Bruun, T; Vernazza, P; Collins, S; van Lunzen, J; Corbelli, G M; Estrada, V; Geretti, A M; Beloukas, A; Asboe, D; Viciana, P; Gutiérrez, F; Clotet, B; Pradier, C; Gerstoft, J; Weber, R; Westling, K; Wandeler, G; Prins, J M; Rieger, A; Stoeckle, M; Kümmerle, T; Bini, T; Ammassari, A; Gilson, R; Krznaric, I; Ristola, M; Zangerle, R; Handberg, P; Antela, A; Allan, S; Phillips, A N; Lundgren, J&lt;/Author&gt;&lt;Year&gt;2016&lt;/Year&gt;&lt;Details&gt;&lt;_accession_num&gt;27404185&lt;/_accession_num&gt;&lt;_author_adr&gt;Research Department of Infection and Population Health, University College  London, London, United Kingdom.; Research Department of Infection and Population Health, University College  London, London, United Kingdom.; Department of Infectious Diseases/CHIP, Rigshospitalet, University of Copenhagen,  Copenhagen, Denmark.; Division of Infectious Diseases and Hospital Epidemiology, Cantonal Hospital, St  Gallen, Switzerland.; HIV i-Base, London, United Kingdom.; University Medical Center Hamburg-Eppendorf, Hamburg-Eppendorf, Germany.; European AIDS Treatment Group, Bruxelles, Belgium.; Hospital Clinico San Carlos and Universidad Complutense, Madrid, Spain.; Institute of Infection and Global Health, University of Liverpool, Liverpool,  United Kingdom.; Institute of Infection and Global Health, University of Liverpool, Liverpool,  United Kingdom.; Chelsea and Westminster NHS Foundation Trust, London, United Kingdom.; Hospital Virgen del Rocío, Sevilla, Spain.; Hospital General de Elche &amp;amp; Universidad Miguel Hernández, Alicante, Spain.; IrsiCaixa Foundation, UAB, UVIC-UCC, Hospital Universitari &amp;quot;Germans Trias i  Pujol,&amp;quot; Badalona, Catalonia, Spain.; Department of Public Health, Nice University Hospital and EA 6312, University  Nice Sophia-Antipolis, France.; Rigshospitalet, Copenhagen, Denmark.; Division of Infectious Diseases and Hospital Epidemiology, University Hospital  Zurich, University of Zurich, Zurich, Switzerland.; Unit of Infectious Diseases and Dermatology, Department of Medicine, Karolinska  Institutet, and Department of Infectious Diseases, Karolinska University  Hospital, Stockholm, Sweden.; Department of Infectious Diseases, Bern University Hospital, University of Bern,  Bern, Switzerland.; Academic Medical Center, Amsterdam, the Netherlands.; Medical University of Vienna, Vienna, Austria.; Division of Infectious Diseases and Hospital Epidemiology, University Hospital  Basel, Basel, Switzerland.; Department of Internal Medicine 1, University Hospital of Cologne, Cologne,  Germany.; Ospedal San Paolo, Milan, Italy.; Ospedale L. Spallanzani, Roma, Italy.; Research Department of Infection and Population Health, University College  London, London, United Kingdom.; Praxis Driesener Straße, Berlin, Germany.; Helsinki University Central Hospital, Helsinki, Finland.; Medical University Innsbruck, Innsbruck, Austria.; Hvidovre Universitets Hospital, Hvidovre, Denamrk.; Hospital Clínico Universitario de Santiago de Compostela, Santiago de Compostela,  Spain.; Coventry and Warwickshire Hospital, Coventry, United Kingdom.; Research Department of Infection and Population Health, University College  London, London, United Kingdom.; Department of Infectious Diseases/CHIP, Rigshospitalet, University of Copenhagen,  Copenhagen, Denmark.&lt;/_author_adr&gt;&lt;_collection_scope&gt;SCIE&lt;/_collection_scope&gt;&lt;_created&gt;65673477&lt;/_created&gt;&lt;_date&gt;2016-07-12&lt;/_date&gt;&lt;_date_display&gt;2016 Jul 12&lt;/_date_display&gt;&lt;_doi&gt;10.1001/jama.2016.5148&lt;/_doi&gt;&lt;_impact_factor&gt; 120.700&lt;/_impact_factor&gt;&lt;_isbn&gt;1538-3598 (Electronic); 0098-7484 (Linking)&lt;/_isbn&gt;&lt;_issue&gt;2&lt;/_issue&gt;&lt;_journal&gt;JAMA&lt;/_journal&gt;&lt;_language&gt;eng&lt;/_language&gt;&lt;_modified&gt;65673477&lt;/_modified&gt;&lt;_pages&gt;171-81&lt;/_pages&gt;&lt;_social_category&gt;医学：内科(1)&lt;/_social_category&gt;&lt;_subject_headings&gt;Adult; Anti-HIV Agents/therapeutic use; Condoms; Europe; Family Characteristics; Female; HIV Infections/*transmission; HIV Seronegativity; HIV Seropositivity; *HIV-1/classification/enzymology; Humans; Male; Middle Aged; Phylogeny; Prospective Studies; RNA, Viral; Risk; *Sexual Behavior; *Sexual Partners; *Unsafe Sex; Viral Load&lt;/_subject_headings&gt;&lt;_tertiary_title&gt;JAMA&lt;/_tertiary_title&gt;&lt;_type_work&gt;Journal Article; Multicenter Study; Observational Study; Research Support, Non-U.S. Gov&amp;apos;t&lt;/_type_work&gt;&lt;_url&gt;http://www.ncbi.nlm.nih.gov/entrez/query.fcgi?cmd=Retrieve&amp;amp;db=pubmed&amp;amp;dopt=Abstract&amp;amp;list_uids=27404185&amp;amp;query_hl=1&lt;/_url&gt;&lt;_volume&gt;316&lt;/_volume&gt;&lt;/Details&gt;&lt;Extra&gt;&lt;DBUID&gt;{DE16ABCE-A785-434C-BF43-2FE58866AFDD}&lt;/DBUID&gt;&lt;/Extra&gt;&lt;/Item&gt;&lt;/References&gt;&lt;/Group&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Citation&gt;_x000a_"/>
    <w:docVar w:name="NE.Ref{8863E125-B252-4B06-835A-EBA9A61A1A0B}" w:val=" ADDIN NE.Ref.{8863E125-B252-4B06-835A-EBA9A61A1A0B}&lt;Citation&gt;&lt;Group&gt;&lt;References&gt;&lt;Item&gt;&lt;ID&gt;2091&lt;/ID&gt;&lt;UID&gt;{C538DD8E-5999-4130-B410-46B31272688A}&lt;/UID&gt;&lt;Title&gt;The risk of sexual transmission of HIV in individuals with low-level HIV  viraemia: a systematic review&lt;/Title&gt;&lt;Template&gt;Journal Article&lt;/Template&gt;&lt;Star&gt;0&lt;/Star&gt;&lt;Tag&gt;0&lt;/Tag&gt;&lt;Author&gt;Broyles, L N; Luo, R; Boeras, D; Vojnov, L&lt;/Author&gt;&lt;Year&gt;2023&lt;/Year&gt;&lt;Details&gt;&lt;_accession_num&gt;37490935&lt;/_accession_num&gt;&lt;_author_adr&gt;Global Health Impact Group, Atlanta, GA, USA.; Global Health Impact Group, Atlanta, GA, USA.; Global Health Impact Group, Atlanta, GA, USA.; WHO, Geneva, Switzerland. Electronic address: vojnovl@who.int.&lt;/_author_adr&gt;&lt;_collection_scope&gt;SCIE&lt;/_collection_scope&gt;&lt;_created&gt;65657619&lt;/_created&gt;&lt;_date&gt;2023-08-05&lt;/_date&gt;&lt;_date_display&gt;2023 Aug 5&lt;/_date_display&gt;&lt;_doi&gt;10.1016/S0140-6736(23)00877-2&lt;/_doi&gt;&lt;_impact_factor&gt; 168.900&lt;/_impact_factor&gt;&lt;_isbn&gt;1474-547X (Electronic); 0140-6736 (Print); 0140-6736 (Linking)&lt;/_isbn&gt;&lt;_issue&gt;10400&lt;/_issue&gt;&lt;_journal&gt;Lancet&lt;/_journal&gt;&lt;_language&gt;eng&lt;/_language&gt;&lt;_modified&gt;65657619&lt;/_modified&gt;&lt;_ori_publication&gt;© 2023 World Health Organization. Published by Elsevier Ltd. All rights reserved. _x000d__x000a_      This is an Open Access article published under the CC BY 3.0 IGO license which _x000d__x000a_      permits unrestricted use, distribution, and reproduction in any medium, provided _x000d__x000a_      the original work is properly cited. In any use of this article, there should be _x000d__x000a_      no suggestion that WHO endorses any specific organisation, products or services. _x000d__x000a_      The use of the WHO logo is not permitted. This notice should be preserved along _x000d__x000a_      with the article&amp;apos;s original URL.&lt;/_ori_publication&gt;&lt;_pages&gt;464-471&lt;/_pages&gt;&lt;_social_category&gt;医学：内科(1)&lt;/_social_category&gt;&lt;_subject_headings&gt;Humans; *HIV Infections; *Anti-HIV Agents/therapeutic use; Prospective Studies; Viremia/drug therapy; Viral Load&lt;/_subject_headings&gt;&lt;_tertiary_title&gt;Lancet (London, England)&lt;/_tertiary_title&gt;&lt;_type_work&gt;Journal Article; Research Support, Non-U.S. Gov&amp;apos;t; Systematic Review&lt;/_type_work&gt;&lt;_url&gt;http://www.ncbi.nlm.nih.gov/entrez/query.fcgi?cmd=Retrieve&amp;amp;db=pubmed&amp;amp;dopt=Abstract&amp;amp;list_uids=37490935&amp;amp;query_hl=1&lt;/_url&gt;&lt;_volume&gt;402&lt;/_volume&gt;&lt;/Details&gt;&lt;Extra&gt;&lt;DBUID&gt;{DE16ABCE-A785-434C-BF43-2FE58866AFDD}&lt;/DBUID&gt;&lt;/Extra&gt;&lt;/Item&gt;&lt;/References&gt;&lt;/Group&gt;&lt;/Citation&gt;_x000a_"/>
    <w:docVar w:name="NE.Ref{8B5E9F1B-FDD4-4548-A787-5964AF425DD9}" w:val=" ADDIN NE.Ref.{8B5E9F1B-FDD4-4548-A787-5964AF425DD9}&lt;Citation&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Group&gt;&lt;References&gt;&lt;Item&gt;&lt;ID&gt;2114&lt;/ID&gt;&lt;UID&gt;{E2AB6310-F349-4982-8E10-6071592173DE}&lt;/UID&gt;&lt;Title&gt;Jiangsu Provincial Price Bureau, Notice on the Implementation Plan for the Comprehensive Reform of Medical and Drug Prices in Provincial (Ministry-Level) Public Hospitals (Su Jia Yi [2015] No. 284).(in Chinese)&lt;/Title&gt;&lt;Template&gt;Journal Article&lt;/Template&gt;&lt;Star&gt;0&lt;/Star&gt;&lt;Tag&gt;0&lt;/Tag&gt;&lt;Author/&gt;&lt;Year&gt;0&lt;/Year&gt;&lt;Details&gt;&lt;_accessed&gt;65683778&lt;/_accessed&gt;&lt;_created&gt;65683778&lt;/_created&gt;&lt;_modified&gt;65683778&lt;/_modified&gt;&lt;/Details&gt;&lt;Extra&gt;&lt;DBUID&gt;{DE16ABCE-A785-434C-BF43-2FE58866AFDD}&lt;/DBUID&gt;&lt;/Extra&gt;&lt;/Item&gt;&lt;/References&gt;&lt;/Group&gt;&lt;/Citation&gt;_x000a_"/>
    <w:docVar w:name="NE.Ref{8C1418B6-6347-4CAB-B0A1-4577941839BE}" w:val=" ADDIN NE.Ref.{8C1418B6-6347-4CAB-B0A1-4577941839BE}&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date_display&gt;2021 Jul 1&lt;/_date_display&gt;&lt;_date&gt;2021-07-01&lt;/_date&gt;&lt;_doi&gt;10.1093/cid/ciaa822&lt;/_doi&gt;&lt;_isbn&gt;1537-6591 (Electronic); 1058-4838 (Print); 1058-4838 (Linking)&lt;/_isbn&gt;&lt;_issue&gt;1&lt;/_issue&gt;&lt;_journal&gt;Clin Infect Dis&lt;/_journal&gt;&lt;_keywords&gt;HIV-1; NNRTI; doravirine; efavirenz; treatment-naive&lt;/_keywords&gt;&lt;_language&gt;eng&lt;/_language&gt;&lt;_ori_publication&gt;© The Author(s) 2020. Published by Oxford University Press for the Infectious _x000d__x000a_      Diseases Society of America.&lt;/_ori_publication&gt;&lt;_pages&gt;33-42&lt;/_pages&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_created&gt;65687866&lt;/_created&gt;&lt;_modified&gt;65687866&lt;/_modified&gt;&lt;_impact_factor&gt;  11.800&lt;/_impact_factor&gt;&lt;_social_category&gt;免疫学(1) &amp;amp; 传染病学(1) &amp;amp; 微生物学(1)&lt;/_social_category&gt;&lt;_collection_scope&gt;SCIE&lt;/_collection_scope&gt;&lt;/Details&gt;&lt;Extra&gt;&lt;DBUID&gt;{DE16ABCE-A785-434C-BF43-2FE58866AFDD}&lt;/DBUID&gt;&lt;/Extra&gt;&lt;/Item&gt;&lt;/References&gt;&lt;/Group&gt;&lt;/Citation&gt;_x000a_"/>
    <w:docVar w:name="NE.Ref{8E0C57E6-773D-435A-972A-9043B0FEBC84}" w:val=" ADDIN NE.Ref.{8E0C57E6-773D-435A-972A-9043B0FEBC84}&lt;Citation&gt;&lt;Group&gt;&lt;References&gt;&lt;Item&gt;&lt;ID&gt;2103&lt;/ID&gt;&lt;UID&gt;{802FBB06-5C6D-47FE-A5DC-89AEDC2F8530}&lt;/UID&gt;&lt;Title&gt;Sexual Activity Without Condoms and Risk of HIV Transmission in Serodifferent  Couples When the HIV-Positive Partner Is Using Suppressive Antiretroviral  Therapy&lt;/Title&gt;&lt;Template&gt;Journal Article&lt;/Template&gt;&lt;Star&gt;0&lt;/Star&gt;&lt;Tag&gt;0&lt;/Tag&gt;&lt;Author&gt;Rodger, A J; Cambiano, V; Bruun, T; Vernazza, P; Collins, S; van Lunzen, J; Corbelli, G M; Estrada, V; Geretti, A M; Beloukas, A; Asboe, D; Viciana, P; Gutiérrez, F; Clotet, B; Pradier, C; Gerstoft, J; Weber, R; Westling, K; Wandeler, G; Prins, J M; Rieger, A; Stoeckle, M; Kümmerle, T; Bini, T; Ammassari, A; Gilson, R; Krznaric, I; Ristola, M; Zangerle, R; Handberg, P; Antela, A; Allan, S; Phillips, A N; Lundgren, J&lt;/Author&gt;&lt;Year&gt;2016&lt;/Year&gt;&lt;Details&gt;&lt;_accession_num&gt;27404185&lt;/_accession_num&gt;&lt;_author_adr&gt;Research Department of Infection and Population Health, University College  London, London, United Kingdom.; Research Department of Infection and Population Health, University College  London, London, United Kingdom.; Department of Infectious Diseases/CHIP, Rigshospitalet, University of Copenhagen,  Copenhagen, Denmark.; Division of Infectious Diseases and Hospital Epidemiology, Cantonal Hospital, St  Gallen, Switzerland.; HIV i-Base, London, United Kingdom.; University Medical Center Hamburg-Eppendorf, Hamburg-Eppendorf, Germany.; European AIDS Treatment Group, Bruxelles, Belgium.; Hospital Clinico San Carlos and Universidad Complutense, Madrid, Spain.; Institute of Infection and Global Health, University of Liverpool, Liverpool,  United Kingdom.; Institute of Infection and Global Health, University of Liverpool, Liverpool,  United Kingdom.; Chelsea and Westminster NHS Foundation Trust, London, United Kingdom.; Hospital Virgen del Rocío, Sevilla, Spain.; Hospital General de Elche &amp;amp; Universidad Miguel Hernández, Alicante, Spain.; IrsiCaixa Foundation, UAB, UVIC-UCC, Hospital Universitari &amp;quot;Germans Trias i  Pujol,&amp;quot; Badalona, Catalonia, Spain.; Department of Public Health, Nice University Hospital and EA 6312, University  Nice Sophia-Antipolis, France.; Rigshospitalet, Copenhagen, Denmark.; Division of Infectious Diseases and Hospital Epidemiology, University Hospital  Zurich, University of Zurich, Zurich, Switzerland.; Unit of Infectious Diseases and Dermatology, Department of Medicine, Karolinska  Institutet, and Department of Infectious Diseases, Karolinska University  Hospital, Stockholm, Sweden.; Department of Infectious Diseases, Bern University Hospital, University of Bern,  Bern, Switzerland.; Academic Medical Center, Amsterdam, the Netherlands.; Medical University of Vienna, Vienna, Austria.; Division of Infectious Diseases and Hospital Epidemiology, University Hospital  Basel, Basel, Switzerland.; Department of Internal Medicine 1, University Hospital of Cologne, Cologne,  Germany.; Ospedal San Paolo, Milan, Italy.; Ospedale L. Spallanzani, Roma, Italy.; Research Department of Infection and Population Health, University College  London, London, United Kingdom.; Praxis Driesener Straße, Berlin, Germany.; Helsinki University Central Hospital, Helsinki, Finland.; Medical University Innsbruck, Innsbruck, Austria.; Hvidovre Universitets Hospital, Hvidovre, Denamrk.; Hospital Clínico Universitario de Santiago de Compostela, Santiago de Compostela,  Spain.; Coventry and Warwickshire Hospital, Coventry, United Kingdom.; Research Department of Infection and Population Health, University College  London, London, United Kingdom.; Department of Infectious Diseases/CHIP, Rigshospitalet, University of Copenhagen,  Copenhagen, Denmark.&lt;/_author_adr&gt;&lt;_collection_scope&gt;SCIE&lt;/_collection_scope&gt;&lt;_created&gt;65673477&lt;/_created&gt;&lt;_date&gt;2016-07-12&lt;/_date&gt;&lt;_date_display&gt;2016 Jul 12&lt;/_date_display&gt;&lt;_doi&gt;10.1001/jama.2016.5148&lt;/_doi&gt;&lt;_impact_factor&gt; 120.700&lt;/_impact_factor&gt;&lt;_isbn&gt;1538-3598 (Electronic); 0098-7484 (Linking)&lt;/_isbn&gt;&lt;_issue&gt;2&lt;/_issue&gt;&lt;_journal&gt;JAMA&lt;/_journal&gt;&lt;_language&gt;eng&lt;/_language&gt;&lt;_modified&gt;65673477&lt;/_modified&gt;&lt;_pages&gt;171-81&lt;/_pages&gt;&lt;_social_category&gt;医学：内科(1)&lt;/_social_category&gt;&lt;_subject_headings&gt;Adult; Anti-HIV Agents/therapeutic use; Condoms; Europe; Family Characteristics; Female; HIV Infections/*transmission; HIV Seronegativity; HIV Seropositivity; *HIV-1/classification/enzymology; Humans; Male; Middle Aged; Phylogeny; Prospective Studies; RNA, Viral; Risk; *Sexual Behavior; *Sexual Partners; *Unsafe Sex; Viral Load&lt;/_subject_headings&gt;&lt;_tertiary_title&gt;JAMA&lt;/_tertiary_title&gt;&lt;_type_work&gt;Journal Article; Multicenter Study; Observational Study; Research Support, Non-U.S. Gov&amp;apos;t&lt;/_type_work&gt;&lt;_url&gt;http://www.ncbi.nlm.nih.gov/entrez/query.fcgi?cmd=Retrieve&amp;amp;db=pubmed&amp;amp;dopt=Abstract&amp;amp;list_uids=27404185&amp;amp;query_hl=1&lt;/_url&gt;&lt;_volume&gt;316&lt;/_volume&gt;&lt;/Details&gt;&lt;Extra&gt;&lt;DBUID&gt;{DE16ABCE-A785-434C-BF43-2FE58866AFDD}&lt;/DBUID&gt;&lt;/Extra&gt;&lt;/Item&gt;&lt;/References&gt;&lt;/Group&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Group&gt;&lt;References&gt;&lt;Item&gt;&lt;ID&gt;2102&lt;/ID&gt;&lt;UID&gt;{B78ED396-471B-47E7-B4ED-6E3DDF45DFD4}&lt;/UID&gt;&lt;Title&gt;world development indicators2023. https://databank.worldbank.org/source/world-development-indicators(accessed 2013-2023External health expenditure per capita, PPP (current international $)).&lt;/Title&gt;&lt;Template&gt;Journal Article&lt;/Template&gt;&lt;Star&gt;0&lt;/Star&gt;&lt;Tag&gt;0&lt;/Tag&gt;&lt;Author/&gt;&lt;Year&gt;0&lt;/Year&gt;&lt;Details&gt;&lt;_accessed&gt;65657700&lt;/_accessed&gt;&lt;_created&gt;65657700&lt;/_created&gt;&lt;_modified&gt;65657700&lt;/_modified&gt;&lt;/Details&gt;&lt;Extra&gt;&lt;DBUID&gt;{DE16ABCE-A785-434C-BF43-2FE58866AFDD}&lt;/DBUID&gt;&lt;/Extra&gt;&lt;/Item&gt;&lt;/References&gt;&lt;/Group&gt;&lt;/Citation&gt;_x000a_"/>
    <w:docVar w:name="NE.Ref{99D8ED70-2209-442B-9055-691B82E4A04A}" w:val=" ADDIN NE.Ref.{99D8ED70-2209-442B-9055-691B82E4A04A}&lt;Citation&gt;&lt;Group&gt;&lt;References&gt;&lt;Item&gt;&lt;ID&gt;2113&lt;/ID&gt;&lt;UID&gt;{074D9521-4CF8-4F51-84F1-F7747DB2E6CB}&lt;/UID&gt;&lt;Title&gt;Bai, W.L., Pan, S.M., &amp;amp; Wang, A.L., Sexual Behavior and Relationships of Contemporary Chinese People. Social Sciences Academic Press, 2004.(in Chinese)&lt;/Title&gt;&lt;Template&gt;Journal Article&lt;/Template&gt;&lt;Star&gt;0&lt;/Star&gt;&lt;Tag&gt;0&lt;/Tag&gt;&lt;Author/&gt;&lt;Year&gt;0&lt;/Year&gt;&lt;Details&gt;&lt;_accessed&gt;65683777&lt;/_accessed&gt;&lt;_created&gt;65683777&lt;/_created&gt;&lt;_modified&gt;65683777&lt;/_modified&gt;&lt;/Details&gt;&lt;Extra&gt;&lt;DBUID&gt;{DE16ABCE-A785-434C-BF43-2FE58866AFDD}&lt;/DBUID&gt;&lt;/Extra&gt;&lt;/Item&gt;&lt;/References&gt;&lt;/Group&gt;&lt;/Citation&gt;_x000a_"/>
    <w:docVar w:name="NE.Ref{9DF5E72D-3DBD-46DE-830C-AE3F5F6A0CCB}" w:val=" ADDIN NE.Ref.{9DF5E72D-3DBD-46DE-830C-AE3F5F6A0CCB}&lt;Citation&gt;&lt;Group&gt;&lt;References&gt;&lt;Item&gt;&lt;ID&gt;2103&lt;/ID&gt;&lt;UID&gt;{802FBB06-5C6D-47FE-A5DC-89AEDC2F8530}&lt;/UID&gt;&lt;Title&gt;Sexual Activity Without Condoms and Risk of HIV Transmission in Serodifferent  Couples When the HIV-Positive Partner Is Using Suppressive Antiretroviral  Therapy&lt;/Title&gt;&lt;Template&gt;Journal Article&lt;/Template&gt;&lt;Star&gt;0&lt;/Star&gt;&lt;Tag&gt;0&lt;/Tag&gt;&lt;Author&gt;Rodger, A J; Cambiano, V; Bruun, T; Vernazza, P; Collins, S; van Lunzen, J; Corbelli, G M; Estrada, V; Geretti, A M; Beloukas, A; Asboe, D; Viciana, P; Gutiérrez, F; Clotet, B; Pradier, C; Gerstoft, J; Weber, R; Westling, K; Wandeler, G; Prins, J M; Rieger, A; Stoeckle, M; Kümmerle, T; Bini, T; Ammassari, A; Gilson, R; Krznaric, I; Ristola, M; Zangerle, R; Handberg, P; Antela, A; Allan, S; Phillips, A N; Lundgren, J&lt;/Author&gt;&lt;Year&gt;2016&lt;/Year&gt;&lt;Details&gt;&lt;_accession_num&gt;27404185&lt;/_accession_num&gt;&lt;_author_adr&gt;Research Department of Infection and Population Health, University College  London, London, United Kingdom.; Research Department of Infection and Population Health, University College  London, London, United Kingdom.; Department of Infectious Diseases/CHIP, Rigshospitalet, University of Copenhagen,  Copenhagen, Denmark.; Division of Infectious Diseases and Hospital Epidemiology, Cantonal Hospital, St  Gallen, Switzerland.; HIV i-Base, London, United Kingdom.; University Medical Center Hamburg-Eppendorf, Hamburg-Eppendorf, Germany.; European AIDS Treatment Group, Bruxelles, Belgium.; Hospital Clinico San Carlos and Universidad Complutense, Madrid, Spain.; Institute of Infection and Global Health, University of Liverpool, Liverpool,  United Kingdom.; Institute of Infection and Global Health, University of Liverpool, Liverpool,  United Kingdom.; Chelsea and Westminster NHS Foundation Trust, London, United Kingdom.; Hospital Virgen del Rocío, Sevilla, Spain.; Hospital General de Elche &amp;amp; Universidad Miguel Hernández, Alicante, Spain.; IrsiCaixa Foundation, UAB, UVIC-UCC, Hospital Universitari &amp;quot;Germans Trias i  Pujol,&amp;quot; Badalona, Catalonia, Spain.; Department of Public Health, Nice University Hospital and EA 6312, University  Nice Sophia-Antipolis, France.; Rigshospitalet, Copenhagen, Denmark.; Division of Infectious Diseases and Hospital Epidemiology, University Hospital  Zurich, University of Zurich, Zurich, Switzerland.; Unit of Infectious Diseases and Dermatology, Department of Medicine, Karolinska  Institutet, and Department of Infectious Diseases, Karolinska University  Hospital, Stockholm, Sweden.; Department of Infectious Diseases, Bern University Hospital, University of Bern,  Bern, Switzerland.; Academic Medical Center, Amsterdam, the Netherlands.; Medical University of Vienna, Vienna, Austria.; Division of Infectious Diseases and Hospital Epidemiology, University Hospital  Basel, Basel, Switzerland.; Department of Internal Medicine 1, University Hospital of Cologne, Cologne,  Germany.; Ospedal San Paolo, Milan, Italy.; Ospedale L. Spallanzani, Roma, Italy.; Research Department of Infection and Population Health, University College  London, London, United Kingdom.; Praxis Driesener Straße, Berlin, Germany.; Helsinki University Central Hospital, Helsinki, Finland.; Medical University Innsbruck, Innsbruck, Austria.; Hvidovre Universitets Hospital, Hvidovre, Denamrk.; Hospital Clínico Universitario de Santiago de Compostela, Santiago de Compostela,  Spain.; Coventry and Warwickshire Hospital, Coventry, United Kingdom.; Research Department of Infection and Population Health, University College  London, London, United Kingdom.; Department of Infectious Diseases/CHIP, Rigshospitalet, University of Copenhagen,  Copenhagen, Denmark.&lt;/_author_adr&gt;&lt;_collection_scope&gt;SCIE&lt;/_collection_scope&gt;&lt;_created&gt;65673477&lt;/_created&gt;&lt;_date&gt;2016-07-12&lt;/_date&gt;&lt;_date_display&gt;2016 Jul 12&lt;/_date_display&gt;&lt;_doi&gt;10.1001/jama.2016.5148&lt;/_doi&gt;&lt;_impact_factor&gt; 120.700&lt;/_impact_factor&gt;&lt;_isbn&gt;1538-3598 (Electronic); 0098-7484 (Linking)&lt;/_isbn&gt;&lt;_issue&gt;2&lt;/_issue&gt;&lt;_journal&gt;JAMA&lt;/_journal&gt;&lt;_language&gt;eng&lt;/_language&gt;&lt;_modified&gt;65673477&lt;/_modified&gt;&lt;_pages&gt;171-81&lt;/_pages&gt;&lt;_social_category&gt;医学：内科(1)&lt;/_social_category&gt;&lt;_subject_headings&gt;Adult; Anti-HIV Agents/therapeutic use; Condoms; Europe; Family Characteristics; Female; HIV Infections/*transmission; HIV Seronegativity; HIV Seropositivity; *HIV-1/classification/enzymology; Humans; Male; Middle Aged; Phylogeny; Prospective Studies; RNA, Viral; Risk; *Sexual Behavior; *Sexual Partners; *Unsafe Sex; Viral Load&lt;/_subject_headings&gt;&lt;_tertiary_title&gt;JAMA&lt;/_tertiary_title&gt;&lt;_type_work&gt;Journal Article; Multicenter Study; Observational Study; Research Support, Non-U.S. Gov&amp;apos;t&lt;/_type_work&gt;&lt;_url&gt;http://www.ncbi.nlm.nih.gov/entrez/query.fcgi?cmd=Retrieve&amp;amp;db=pubmed&amp;amp;dopt=Abstract&amp;amp;list_uids=27404185&amp;amp;query_hl=1&lt;/_url&gt;&lt;_volume&gt;316&lt;/_volume&gt;&lt;/Details&gt;&lt;Extra&gt;&lt;DBUID&gt;{DE16ABCE-A785-434C-BF43-2FE58866AFDD}&lt;/DBUID&gt;&lt;/Extra&gt;&lt;/Item&gt;&lt;/References&gt;&lt;/Group&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Citation&gt;_x000a_"/>
    <w:docVar w:name="NE.Ref{9E010A4A-E3AF-43CA-A9D6-6A3477F4250D}" w:val=" ADDIN NE.Ref.{9E010A4A-E3AF-43CA-A9D6-6A3477F4250D}&lt;Citation&gt;&lt;Group&gt;&lt;References&gt;&lt;Item&gt;&lt;ID&gt;2094&lt;/ID&gt;&lt;UID&gt;{7070121D-627D-4933-965D-7F0D8D7F5DFB}&lt;/UID&gt;&lt;Title&gt;Cost-effectiveness analysis of dolutegravir plus backbone compared with  raltegravir plus backbone, darunavir+ritonavir plus backbone and  efavirenz/tenofovir/emtricitabine in treatment naïve and experienced HIV-positive  patients&lt;/Title&gt;&lt;Template&gt;Journal Article&lt;/Template&gt;&lt;Star&gt;0&lt;/Star&gt;&lt;Tag&gt;0&lt;/Tag&gt;&lt;Author&gt;Restelli, U; Rizzardini, G; Antinori, A; Lazzarin, A; Bonfanti, M; Bonfanti, P; Croce, D&lt;/Author&gt;&lt;Year&gt;2017&lt;/Year&gt;&lt;Details&gt;&lt;_accession_num&gt;28721059&lt;/_accession_num&gt;&lt;_author_adr&gt;Centre for Research on Health Economics, Social and Health Care Management, LIUC  - Università Cattaneo, Castellanza, Varese, Italy.; School of Public Health, Faculty of Health Sciences, University of the  Witwatersrand, Johannesburg, South Africa.; First and Second Divisions of Infectious Diseases, &amp;quot;Luigi Sacco&amp;quot; Hospital, Milan,  Italy.; School of Clinical Medicine, Faculty of Health Sciences, University of the  Witwatersrand, Johannesburg, South Africa.; National Institute for Infectious Diseases &amp;quot;L Spallanzani&amp;quot;, Rome.; Department of Infectious Diseases, San Raffaele Scientific Institute.; Centre for Research on Health Economics, Social and Health Care Management, LIUC  - Università Cattaneo, Castellanza, Varese, Italy.; Department of Infectious and Tropical Diseases, A Manzoni Hospital, Lecco, Italy.; Centre for Research on Health Economics, Social and Health Care Management, LIUC  - Università Cattaneo, Castellanza, Varese, Italy.; School of Public Health, Faculty of Health Sciences, University of the  Witwatersrand, Johannesburg, South Africa.&lt;/_author_adr&gt;&lt;_collection_scope&gt;SCIE&lt;/_collection_scope&gt;&lt;_created&gt;65657625&lt;/_created&gt;&lt;_date&gt;2017-01-20&lt;/_date&gt;&lt;_date_display&gt;2017&lt;/_date_display&gt;&lt;_doi&gt;10.2147/TCRM.S135972&lt;/_doi&gt;&lt;_impact_factor&gt;   2.800&lt;/_impact_factor&gt;&lt;_isbn&gt;1176-6336 (Print); 1178-203X (Electronic); 1176-6336 (Linking)&lt;/_isbn&gt;&lt;_journal&gt;Ther Clin Risk Manag&lt;/_journal&gt;&lt;_keywords&gt;antiretroviral therapy; cost-utility analysis; costs; economic evaluation&lt;/_keywords&gt;&lt;_language&gt;eng&lt;/_language&gt;&lt;_modified&gt;65657625&lt;/_modified&gt;&lt;_pages&gt;787-797&lt;/_pages&gt;&lt;_social_category&gt;卫生保健与服务(4)&lt;/_social_category&gt;&lt;_tertiary_title&gt;Therapeutics and clinical risk management&lt;/_tertiary_title&gt;&lt;_type_work&gt;Journal Article&lt;/_type_work&gt;&lt;_url&gt;http://www.ncbi.nlm.nih.gov/entrez/query.fcgi?cmd=Retrieve&amp;amp;db=pubmed&amp;amp;dopt=Abstract&amp;amp;list_uids=28721059&amp;amp;query_hl=1&lt;/_url&gt;&lt;_volume&gt;13&lt;/_volume&gt;&lt;/Details&gt;&lt;Extra&gt;&lt;DBUID&gt;{DE16ABCE-A785-434C-BF43-2FE58866AFDD}&lt;/DBUID&gt;&lt;/Extra&gt;&lt;/Item&gt;&lt;/References&gt;&lt;/Group&gt;&lt;/Citation&gt;_x000a_"/>
    <w:docVar w:name="NE.Ref{9FD66C2E-0AAC-48EA-93CB-FC8405F615B7}" w:val=" ADDIN NE.Ref.{9FD66C2E-0AAC-48EA-93CB-FC8405F615B7}&lt;Citation&gt;&lt;Group&gt;&lt;References&gt;&lt;Item&gt;&lt;ID&gt;2094&lt;/ID&gt;&lt;UID&gt;{7070121D-627D-4933-965D-7F0D8D7F5DFB}&lt;/UID&gt;&lt;Title&gt;Cost-effectiveness analysis of dolutegravir plus backbone compared with  raltegravir plus backbone, darunavir+ritonavir plus backbone and  efavirenz/tenofovir/emtricitabine in treatment naïve and experienced HIV-positive  patients&lt;/Title&gt;&lt;Template&gt;Journal Article&lt;/Template&gt;&lt;Star&gt;0&lt;/Star&gt;&lt;Tag&gt;0&lt;/Tag&gt;&lt;Author&gt;Restelli, U; Rizzardini, G; Antinori, A; Lazzarin, A; Bonfanti, M; Bonfanti, P; Croce, D&lt;/Author&gt;&lt;Year&gt;2017&lt;/Year&gt;&lt;Details&gt;&lt;_accession_num&gt;28721059&lt;/_accession_num&gt;&lt;_author_adr&gt;Centre for Research on Health Economics, Social and Health Care Management, LIUC  - Università Cattaneo, Castellanza, Varese, Italy.; School of Public Health, Faculty of Health Sciences, University of the  Witwatersrand, Johannesburg, South Africa.; First and Second Divisions of Infectious Diseases, &amp;quot;Luigi Sacco&amp;quot; Hospital, Milan,  Italy.; School of Clinical Medicine, Faculty of Health Sciences, University of the  Witwatersrand, Johannesburg, South Africa.; National Institute for Infectious Diseases &amp;quot;L Spallanzani&amp;quot;, Rome.; Department of Infectious Diseases, San Raffaele Scientific Institute.; Centre for Research on Health Economics, Social and Health Care Management, LIUC  - Università Cattaneo, Castellanza, Varese, Italy.; Department of Infectious and Tropical Diseases, A Manzoni Hospital, Lecco, Italy.; Centre for Research on Health Economics, Social and Health Care Management, LIUC  - Università Cattaneo, Castellanza, Varese, Italy.; School of Public Health, Faculty of Health Sciences, University of the  Witwatersrand, Johannesburg, South Africa.&lt;/_author_adr&gt;&lt;_collection_scope&gt;SCIE&lt;/_collection_scope&gt;&lt;_created&gt;65657625&lt;/_created&gt;&lt;_date&gt;2017-01-20&lt;/_date&gt;&lt;_date_display&gt;2017&lt;/_date_display&gt;&lt;_doi&gt;10.2147/TCRM.S135972&lt;/_doi&gt;&lt;_impact_factor&gt;   2.800&lt;/_impact_factor&gt;&lt;_isbn&gt;1176-6336 (Print); 1178-203X (Electronic); 1176-6336 (Linking)&lt;/_isbn&gt;&lt;_journal&gt;Ther Clin Risk Manag&lt;/_journal&gt;&lt;_keywords&gt;antiretroviral therapy; cost-utility analysis; costs; economic evaluation&lt;/_keywords&gt;&lt;_language&gt;eng&lt;/_language&gt;&lt;_modified&gt;65657625&lt;/_modified&gt;&lt;_pages&gt;787-797&lt;/_pages&gt;&lt;_social_category&gt;卫生保健与服务(4)&lt;/_social_category&gt;&lt;_tertiary_title&gt;Therapeutics and clinical risk management&lt;/_tertiary_title&gt;&lt;_type_work&gt;Journal Article&lt;/_type_work&gt;&lt;_url&gt;http://www.ncbi.nlm.nih.gov/entrez/query.fcgi?cmd=Retrieve&amp;amp;db=pubmed&amp;amp;dopt=Abstract&amp;amp;list_uids=28721059&amp;amp;query_hl=1&lt;/_url&gt;&lt;_volume&gt;13&lt;/_volume&gt;&lt;/Details&gt;&lt;Extra&gt;&lt;DBUID&gt;{DE16ABCE-A785-434C-BF43-2FE58866AFDD}&lt;/DBUID&gt;&lt;/Extra&gt;&lt;/Item&gt;&lt;/References&gt;&lt;/Group&gt;&lt;Group&gt;&lt;References&gt;&lt;Item&gt;&lt;ID&gt;2114&lt;/ID&gt;&lt;UID&gt;{E2AB6310-F349-4982-8E10-6071592173DE}&lt;/UID&gt;&lt;Title&gt;Jiangsu Provincial Price Bureau, Notice on the Implementation Plan for the Comprehensive Reform of Medical and Drug Prices in Provincial (Ministry-Level) Public Hospitals (Su Jia Yi [2015] No. 284).(in Chinese)&lt;/Title&gt;&lt;Template&gt;Journal Article&lt;/Template&gt;&lt;Star&gt;0&lt;/Star&gt;&lt;Tag&gt;0&lt;/Tag&gt;&lt;Author/&gt;&lt;Year&gt;0&lt;/Year&gt;&lt;Details&gt;&lt;_accessed&gt;65683778&lt;/_accessed&gt;&lt;_created&gt;65683778&lt;/_created&gt;&lt;_modified&gt;65683778&lt;/_modified&gt;&lt;/Details&gt;&lt;Extra&gt;&lt;DBUID&gt;{DE16ABCE-A785-434C-BF43-2FE58866AFDD}&lt;/DBUID&gt;&lt;/Extra&gt;&lt;/Item&gt;&lt;/References&gt;&lt;/Group&gt;&lt;/Citation&gt;_x000a_"/>
    <w:docVar w:name="NE.Ref{A09FE736-3A76-4CB3-A8DE-707FBC59274B}" w:val=" ADDIN NE.Ref.{A09FE736-3A76-4CB3-A8DE-707FBC59274B}&lt;Citation&gt;&lt;Group&gt;&lt;References&gt;&lt;Item&gt;&lt;ID&gt;2099&lt;/ID&gt;&lt;UID&gt;{ED61AB35-D99B-4D3C-8766-26A7CFCFCD84}&lt;/UID&gt;&lt;Title&gt;Cost-utility analysis of the fixed-dose combination of  dolutegravir/abacavir/lamivudine as initial treatment of HIV+ patients in Spain&lt;/Title&gt;&lt;Template&gt;Journal Article&lt;/Template&gt;&lt;Star&gt;0&lt;/Star&gt;&lt;Tag&gt;0&lt;/Tag&gt;&lt;Author&gt;Moreno, Guillen S; Losa, García JE; Berenguer, Berenguer J; Martínez, Sesmero JM; Cenoz, Gomis S; Graefenhain, R; Lopez, Sanchez-Cambronero D; Parrondo, Garcia FJ&lt;/Author&gt;&lt;Year&gt;2017&lt;/Year&gt;&lt;Details&gt;&lt;_accession_num&gt;28847249&lt;/_accession_num&gt;&lt;_author_adr&gt;Servicio de Enfermedades Infecciosas. Hospital Ramon y Cajal, Madrid.  smguillen@salud.madrid.org.; Sección Infecciosas, Departamento de Medicina Interna, Hospital Universitario  Fundación Alcorcón, Madrid.. jelosag@telefonica.net.; Servicio de Enfermedades Infecciosas, Hospital Gregorio Marañón, Madrid..  jbb4@me.com.; Departamento de Farmacia, Complejo Hospitalario de Toledo, Toledo..  jmanuelms@sescam.jccm.es.; ViiV Healthcare España, Madrid.. santiago.g.cenoz-gomis@viivhealthcare.com.; ViiV Healthcare España, Madrid.. ruth.x.graefenhain@viivhealthcare.com.; ViiV Healthcare España, Madrid.. david.j.lopez@viivhealthcare.com.; JParrondo-HEALTH, Coslada, Madrid.. javierparrondo@jparrondo.es.&lt;/_author_adr&gt;&lt;_collection_scope&gt;ESCI&lt;/_collection_scope&gt;&lt;_created&gt;65657635&lt;/_created&gt;&lt;_date&gt;2017-09-01&lt;/_date&gt;&lt;_date_display&gt;2017 Sep 1&lt;/_date_display&gt;&lt;_doi&gt;10.7399/fh.10808&lt;/_doi&gt;&lt;_impact_factor&gt;   1.400&lt;/_impact_factor&gt;&lt;_isbn&gt;2171-8695 (Electronic); 1130-6343 (Linking)&lt;/_isbn&gt;&lt;_issue&gt;5&lt;/_issue&gt;&lt;_journal&gt;Farm Hosp&lt;/_journal&gt;&lt;_language&gt;eng&lt;/_language&gt;&lt;_modified&gt;65657635&lt;/_modified&gt;&lt;_ori_publication&gt;Copyright AULA MEDICA EDICIONES 2014. Published by AULA MEDICA. All rights _x000d__x000a_      reserved.&lt;/_ori_publication&gt;&lt;_pages&gt;601-610&lt;/_pages&gt;&lt;_subject_headings&gt;Adult; Anti-HIV Agents/administration &amp;amp; dosage/*therapeutic use; Antiretroviral Therapy, Highly Active/*methods; Cost-Benefit Analysis; Dideoxynucleosides/administration &amp;amp; dosage/*therapeutic use; Drug Combinations; Drug Compounding; Female; HIV Seropositivity/*drug therapy; Heterocyclic Compounds, 3-Ring/administration &amp;amp; dosage/*therapeutic use; Humans; Lamivudine/administration &amp;amp; dosage/*therapeutic use; Male; Oxazines; Piperazines; Pyridones; Reverse Transcriptase Inhibitors/administration &amp;amp; dosage/*therapeutic use; Spain&lt;/_subject_headings&gt;&lt;_tertiary_title&gt;Farmacia hospitalaria : organo oficial de expresion cientifica de la Sociedad _x000d__x000a_      Espanola de Farmacia Hospitalaria&lt;/_tertiary_title&gt;&lt;_type_work&gt;Journal Article&lt;/_type_work&gt;&lt;_url&gt;http://www.ncbi.nlm.nih.gov/entrez/query.fcgi?cmd=Retrieve&amp;amp;db=pubmed&amp;amp;dopt=Abstract&amp;amp;list_uids=28847249&amp;amp;query_hl=1&lt;/_url&gt;&lt;_volume&gt;41&lt;/_volume&gt;&lt;/Details&gt;&lt;Extra&gt;&lt;DBUID&gt;{DE16ABCE-A785-434C-BF43-2FE58866AFDD}&lt;/DBUID&gt;&lt;/Extra&gt;&lt;/Item&gt;&lt;/References&gt;&lt;/Group&gt;&lt;/Citation&gt;_x000a_"/>
    <w:docVar w:name="NE.Ref{A6F3888C-3563-4E29-A480-82EDE4B0E88F}" w:val=" ADDIN NE.Ref.{A6F3888C-3563-4E29-A480-82EDE4B0E88F}&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ADAECC11-288D-4606-8B0A-9D16A932B11E}" w:val=" ADDIN NE.Ref.{ADAECC11-288D-4606-8B0A-9D16A932B11E}&lt;Citation&gt;&lt;Group&gt;&lt;References&gt;&lt;Item&gt;&lt;ID&gt;2118&lt;/ID&gt;&lt;UID&gt;{EC76F809-B714-4A54-A3CC-F86777187F6A}&lt;/UID&gt;&lt;Title&gt;The Cost-effectiveness and Budget Impact of 2-Drug Dolutegravir-Lamivudine  Regimens for the Treatment of HIV Infection in the United States&lt;/Title&gt;&lt;Template&gt;Journal Article&lt;/Template&gt;&lt;Star&gt;0&lt;/Star&gt;&lt;Tag&gt;0&lt;/Tag&gt;&lt;Author&gt;Girouard, M P; Sax, P E; Parker, R A; Taiwo, B; Freedberg, K A; Gulick, R M; Weinstein, M C; Paltiel, A D; Walensky, R P&lt;/Author&gt;&lt;Year&gt;2016&lt;/Year&gt;&lt;Details&gt;&lt;_accession_num&gt;26658053&lt;/_accession_num&gt;&lt;_author_adr&gt;Medical Practice Evaluation Center Division of General Internal Medicine,  Massachusetts General Hospital.; Division of Infectious Diseases, Brigham and Women&amp;apos;s Hospital Harvard Medical  School.; Medical Practice Evaluation Center Harvard Medical School Biostatistics Center,  Massachusetts General Hospital, Boston, Massachusetts.; Division of Infectious Diseases, Northwestern University Feinberg School of  Medicine, Chicago, Illinois.; Medical Practice Evaluation Center Division of General Internal Medicine,  Massachusetts General Hospital Harvard Medical School Division of Infectious  Diseases, Massachusetts General Hospital Department of Epidemiology, Boston  University School of Public Health Department of Health Policy and Management,  Harvard T. H. Chan School of Public Health, Boston, Massachusetts.; Division of Infectious Diseases, Weill Medical College of Cornell University, New  York, New York.; Department of Health Policy and Management, Harvard T. H. Chan School of Public  Health, Boston, Massachusetts Department of Biostatistics, Harvard T. H. Chan  School of Public Health, Boston, Massachusetts.; Yale School of Public Health, New Haven, Connecticut.; Medical Practice Evaluation Center Division of General Internal Medicine,  Massachusetts General Hospital Division of Infectious Diseases, Brigham and  Women&amp;apos;s Hospital Harvard Medical School Division of Infectious Diseases,  Massachusetts General Hospital.&lt;/_author_adr&gt;&lt;_date_display&gt;2016 Mar 15&lt;/_date_display&gt;&lt;_date&gt;2016-03-15&lt;/_date&gt;&lt;_doi&gt;10.1093/cid/civ981&lt;/_doi&gt;&lt;_isbn&gt;1537-6591 (Electronic); 1058-4838 (Print); 1058-4838 (Linking)&lt;/_isbn&gt;&lt;_issue&gt;6&lt;/_issue&gt;&lt;_journal&gt;Clin Infect Dis&lt;/_journal&gt;&lt;_keywords&gt;ART; HIV; cost-effectiveness; dolutegravir; lamivudine&lt;/_keywords&gt;&lt;_language&gt;eng&lt;/_language&gt;&lt;_ori_publication&gt;© The Author 2015. Published by Oxford University Press for the Infectious _x000d__x000a_      Diseases Society of America. All rights reserved. For permissions, e-mail _x000d__x000a_      journals.permissions@oup.com.&lt;/_ori_publication&gt;&lt;_pages&gt;784-91&lt;/_pages&gt;&lt;_subject_headings&gt;Anti-HIV Agents/*economics/therapeutic use; Antiretroviral Therapy, Highly Active/economics; CD4 Lymphocyte Count; Cost-Benefit Analysis; HIV Infections/*drug therapy/*economics/epidemiology/virology; HIV Integrase Inhibitors/*economics/therapeutic use; HIV-1/drug effects; Heterocyclic Compounds, 3-Ring/*economics/therapeutic use; Humans; Lamivudine/*economics/therapeutic use; Models, Statistical; Oxazines; Piperazines; Pyridones; United States/epidemiology&lt;/_subject_headings&gt;&lt;_tertiary_title&gt;Clinical infectious diseases : an official publication of the Infectious Diseases _x000d__x000a_      Society of America&lt;/_tertiary_title&gt;&lt;_type_work&gt;Journal Article; Research Support, N.I.H., Extramural; Research Support, Non-U.S. Gov&amp;apos;t&lt;/_type_work&gt;&lt;_url&gt;http://www.ncbi.nlm.nih.gov/entrez/query.fcgi?cmd=Retrieve&amp;amp;db=pubmed&amp;amp;dopt=Abstract&amp;amp;list_uids=26658053&amp;amp;query_hl=1&lt;/_url&gt;&lt;_volume&gt;62&lt;/_volume&gt;&lt;_created&gt;65687863&lt;/_created&gt;&lt;_modified&gt;65687863&lt;/_modified&gt;&lt;_impact_factor&gt;  11.800&lt;/_impact_factor&gt;&lt;_social_category&gt;免疫学(1) &amp;amp; 传染病学(1) &amp;amp; 微生物学(1)&lt;/_social_category&gt;&lt;_collection_scope&gt;SCIE&lt;/_collection_scope&gt;&lt;/Details&gt;&lt;Extra&gt;&lt;DBUID&gt;{DE16ABCE-A785-434C-BF43-2FE58866AFDD}&lt;/DBUID&gt;&lt;/Extra&gt;&lt;/Item&gt;&lt;/References&gt;&lt;/Group&gt;&lt;/Citation&gt;_x000a_"/>
    <w:docVar w:name="NE.Ref{B68BF72C-DE91-44EA-A6B0-7C47E68352B5}" w:val=" ADDIN NE.Ref.{B68BF72C-DE91-44EA-A6B0-7C47E68352B5}&lt;Citation&gt;&lt;Group&gt;&lt;References&gt;&lt;Item&gt;&lt;ID&gt;2114&lt;/ID&gt;&lt;UID&gt;{E2AB6310-F349-4982-8E10-6071592173DE}&lt;/UID&gt;&lt;Title&gt;Jiangsu Provincial Price Bureau, Notice on the Implementation Plan for the Comprehensive Reform of Medical and Drug Prices in Provincial (Ministry-Level) Public Hospitals (Su Jia Yi [2015] No. 284).(in Chinese)&lt;/Title&gt;&lt;Template&gt;Journal Article&lt;/Template&gt;&lt;Star&gt;0&lt;/Star&gt;&lt;Tag&gt;0&lt;/Tag&gt;&lt;Author/&gt;&lt;Year&gt;0&lt;/Year&gt;&lt;Details&gt;&lt;_accessed&gt;65683778&lt;/_accessed&gt;&lt;_created&gt;65683778&lt;/_created&gt;&lt;_modified&gt;65683778&lt;/_modified&gt;&lt;/Details&gt;&lt;Extra&gt;&lt;DBUID&gt;{DE16ABCE-A785-434C-BF43-2FE58866AFDD}&lt;/DBUID&gt;&lt;/Extra&gt;&lt;/Item&gt;&lt;/References&gt;&lt;/Group&gt;&lt;/Citation&gt;_x000a_"/>
    <w:docVar w:name="NE.Ref{BB2E5603-875E-4D84-A5B2-A8C004A1D847}" w:val=" ADDIN NE.Ref.{BB2E5603-875E-4D84-A5B2-A8C004A1D847}&lt;Citation&gt;&lt;Group&gt;&lt;References&gt;&lt;Item&gt;&lt;ID&gt;2112&lt;/ID&gt;&lt;UID&gt;{A48C424B-1E57-46CD-B93C-D8FFEFDBAC53}&lt;/UID&gt;&lt;Title&gt;Wu, J., Constructing a Dynamic Model to Evaluate the Effectiveness of HIV/AIDS Prevention and Control in China. Chinese Center for Disease Control and Prevention, 2014.(in Chinese)&lt;/Title&gt;&lt;Template&gt;Thesis&lt;/Template&gt;&lt;Star&gt;0&lt;/Star&gt;&lt;Tag&gt;0&lt;/Tag&gt;&lt;Author/&gt;&lt;Year&gt;0&lt;/Year&gt;&lt;Details&gt;&lt;_accessed&gt;65683776&lt;/_accessed&gt;&lt;_created&gt;65683776&lt;/_created&gt;&lt;_modified&gt;65683776&lt;/_modified&gt;&lt;/Details&gt;&lt;Extra&gt;&lt;DBUID&gt;{DE16ABCE-A785-434C-BF43-2FE58866AFDD}&lt;/DBUID&gt;&lt;/Extra&gt;&lt;/Item&gt;&lt;/References&gt;&lt;/Group&gt;&lt;/Citation&gt;_x000a_"/>
    <w:docVar w:name="NE.Ref{CA6FE814-6F32-4107-9EEB-CA54460E893B}" w:val=" ADDIN NE.Ref.{CA6FE814-6F32-4107-9EEB-CA54460E893B}&lt;Citation&gt;&lt;Group&gt;&lt;References&gt;&lt;Item&gt;&lt;ID&gt;2102&lt;/ID&gt;&lt;UID&gt;{B78ED396-471B-47E7-B4ED-6E3DDF45DFD4}&lt;/UID&gt;&lt;Title&gt;world development indicators2023. https://databank.worldbank.org/source/world-development-indicators(accessed 2013-2023External health expenditure per capita, PPP (current international $)).&lt;/Title&gt;&lt;Template&gt;Journal Article&lt;/Template&gt;&lt;Star&gt;0&lt;/Star&gt;&lt;Tag&gt;0&lt;/Tag&gt;&lt;Author/&gt;&lt;Year&gt;0&lt;/Year&gt;&lt;Details&gt;&lt;_accessed&gt;65657700&lt;/_accessed&gt;&lt;_created&gt;65657700&lt;/_created&gt;&lt;_modified&gt;65657700&lt;/_modified&gt;&lt;/Details&gt;&lt;Extra&gt;&lt;DBUID&gt;{DE16ABCE-A785-434C-BF43-2FE58866AFDD}&lt;/DBUID&gt;&lt;/Extra&gt;&lt;/Item&gt;&lt;/References&gt;&lt;/Group&gt;&lt;/Citation&gt;_x000a_"/>
    <w:docVar w:name="NE.Ref{DCA6E9BE-5C81-4ECB-A2F4-4EB1AE87362A}" w:val=" ADDIN NE.Ref.{DCA6E9BE-5C81-4ECB-A2F4-4EB1AE87362A}&lt;Citation&gt;&lt;Group&gt;&lt;References&gt;&lt;Item&gt;&lt;ID&gt;2117&lt;/ID&gt;&lt;UID&gt;{3AD25C8D-7FDD-4D26-81BE-445804B219AE}&lt;/UID&gt;&lt;Title&gt;Rate of decline in CD4 count in HIV patients not on antiretroviral therapy&lt;/Title&gt;&lt;Template&gt;Journal Article&lt;/Template&gt;&lt;Star&gt;0&lt;/Star&gt;&lt;Tag&gt;0&lt;/Tag&gt;&lt;Author&gt;Patrikar, S; Basannar, D R; Bhatti, V K; Kotwal, A; Gupta, R M; Grewal, R S&lt;/Author&gt;&lt;Year&gt;2014&lt;/Year&gt;&lt;Details&gt;&lt;_accession_num&gt;24843201&lt;/_accession_num&gt;&lt;_author_adr&gt;Lecturer in Statistics and Demography, Department of Community Medicine, Armed  Forces Medical College, Pune 40, India.; Scientist &amp;apos;E&amp;apos;, Department of Community Medicine, Armed Forces Medical College,  Pune 40, India.; Col Health, HQ Northern Command, India.; Director AFMS (Medical Research), O/o DGAFMS, New Delhi, India.; Senior Advisor (Microbiology), Command Hospital (Northern Command), C/o 99 APO,  India.; Dy DGAFMS (Prov), O/o DGAFMS, New Delhi, India.&lt;/_author_adr&gt;&lt;_created&gt;65687862&lt;/_created&gt;&lt;_date&gt;2014-04-01&lt;/_date&gt;&lt;_date_display&gt;2014 Apr&lt;/_date_display&gt;&lt;_doi&gt;10.1016/j.mjafi.2013.08.005&lt;/_doi&gt;&lt;_isbn&gt;0377-1237 (Print); 0377-1237 (Linking)&lt;/_isbn&gt;&lt;_issue&gt;2&lt;/_issue&gt;&lt;_journal&gt;Med J Armed Forces India&lt;/_journal&gt;&lt;_keywords&gt;Antiretroviral therapy (ART); CD4 count; Human immunodeficiency virus (HIV)&lt;/_keywords&gt;&lt;_language&gt;eng&lt;/_language&gt;&lt;_modified&gt;65687862&lt;/_modified&gt;&lt;_pages&gt;134-8&lt;/_pages&gt;&lt;_tertiary_title&gt;Medical journal, Armed Forces India&lt;/_tertiary_title&gt;&lt;_type_work&gt;Journal Article&lt;/_type_work&gt;&lt;_url&gt;http://www.ncbi.nlm.nih.gov/entrez/query.fcgi?cmd=Retrieve&amp;amp;db=pubmed&amp;amp;dopt=Abstract&amp;amp;list_uids=24843201&amp;amp;query_hl=1&lt;/_url&gt;&lt;_volume&gt;70&lt;/_volume&gt;&lt;/Details&gt;&lt;Extra&gt;&lt;DBUID&gt;{DE16ABCE-A785-434C-BF43-2FE58866AFDD}&lt;/DBUID&gt;&lt;/Extra&gt;&lt;/Item&gt;&lt;/References&gt;&lt;/Group&gt;&lt;/Citation&gt;_x000a_"/>
    <w:docVar w:name="NE.Ref{E1028990-A5CF-4A92-A111-6E86D2D5385C}" w:val=" ADDIN NE.Ref.{E1028990-A5CF-4A92-A111-6E86D2D5385C}&lt;Citation&gt;&lt;Group&gt;&lt;References&gt;&lt;Item&gt;&lt;ID&gt;2103&lt;/ID&gt;&lt;UID&gt;{802FBB06-5C6D-47FE-A5DC-89AEDC2F8530}&lt;/UID&gt;&lt;Title&gt;Sexual Activity Without Condoms and Risk of HIV Transmission in Serodifferent  Couples When the HIV-Positive Partner Is Using Suppressive Antiretroviral  Therapy&lt;/Title&gt;&lt;Template&gt;Journal Article&lt;/Template&gt;&lt;Star&gt;0&lt;/Star&gt;&lt;Tag&gt;0&lt;/Tag&gt;&lt;Author&gt;Rodger, A J; Cambiano, V; Bruun, T; Vernazza, P; Collins, S; van Lunzen, J; Corbelli, G M; Estrada, V; Geretti, A M; Beloukas, A; Asboe, D; Viciana, P; Gutiérrez, F; Clotet, B; Pradier, C; Gerstoft, J; Weber, R; Westling, K; Wandeler, G; Prins, J M; Rieger, A; Stoeckle, M; Kümmerle, T; Bini, T; Ammassari, A; Gilson, R; Krznaric, I; Ristola, M; Zangerle, R; Handberg, P; Antela, A; Allan, S; Phillips, A N; Lundgren, J&lt;/Author&gt;&lt;Year&gt;2016&lt;/Year&gt;&lt;Details&gt;&lt;_accession_num&gt;27404185&lt;/_accession_num&gt;&lt;_author_adr&gt;Research Department of Infection and Population Health, University College  London, London, United Kingdom.; Research Department of Infection and Population Health, University College  London, London, United Kingdom.; Department of Infectious Diseases/CHIP, Rigshospitalet, University of Copenhagen,  Copenhagen, Denmark.; Division of Infectious Diseases and Hospital Epidemiology, Cantonal Hospital, St  Gallen, Switzerland.; HIV i-Base, London, United Kingdom.; University Medical Center Hamburg-Eppendorf, Hamburg-Eppendorf, Germany.; European AIDS Treatment Group, Bruxelles, Belgium.; Hospital Clinico San Carlos and Universidad Complutense, Madrid, Spain.; Institute of Infection and Global Health, University of Liverpool, Liverpool,  United Kingdom.; Institute of Infection and Global Health, University of Liverpool, Liverpool,  United Kingdom.; Chelsea and Westminster NHS Foundation Trust, London, United Kingdom.; Hospital Virgen del Rocío, Sevilla, Spain.; Hospital General de Elche &amp;amp; Universidad Miguel Hernández, Alicante, Spain.; IrsiCaixa Foundation, UAB, UVIC-UCC, Hospital Universitari &amp;quot;Germans Trias i  Pujol,&amp;quot; Badalona, Catalonia, Spain.; Department of Public Health, Nice University Hospital and EA 6312, University  Nice Sophia-Antipolis, France.; Rigshospitalet, Copenhagen, Denmark.; Division of Infectious Diseases and Hospital Epidemiology, University Hospital  Zurich, University of Zurich, Zurich, Switzerland.; Unit of Infectious Diseases and Dermatology, Department of Medicine, Karolinska  Institutet, and Department of Infectious Diseases, Karolinska University  Hospital, Stockholm, Sweden.; Department of Infectious Diseases, Bern University Hospital, University of Bern,  Bern, Switzerland.; Academic Medical Center, Amsterdam, the Netherlands.; Medical University of Vienna, Vienna, Austria.; Division of Infectious Diseases and Hospital Epidemiology, University Hospital  Basel, Basel, Switzerland.; Department of Internal Medicine 1, University Hospital of Cologne, Cologne,  Germany.; Ospedal San Paolo, Milan, Italy.; Ospedale L. Spallanzani, Roma, Italy.; Research Department of Infection and Population Health, University College  London, London, United Kingdom.; Praxis Driesener Straße, Berlin, Germany.; Helsinki University Central Hospital, Helsinki, Finland.; Medical University Innsbruck, Innsbruck, Austria.; Hvidovre Universitets Hospital, Hvidovre, Denamrk.; Hospital Clínico Universitario de Santiago de Compostela, Santiago de Compostela,  Spain.; Coventry and Warwickshire Hospital, Coventry, United Kingdom.; Research Department of Infection and Population Health, University College  London, London, United Kingdom.; Department of Infectious Diseases/CHIP, Rigshospitalet, University of Copenhagen,  Copenhagen, Denmark.&lt;/_author_adr&gt;&lt;_collection_scope&gt;SCIE&lt;/_collection_scope&gt;&lt;_created&gt;65673477&lt;/_created&gt;&lt;_date&gt;2016-07-12&lt;/_date&gt;&lt;_date_display&gt;2016 Jul 12&lt;/_date_display&gt;&lt;_doi&gt;10.1001/jama.2016.5148&lt;/_doi&gt;&lt;_impact_factor&gt; 120.700&lt;/_impact_factor&gt;&lt;_isbn&gt;1538-3598 (Electronic); 0098-7484 (Linking)&lt;/_isbn&gt;&lt;_issue&gt;2&lt;/_issue&gt;&lt;_journal&gt;JAMA&lt;/_journal&gt;&lt;_language&gt;eng&lt;/_language&gt;&lt;_modified&gt;65673477&lt;/_modified&gt;&lt;_pages&gt;171-81&lt;/_pages&gt;&lt;_social_category&gt;医学：内科(1)&lt;/_social_category&gt;&lt;_subject_headings&gt;Adult; Anti-HIV Agents/therapeutic use; Condoms; Europe; Family Characteristics; Female; HIV Infections/*transmission; HIV Seronegativity; HIV Seropositivity; *HIV-1/classification/enzymology; Humans; Male; Middle Aged; Phylogeny; Prospective Studies; RNA, Viral; Risk; *Sexual Behavior; *Sexual Partners; *Unsafe Sex; Viral Load&lt;/_subject_headings&gt;&lt;_tertiary_title&gt;JAMA&lt;/_tertiary_title&gt;&lt;_type_work&gt;Journal Article; Multicenter Study; Observational Study; Research Support, Non-U.S. Gov&amp;apos;t&lt;/_type_work&gt;&lt;_url&gt;http://www.ncbi.nlm.nih.gov/entrez/query.fcgi?cmd=Retrieve&amp;amp;db=pubmed&amp;amp;dopt=Abstract&amp;amp;list_uids=27404185&amp;amp;query_hl=1&lt;/_url&gt;&lt;_volume&gt;316&lt;/_volume&gt;&lt;/Details&gt;&lt;Extra&gt;&lt;DBUID&gt;{DE16ABCE-A785-434C-BF43-2FE58866AFDD}&lt;/DBUID&gt;&lt;/Extra&gt;&lt;/Item&gt;&lt;/References&gt;&lt;/Group&gt;&lt;Group&gt;&lt;References&gt;&lt;Item&gt;&lt;ID&gt;2101&lt;/ID&gt;&lt;UID&gt;{14452B78-7423-4A33-99F2-2ABB7DE6033B}&lt;/UID&gt;&lt;Title&gt;Lopinavir/ritonavir versus darunavir plus ritonavir for HIV infection: a  cost-effectiveness analysis for the United States&lt;/Title&gt;&lt;Template&gt;Journal Article&lt;/Template&gt;&lt;Star&gt;0&lt;/Star&gt;&lt;Tag&gt;0&lt;/Tag&gt;&lt;Author&gt;Simpson, K N; Pei, P P; Möller, J; Baran, R W; Dietz, B; Woodward, W; Migliaccio-Walle, K; Caro, J J&lt;/Author&gt;&lt;Year&gt;2013&lt;/Year&gt;&lt;Details&gt;&lt;_accession_num&gt;23620210&lt;/_accession_num&gt;&lt;_author_adr&gt;Department of Health Leadership and Management, College of Health Professions,  Medical University of South Carolina, 151B Rutledge Ave., Room 412, Charleston,  SC 29425, USA. simpsonk@musc.edu&lt;/_author_adr&gt;&lt;_collection_scope&gt;SSCI;SCIE&lt;/_collection_scope&gt;&lt;_created&gt;65657699&lt;/_created&gt;&lt;_date&gt;2013-05-01&lt;/_date&gt;&lt;_date_display&gt;2013 May&lt;/_date_display&gt;&lt;_doi&gt;10.1007/s40273-013-0048-3&lt;/_doi&gt;&lt;_impact_factor&gt;   4.400&lt;/_impact_factor&gt;&lt;_isbn&gt;1179-2027 (Electronic); 1170-7690 (Linking)&lt;/_isbn&gt;&lt;_issue&gt;5&lt;/_issue&gt;&lt;_journal&gt;Pharmacoeconomics&lt;/_journal&gt;&lt;_language&gt;eng&lt;/_language&gt;&lt;_modified&gt;65657699&lt;/_modified&gt;&lt;_pages&gt;427-44&lt;/_pages&gt;&lt;_social_category&gt;经济学(3) &amp;amp; 卫生保健与服务(3) &amp;amp; 卫生政策与服务(3) &amp;amp; 药学(3)&lt;/_social_category&gt;&lt;_subject_headings&gt;Adult; Anti-HIV Agents/administration &amp;amp; dosage/economics/*therapeutic use; Cost-Benefit Analysis; Darunavir; Drug Combinations; Drug Therapy, Combination; Female; HIV Infections/*drug therapy/economics; Health Care Costs; Humans; Lopinavir/administration &amp;amp; dosage/economics/*therapeutic use; Male; Middle Aged; Models, Economic; Prognosis; Quality-Adjusted Life Years; Ritonavir/administration &amp;amp; dosage/economics/*therapeutic use; Sulfonamides/administration &amp;amp; dosage/economics/*therapeutic use; Time Factors; Treatment Outcome; United States&lt;/_subject_headings&gt;&lt;_tertiary_title&gt;PharmacoEconomics&lt;/_tertiary_title&gt;&lt;_type_work&gt;Comparative Study; Journal Article; Research Support, Non-U.S. Gov&amp;apos;t; Validation Study&lt;/_type_work&gt;&lt;_url&gt;http://www.ncbi.nlm.nih.gov/entrez/query.fcgi?cmd=Retrieve&amp;amp;db=pubmed&amp;amp;dopt=Abstract&amp;amp;list_uids=23620210&amp;amp;query_hl=1&lt;/_url&gt;&lt;_volume&gt;31&lt;/_volume&gt;&lt;/Details&gt;&lt;Extra&gt;&lt;DBUID&gt;{DE16ABCE-A785-434C-BF43-2FE58866AFDD}&lt;/DBUID&gt;&lt;/Extra&gt;&lt;/Item&gt;&lt;/References&gt;&lt;/Group&gt;&lt;/Citation&gt;_x000a_"/>
    <w:docVar w:name="NE.Ref{E2B2B6CF-C822-4B3C-ADE4-29C81092A3E4}" w:val=" ADDIN NE.Ref.{E2B2B6CF-C822-4B3C-ADE4-29C81092A3E4}&lt;Citation&gt;&lt;Group&gt;&lt;References&gt;&lt;Item&gt;&lt;ID&gt;2090&lt;/ID&gt;&lt;UID&gt;{66A808BF-6DB4-4F38-9721-AF3BA2C7FB41}&lt;/UID&gt;&lt;Title&gt;Optimising HIV pre-exposure prophylaxis and testing strategies in men who have  sex with men in Australia, Thailand, and China: a modelling study and  cost-effectiveness analysis&lt;/Title&gt;&lt;Template&gt;Journal Article&lt;/Template&gt;&lt;Star&gt;0&lt;/Star&gt;&lt;Tag&gt;0&lt;/Tag&gt;&lt;Author&gt;Zhao, R; Fairley, C K; Cook, A R; Phanuphak, N; He, S; Tieosapjaroen, W; Chow, EPF; Phillips, T R; Jin, Tan RK; Wei, Y; Shen, M; Zhuang, G; Ong, J J; Zhang, L&lt;/Author&gt;&lt;Year&gt;2024&lt;/Year&gt;&lt;Details&gt;&lt;_accession_num&gt;38245115&lt;/_accession_num&gt;&lt;_author_adr&gt;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Saw Swee Hock School of Public Health, National University of Singapore,  Singapore.; Institute of HIV Research and Innovation, Bangkok, Thailand; Center of Excellence  in Transgender Health, Faculty of Medicine, Chulalongkorn University, Bangkok,  Thailand.;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Melbourne Sexual Health Centre, Alfred Health, Melbourne, VIC, Australia; Central  Clinical School, Faculty of Medicine, Nursing and Health Sciences, Monash  University, Melbourne, VIC, Australia; Melbourne School of Population and Global  Health, Centre for Epidemiology and Biostatistics, University of Melbourne,  Melbourne, VIC, Australia.; Melbourne Sexual Health Centre, Alfred Health, Melbourne, VIC, Australia; Central  Clinical School, Faculty of Medicine, Nursing and Health Sciences, Monash  University, Melbourne, VIC, Australia.; Saw Swee Hock School of Public Health, National University of Singapore,  Singapore; University of North Carolina Project-China, Guangzhou, China.; China-Australia Joint Research Center for Infectious Diseases, School of Public  Health, Xi&amp;apos;an Jiaotong University Health Science Center, Xi&amp;apos;an Jiaotong  University, Xi&amp;apos;an, China.; China-Australia Joint Research Center for Infectious Diseases, School of Public  Health, Xi&amp;apos;an Jiaotong University Health Science Center, Xi&amp;apos;an Jiaotong  University, Xi&amp;apos;an, China; Interdisciplinary Center for Mathematics and Life  Sciences, School of Mathematics and Statistics, Xi&amp;apos;an Jiaotong University, Xi&amp;apos;an,  China; Key Laboratory of Environment and Genes Related to Diseases, Xi&amp;apos;an  Jiaotong University, Xi&amp;apos;an, China; Key Laboratory for Disease Prevention and  Control and Health Promotion of Shaanxi Province, Xi&amp;apos;an, China.; China-Australia Joint Research Center for Infectious Diseases, School of Public  Health, Xi&amp;apos;an Jiaotong University Health Science Center, Xi&amp;apos;an Jiaotong  University, Xi&amp;apos;an, China; Key Laboratory for Disease Prevention and Control and  Health Promotion of Shaanxi Province, Xi&amp;apos;an, China. Electronic address:  zhuanggh@mail.xjtu.edu.cn.;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Faculty of  Infectious and Tropical Diseases, London School of Hygiene and Tropical Medicine,  London, UK. Electronic address: doctorjasonong@gmail.com.; China-Australia Joint Research Center for Infectious Diseases, School of Public  Health, Xi&amp;apos;an Jiaotong University Health Science Center, Xi&amp;apos;an Jiaotong  University, Xi&amp;apos;an, China; Melbourne Sexual Health Centre, Alfred Health,  Melbourne, VIC, Australia; Central Clinical School, Faculty of Medicine, Nursing  and Health Sciences, Monash University, Melbourne, VIC, Australia; Key Laboratory  for Disease Prevention and Control and Health Promotion of Shaanxi Province,  Xi&amp;apos;an, China. Electronic address: lei.zhang1@xjtu.edu.cn.&lt;/_author_adr&gt;&lt;_collection_scope&gt;SSCI;SCIE&lt;/_collection_scope&gt;&lt;_created&gt;65657617&lt;/_created&gt;&lt;_date&gt;2024-02-01&lt;/_date&gt;&lt;_date_display&gt;2024 Feb&lt;/_date_display&gt;&lt;_doi&gt;10.1016/S2214-109X(23)00536-3&lt;/_doi&gt;&lt;_impact_factor&gt;  34.300&lt;/_impact_factor&gt;&lt;_isbn&gt;2214-109X (Electronic); 2214-109X (Linking)&lt;/_isbn&gt;&lt;_issue&gt;2&lt;/_issue&gt;&lt;_journal&gt;Lancet Glob Health&lt;/_journal&gt;&lt;_language&gt;eng&lt;/_language&gt;&lt;_modified&gt;65657617&lt;/_modified&gt;&lt;_ori_publication&gt;Copyright © 2024 The Author(s). Published by Elsevier Ltd. This is an Open Access _x000d__x000a_      article under the CC BY-NC-ND 4.0 license. Published by Elsevier Ltd.. All rights _x000d__x000a_      reserved.&lt;/_ori_publication&gt;&lt;_pages&gt;e243-e256&lt;/_pages&gt;&lt;_social_category&gt;公共卫生、环境卫生与职业卫生(1)&lt;/_social_category&gt;&lt;_subject_headings&gt;Male; Humans; *HIV Infections/diagnosis/prevention &amp;amp; control/drug therapy; Homosexuality, Male; *Pre-Exposure Prophylaxis; *Anti-HIV Agents/therapeutic use; Cost-Effectiveness Analysis; Thailand; *Sexual and Gender Minorities; Cost-Benefit Analysis; Australia/epidemiology; China/epidemiology&lt;/_subject_headings&gt;&lt;_tertiary_title&gt;The Lancet. Global health&lt;/_tertiary_title&gt;&lt;_type_work&gt;Journal Article&lt;/_type_work&gt;&lt;_url&gt;http://www.ncbi.nlm.nih.gov/entrez/query.fcgi?cmd=Retrieve&amp;amp;db=pubmed&amp;amp;dopt=Abstract&amp;amp;list_uids=38245115&amp;amp;query_hl=1&lt;/_url&gt;&lt;_volume&gt;12&lt;/_volume&gt;&lt;/Details&gt;&lt;Extra&gt;&lt;DBUID&gt;{DE16ABCE-A785-434C-BF43-2FE58866AFDD}&lt;/DBUID&gt;&lt;/Extra&gt;&lt;/Item&gt;&lt;/References&gt;&lt;/Group&gt;&lt;/Citation&gt;_x000a_"/>
    <w:docVar w:name="NE.Ref{E3FAED48-6C77-42DB-8C5B-BA087F72E9A0}" w:val=" ADDIN NE.Ref.{E3FAED48-6C77-42DB-8C5B-BA087F72E9A0}&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collection_scope&gt;SCIE&lt;/_collection_scope&gt;&lt;_created&gt;65687866&lt;/_created&gt;&lt;_date&gt;2021-07-01&lt;/_date&gt;&lt;_date_display&gt;2021 Jul 1&lt;/_date_display&gt;&lt;_doi&gt;10.1093/cid/ciaa822&lt;/_doi&gt;&lt;_impact_factor&gt;  11.800&lt;/_impact_factor&gt;&lt;_isbn&gt;1537-6591 (Electronic); 1058-4838 (Print); 1058-4838 (Linking)&lt;/_isbn&gt;&lt;_issue&gt;1&lt;/_issue&gt;&lt;_journal&gt;Clin Infect Dis&lt;/_journal&gt;&lt;_keywords&gt;HIV-1; NNRTI; doravirine; efavirenz; treatment-naive&lt;/_keywords&gt;&lt;_language&gt;eng&lt;/_language&gt;&lt;_modified&gt;65687866&lt;/_modified&gt;&lt;_ori_publication&gt;© The Author(s) 2020. Published by Oxford University Press for the Infectious _x000d__x000a_      Diseases Society of America.&lt;/_ori_publication&gt;&lt;_pages&gt;33-42&lt;/_pages&gt;&lt;_social_category&gt;免疫学(1) &amp;amp; 传染病学(1) &amp;amp; 微生物学(1)&lt;/_social_category&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Details&gt;&lt;Extra&gt;&lt;DBUID&gt;{DE16ABCE-A785-434C-BF43-2FE58866AFDD}&lt;/DBUID&gt;&lt;/Extra&gt;&lt;/Item&gt;&lt;/References&gt;&lt;/Group&gt;&lt;/Citation&gt;_x000a_"/>
    <w:docVar w:name="NE.Ref{F123955A-3C0F-48DF-99A6-17F3E2BA1DB6}" w:val=" ADDIN NE.Ref.{F123955A-3C0F-48DF-99A6-17F3E2BA1DB6}&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collection_scope&gt;SCIE&lt;/_collection_scope&gt;&lt;_created&gt;65687866&lt;/_created&gt;&lt;_date&gt;2021-07-01&lt;/_date&gt;&lt;_date_display&gt;2021 Jul 1&lt;/_date_display&gt;&lt;_doi&gt;10.1093/cid/ciaa822&lt;/_doi&gt;&lt;_impact_factor&gt;  11.800&lt;/_impact_factor&gt;&lt;_isbn&gt;1537-6591 (Electronic); 1058-4838 (Print); 1058-4838 (Linking)&lt;/_isbn&gt;&lt;_issue&gt;1&lt;/_issue&gt;&lt;_journal&gt;Clin Infect Dis&lt;/_journal&gt;&lt;_keywords&gt;HIV-1; NNRTI; doravirine; efavirenz; treatment-naive&lt;/_keywords&gt;&lt;_language&gt;eng&lt;/_language&gt;&lt;_modified&gt;65687866&lt;/_modified&gt;&lt;_ori_publication&gt;© The Author(s) 2020. Published by Oxford University Press for the Infectious _x000d__x000a_      Diseases Society of America.&lt;/_ori_publication&gt;&lt;_pages&gt;33-42&lt;/_pages&gt;&lt;_social_category&gt;免疫学(1) &amp;amp; 传染病学(1) &amp;amp; 微生物学(1)&lt;/_social_category&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Details&gt;&lt;Extra&gt;&lt;DBUID&gt;{DE16ABCE-A785-434C-BF43-2FE58866AFDD}&lt;/DBUID&gt;&lt;/Extra&gt;&lt;/Item&gt;&lt;/References&gt;&lt;/Group&gt;&lt;/Citation&gt;_x000a_"/>
    <w:docVar w:name="NE.Ref{F680B312-E2B6-4090-8E62-2D3CE52DCA5C}" w:val=" ADDIN NE.Ref.{F680B312-E2B6-4090-8E62-2D3CE52DCA5C}&lt;Citation&gt;&lt;Group&gt;&lt;References&gt;&lt;Item&gt;&lt;ID&gt;2122&lt;/ID&gt;&lt;UID&gt;{C3D8D0E6-36E3-4E92-A9B0-5981EB691B8C}&lt;/UID&gt;&lt;Title&gt;MENET.https://www.menet.com.cn/data/&lt;/Title&gt;&lt;Template&gt;Journal Article&lt;/Template&gt;&lt;Star&gt;0&lt;/Star&gt;&lt;Tag&gt;0&lt;/Tag&gt;&lt;Author/&gt;&lt;Year&gt;0&lt;/Year&gt;&lt;Details&gt;&lt;_accessed&gt;65687871&lt;/_accessed&gt;&lt;_created&gt;65687871&lt;/_created&gt;&lt;_modified&gt;65687871&lt;/_modified&gt;&lt;/Details&gt;&lt;Extra&gt;&lt;DBUID&gt;{DE16ABCE-A785-434C-BF43-2FE58866AFDD}&lt;/DBUID&gt;&lt;/Extra&gt;&lt;/Item&gt;&lt;/References&gt;&lt;/Group&gt;&lt;/Citation&gt;_x000a_"/>
    <w:docVar w:name="NE.Ref{F9A939F3-67FA-48BC-A880-DA137BE668C0}" w:val=" ADDIN NE.Ref.{F9A939F3-67FA-48BC-A880-DA137BE668C0}&lt;Citation&gt;&lt;Group&gt;&lt;References&gt;&lt;Item&gt;&lt;ID&gt;2117&lt;/ID&gt;&lt;UID&gt;{3AD25C8D-7FDD-4D26-81BE-445804B219AE}&lt;/UID&gt;&lt;Title&gt;Rate of decline in CD4 count in HIV patients not on antiretroviral therapy&lt;/Title&gt;&lt;Template&gt;Journal Article&lt;/Template&gt;&lt;Star&gt;0&lt;/Star&gt;&lt;Tag&gt;0&lt;/Tag&gt;&lt;Author&gt;Patrikar, S; Basannar, D R; Bhatti, V K; Kotwal, A; Gupta, R M; Grewal, R S&lt;/Author&gt;&lt;Year&gt;2014&lt;/Year&gt;&lt;Details&gt;&lt;_accession_num&gt;24843201&lt;/_accession_num&gt;&lt;_author_adr&gt;Lecturer in Statistics and Demography, Department of Community Medicine, Armed  Forces Medical College, Pune 40, India.; Scientist &amp;apos;E&amp;apos;, Department of Community Medicine, Armed Forces Medical College,  Pune 40, India.; Col Health, HQ Northern Command, India.; Director AFMS (Medical Research), O/o DGAFMS, New Delhi, India.; Senior Advisor (Microbiology), Command Hospital (Northern Command), C/o 99 APO,  India.; Dy DGAFMS (Prov), O/o DGAFMS, New Delhi, India.&lt;/_author_adr&gt;&lt;_date_display&gt;2014 Apr&lt;/_date_display&gt;&lt;_date&gt;2014-04-01&lt;/_date&gt;&lt;_doi&gt;10.1016/j.mjafi.2013.08.005&lt;/_doi&gt;&lt;_isbn&gt;0377-1237 (Print); 0377-1237 (Linking)&lt;/_isbn&gt;&lt;_issue&gt;2&lt;/_issue&gt;&lt;_journal&gt;Med J Armed Forces India&lt;/_journal&gt;&lt;_keywords&gt;Antiretroviral therapy (ART); CD4 count; Human immunodeficiency virus (HIV)&lt;/_keywords&gt;&lt;_language&gt;eng&lt;/_language&gt;&lt;_pages&gt;134-8&lt;/_pages&gt;&lt;_tertiary_title&gt;Medical journal, Armed Forces India&lt;/_tertiary_title&gt;&lt;_type_work&gt;Journal Article&lt;/_type_work&gt;&lt;_url&gt;http://www.ncbi.nlm.nih.gov/entrez/query.fcgi?cmd=Retrieve&amp;amp;db=pubmed&amp;amp;dopt=Abstract&amp;amp;list_uids=24843201&amp;amp;query_hl=1&lt;/_url&gt;&lt;_volume&gt;70&lt;/_volume&gt;&lt;_created&gt;65687862&lt;/_created&gt;&lt;_modified&gt;65687862&lt;/_modified&gt;&lt;/Details&gt;&lt;Extra&gt;&lt;DBUID&gt;{DE16ABCE-A785-434C-BF43-2FE58866AFDD}&lt;/DBUID&gt;&lt;/Extra&gt;&lt;/Item&gt;&lt;/References&gt;&lt;/Group&gt;&lt;/Citation&gt;_x000a_"/>
    <w:docVar w:name="NE.Ref{FAA68700-5418-473F-94C2-398055313948}" w:val=" ADDIN NE.Ref.{FAA68700-5418-473F-94C2-398055313948}&lt;Citation&gt;&lt;Group&gt;&lt;References&gt;&lt;Item&gt;&lt;ID&gt;2115&lt;/ID&gt;&lt;UID&gt;{0676DFA0-45A5-4D86-B003-ABD57284FB34}&lt;/UID&gt;&lt;Title&gt;GBD. 2023. https://vizhub.healthdata.org/gbd-results/. Accessed2023&lt;/Title&gt;&lt;Template&gt;Journal Article&lt;/Template&gt;&lt;Star&gt;0&lt;/Star&gt;&lt;Tag&gt;0&lt;/Tag&gt;&lt;Author/&gt;&lt;Year&gt;0&lt;/Year&gt;&lt;Details&gt;&lt;_accessed&gt;65687858&lt;/_accessed&gt;&lt;_created&gt;65687858&lt;/_created&gt;&lt;_modified&gt;65687858&lt;/_modified&gt;&lt;/Details&gt;&lt;Extra&gt;&lt;DBUID&gt;{DE16ABCE-A785-434C-BF43-2FE58866AFDD}&lt;/DBUID&gt;&lt;/Extra&gt;&lt;/Item&gt;&lt;/References&gt;&lt;/Group&gt;&lt;/Citation&gt;_x000a_"/>
    <w:docVar w:name="NE.Ref{FDF8CC94-92C0-4A02-BCB3-719B39D2DC0F}" w:val=" ADDIN NE.Ref.{FDF8CC94-92C0-4A02-BCB3-719B39D2DC0F}&lt;Citation&gt;&lt;Group&gt;&lt;References&gt;&lt;Item&gt;&lt;ID&gt;2120&lt;/ID&gt;&lt;UID&gt;{51677A2D-BD8E-4207-A68E-98FE966938E4}&lt;/UID&gt;&lt;Title&gt;Doravirine/Lamivudine/Tenofovir Disoproxil Fumarate (TDF) Versus  Efavirenz/Emtricitabine/TDF in Treatment-naive Adults With Human Immunodeficiency  Virus Type 1 Infection: Week 96 Results of the Randomized, Double-blind, Phase 3  DRIVE-AHEAD Noninferiority Trial&lt;/Title&gt;&lt;Template&gt;Journal Article&lt;/Template&gt;&lt;Star&gt;0&lt;/Star&gt;&lt;Tag&gt;0&lt;/Tag&gt;&lt;Author&gt;Orkin, C; Squires, K E; Molina, J M; Sax, P E; Sussmann, O; Lin, G; Kumar, S; Hanna, G J; Hwang, C; Martin, E; Teppler, H&lt;/Author&gt;&lt;Year&gt;2021&lt;/Year&gt;&lt;Details&gt;&lt;_accession_num&gt;33336698&lt;/_accession_num&gt;&lt;_author_adr&gt;Queen Mary University of London, London, United Kingdom.; Thomas Jefferson University, Philadelphia, Pennsylvania, USA.; Merck &amp;amp; Co., Inc., Kenilworth, New Jersey, USA.; University of Paris Diderot, Hôpital Saint-Louis, Assistance Publique Hôpitaux de  Paris, INSERM, Paris, France.; Brigham and Women&amp;apos;s Hospital, Harvard Medical School, Boston, Massachusetts, USA.; Asistencia Cientifica de Alta Complejidad SAS, Bogota, Colombia.; Merck &amp;amp; Co., Inc., Kenilworth, New Jersey, USA.; Merck &amp;amp; Co., Inc., Kenilworth, New Jersey, USA.; Merck &amp;amp; Co., Inc., Kenilworth, New Jersey, USA.; Merck &amp;amp; Co., Inc., Kenilworth, New Jersey, USA.; Merck &amp;amp; Co., Inc., Kenilworth, New Jersey, USA.; Merck &amp;amp; Co., Inc., Kenilworth, New Jersey, USA.&lt;/_author_adr&gt;&lt;_date_display&gt;2021 Jul 1&lt;/_date_display&gt;&lt;_date&gt;2021-07-01&lt;/_date&gt;&lt;_doi&gt;10.1093/cid/ciaa822&lt;/_doi&gt;&lt;_isbn&gt;1537-6591 (Electronic); 1058-4838 (Print); 1058-4838 (Linking)&lt;/_isbn&gt;&lt;_issue&gt;1&lt;/_issue&gt;&lt;_journal&gt;Clin Infect Dis&lt;/_journal&gt;&lt;_keywords&gt;HIV-1; NNRTI; doravirine; efavirenz; treatment-naive&lt;/_keywords&gt;&lt;_language&gt;eng&lt;/_language&gt;&lt;_ori_publication&gt;© The Author(s) 2020. Published by Oxford University Press for the Infectious _x000d__x000a_      Diseases Society of America.&lt;/_ori_publication&gt;&lt;_pages&gt;33-42&lt;/_pages&gt;&lt;_subject_headings&gt;Adult; Alkynes; *Anti-HIV Agents/adverse effects; Benzoxazines; Cyclopropanes; Emtricitabine/therapeutic use; Fumarates/therapeutic use; *HIV Infections/drug therapy; *HIV-1; Humans; Lamivudine/adverse effects; Pyridones; Tenofovir/therapeutic use; Treatment Outcome; Triazoles&lt;/_subject_headings&gt;&lt;_tertiary_title&gt;Clinical infectious diseases : an official publication of the Infectious Diseases _x000d__x000a_      Society of America&lt;/_tertiary_title&gt;&lt;_type_work&gt;Clinical Trial, Phase III; Journal Article; Multicenter Study; Randomized Controlled Trial; Research Support, Non-U.S. Gov&amp;apos;t&lt;/_type_work&gt;&lt;_url&gt;http://www.ncbi.nlm.nih.gov/entrez/query.fcgi?cmd=Retrieve&amp;amp;db=pubmed&amp;amp;dopt=Abstract&amp;amp;list_uids=33336698&amp;amp;query_hl=1&lt;/_url&gt;&lt;_volume&gt;73&lt;/_volume&gt;&lt;_created&gt;65687866&lt;/_created&gt;&lt;_modified&gt;65687866&lt;/_modified&gt;&lt;_impact_factor&gt;  11.800&lt;/_impact_factor&gt;&lt;_social_category&gt;免疫学(1) &amp;amp; 传染病学(1) &amp;amp; 微生物学(1)&lt;/_social_category&gt;&lt;_collection_scope&gt;SCIE&lt;/_collection_scope&gt;&lt;/Details&gt;&lt;Extra&gt;&lt;DBUID&gt;{DE16ABCE-A785-434C-BF43-2FE58866AFDD}&lt;/DBUID&gt;&lt;/Extra&gt;&lt;/Item&gt;&lt;/References&gt;&lt;/Group&gt;&lt;/Citation&gt;_x000a_"/>
    <w:docVar w:name="NE.Ref{FEF19E2D-C7FE-4E5A-AEC8-CDEDCED0D70E}" w:val=" ADDIN NE.Ref.{FEF19E2D-C7FE-4E5A-AEC8-CDEDCED0D70E}&lt;Citation&gt;&lt;Group&gt;&lt;References&gt;&lt;Item&gt;&lt;ID&gt;2114&lt;/ID&gt;&lt;UID&gt;{E2AB6310-F349-4982-8E10-6071592173DE}&lt;/UID&gt;&lt;Title&gt;Jiangsu Provincial Price Bureau, Notice on the Implementation Plan for the Comprehensive Reform of Medical and Drug Prices in Provincial (Ministry-Level) Public Hospitals (Su Jia Yi [2015] No. 284).(in Chinese)&lt;/Title&gt;&lt;Template&gt;Journal Article&lt;/Template&gt;&lt;Star&gt;0&lt;/Star&gt;&lt;Tag&gt;0&lt;/Tag&gt;&lt;Author/&gt;&lt;Year&gt;0&lt;/Year&gt;&lt;Details&gt;&lt;_accessed&gt;65683778&lt;/_accessed&gt;&lt;_created&gt;65683778&lt;/_created&gt;&lt;_modified&gt;65683778&lt;/_modified&gt;&lt;/Details&gt;&lt;Extra&gt;&lt;DBUID&gt;{DE16ABCE-A785-434C-BF43-2FE58866AFDD}&lt;/DBUID&gt;&lt;/Extra&gt;&lt;/Item&gt;&lt;/References&gt;&lt;/Group&gt;&lt;/Citation&gt;_x000a_"/>
    <w:docVar w:name="ne_docsoft" w:val="MSWord"/>
    <w:docVar w:name="ne_docversion" w:val="NoteExpress 2.0"/>
    <w:docVar w:name="ne_stylename" w:val="Numbered(multilingual)"/>
  </w:docVars>
  <w:rsids>
    <w:rsidRoot w:val="00172A27"/>
    <w:rsid w:val="00010368"/>
    <w:rsid w:val="0001057E"/>
    <w:rsid w:val="000E3106"/>
    <w:rsid w:val="001358EC"/>
    <w:rsid w:val="00135E31"/>
    <w:rsid w:val="00172A27"/>
    <w:rsid w:val="00190048"/>
    <w:rsid w:val="001B6D20"/>
    <w:rsid w:val="002444D0"/>
    <w:rsid w:val="002A32CC"/>
    <w:rsid w:val="002F580E"/>
    <w:rsid w:val="003A5CFA"/>
    <w:rsid w:val="003B0BA5"/>
    <w:rsid w:val="003C1D24"/>
    <w:rsid w:val="003D380B"/>
    <w:rsid w:val="003E6860"/>
    <w:rsid w:val="00412525"/>
    <w:rsid w:val="00474DC3"/>
    <w:rsid w:val="0048626D"/>
    <w:rsid w:val="004F3E64"/>
    <w:rsid w:val="004F73C1"/>
    <w:rsid w:val="005161BF"/>
    <w:rsid w:val="0055574E"/>
    <w:rsid w:val="005602A3"/>
    <w:rsid w:val="0057709C"/>
    <w:rsid w:val="0058776A"/>
    <w:rsid w:val="005C6449"/>
    <w:rsid w:val="006B1588"/>
    <w:rsid w:val="0072567B"/>
    <w:rsid w:val="007C21C3"/>
    <w:rsid w:val="0087778E"/>
    <w:rsid w:val="009666E9"/>
    <w:rsid w:val="009C758E"/>
    <w:rsid w:val="009D28E1"/>
    <w:rsid w:val="009F7F45"/>
    <w:rsid w:val="00A81BC7"/>
    <w:rsid w:val="00A94735"/>
    <w:rsid w:val="00AB186F"/>
    <w:rsid w:val="00AB55C0"/>
    <w:rsid w:val="00B14963"/>
    <w:rsid w:val="00B25103"/>
    <w:rsid w:val="00B51C04"/>
    <w:rsid w:val="00BD3927"/>
    <w:rsid w:val="00C73329"/>
    <w:rsid w:val="00C76531"/>
    <w:rsid w:val="00C94330"/>
    <w:rsid w:val="00CB77BE"/>
    <w:rsid w:val="00D713F5"/>
    <w:rsid w:val="00D876A8"/>
    <w:rsid w:val="00D91C79"/>
    <w:rsid w:val="00E02C7B"/>
    <w:rsid w:val="00E93B7E"/>
    <w:rsid w:val="00F00737"/>
    <w:rsid w:val="00F076D5"/>
    <w:rsid w:val="00FC2D14"/>
    <w:rsid w:val="01581565"/>
    <w:rsid w:val="018C6070"/>
    <w:rsid w:val="01C761D7"/>
    <w:rsid w:val="01E53753"/>
    <w:rsid w:val="02160F0D"/>
    <w:rsid w:val="023672ED"/>
    <w:rsid w:val="02631873"/>
    <w:rsid w:val="02B250DA"/>
    <w:rsid w:val="034C1AC1"/>
    <w:rsid w:val="036C34DA"/>
    <w:rsid w:val="038B633D"/>
    <w:rsid w:val="04651CD8"/>
    <w:rsid w:val="056115DE"/>
    <w:rsid w:val="05A827C4"/>
    <w:rsid w:val="05AD33B7"/>
    <w:rsid w:val="06585F98"/>
    <w:rsid w:val="0676048C"/>
    <w:rsid w:val="067A7CBC"/>
    <w:rsid w:val="07151AAC"/>
    <w:rsid w:val="07CD02C0"/>
    <w:rsid w:val="07D72EEC"/>
    <w:rsid w:val="07FE68D8"/>
    <w:rsid w:val="08026E89"/>
    <w:rsid w:val="0817314E"/>
    <w:rsid w:val="08435968"/>
    <w:rsid w:val="08C73870"/>
    <w:rsid w:val="09811362"/>
    <w:rsid w:val="09B30868"/>
    <w:rsid w:val="0A8E1F88"/>
    <w:rsid w:val="0A916C8D"/>
    <w:rsid w:val="0A916CE8"/>
    <w:rsid w:val="0A9316C7"/>
    <w:rsid w:val="0AEC0A3A"/>
    <w:rsid w:val="0B1C34EB"/>
    <w:rsid w:val="0B4C4533"/>
    <w:rsid w:val="0B4F7CF1"/>
    <w:rsid w:val="0B62471F"/>
    <w:rsid w:val="0BC94615"/>
    <w:rsid w:val="0BF82DBE"/>
    <w:rsid w:val="0C300E1D"/>
    <w:rsid w:val="0C6135C3"/>
    <w:rsid w:val="0C650EA3"/>
    <w:rsid w:val="0C856798"/>
    <w:rsid w:val="0CFD7FF3"/>
    <w:rsid w:val="0DB4438A"/>
    <w:rsid w:val="0DC97E72"/>
    <w:rsid w:val="0DE50FEE"/>
    <w:rsid w:val="0E1961AD"/>
    <w:rsid w:val="0E1A356C"/>
    <w:rsid w:val="0F48243A"/>
    <w:rsid w:val="0F52439A"/>
    <w:rsid w:val="0FAC5383"/>
    <w:rsid w:val="10716751"/>
    <w:rsid w:val="10C5422A"/>
    <w:rsid w:val="11337E3C"/>
    <w:rsid w:val="11BA090B"/>
    <w:rsid w:val="12333EE4"/>
    <w:rsid w:val="12DC3AAD"/>
    <w:rsid w:val="13D96E27"/>
    <w:rsid w:val="144B2F1F"/>
    <w:rsid w:val="146E6986"/>
    <w:rsid w:val="14F84334"/>
    <w:rsid w:val="15391263"/>
    <w:rsid w:val="155E4C4D"/>
    <w:rsid w:val="15695ACC"/>
    <w:rsid w:val="15787490"/>
    <w:rsid w:val="161B40F2"/>
    <w:rsid w:val="16C06143"/>
    <w:rsid w:val="16C4566D"/>
    <w:rsid w:val="16FD2F77"/>
    <w:rsid w:val="1702491D"/>
    <w:rsid w:val="170320FD"/>
    <w:rsid w:val="17A20754"/>
    <w:rsid w:val="189D2A9D"/>
    <w:rsid w:val="18C66D91"/>
    <w:rsid w:val="18D358DE"/>
    <w:rsid w:val="18DF4358"/>
    <w:rsid w:val="19570331"/>
    <w:rsid w:val="195F4D9D"/>
    <w:rsid w:val="19FA5EF9"/>
    <w:rsid w:val="1A336449"/>
    <w:rsid w:val="1A9571DF"/>
    <w:rsid w:val="1AA77D14"/>
    <w:rsid w:val="1AC92B69"/>
    <w:rsid w:val="1B113A00"/>
    <w:rsid w:val="1B235DAE"/>
    <w:rsid w:val="1B510143"/>
    <w:rsid w:val="1B8D2D4F"/>
    <w:rsid w:val="1BDE0896"/>
    <w:rsid w:val="1C010D8C"/>
    <w:rsid w:val="1C250273"/>
    <w:rsid w:val="1C415355"/>
    <w:rsid w:val="1C7E0123"/>
    <w:rsid w:val="1CF71C0F"/>
    <w:rsid w:val="1D3C0585"/>
    <w:rsid w:val="1D9147F3"/>
    <w:rsid w:val="1DA1207E"/>
    <w:rsid w:val="1DA85C49"/>
    <w:rsid w:val="1DB53D1A"/>
    <w:rsid w:val="1DCD471E"/>
    <w:rsid w:val="1DE0693E"/>
    <w:rsid w:val="1DF83E91"/>
    <w:rsid w:val="1E1D38F7"/>
    <w:rsid w:val="1E6E0C44"/>
    <w:rsid w:val="1E6F63A2"/>
    <w:rsid w:val="1E8262E5"/>
    <w:rsid w:val="1E8C40AB"/>
    <w:rsid w:val="1E957941"/>
    <w:rsid w:val="1EAB5D3A"/>
    <w:rsid w:val="1EE47F71"/>
    <w:rsid w:val="1F4B7821"/>
    <w:rsid w:val="1F9C4179"/>
    <w:rsid w:val="1FC11989"/>
    <w:rsid w:val="205556D2"/>
    <w:rsid w:val="206415BC"/>
    <w:rsid w:val="209333F0"/>
    <w:rsid w:val="209C3C7E"/>
    <w:rsid w:val="20A0436C"/>
    <w:rsid w:val="20D35C7C"/>
    <w:rsid w:val="20DF7CD1"/>
    <w:rsid w:val="213B6A5F"/>
    <w:rsid w:val="21B90F7E"/>
    <w:rsid w:val="22264E9F"/>
    <w:rsid w:val="22C13E76"/>
    <w:rsid w:val="22C716AF"/>
    <w:rsid w:val="22D86743"/>
    <w:rsid w:val="22EE01FF"/>
    <w:rsid w:val="23242460"/>
    <w:rsid w:val="23386ADD"/>
    <w:rsid w:val="233E757B"/>
    <w:rsid w:val="23926F99"/>
    <w:rsid w:val="23D762F6"/>
    <w:rsid w:val="24827227"/>
    <w:rsid w:val="25E94C56"/>
    <w:rsid w:val="26317AF9"/>
    <w:rsid w:val="264C4787"/>
    <w:rsid w:val="2650413E"/>
    <w:rsid w:val="26713B1C"/>
    <w:rsid w:val="268F2EB8"/>
    <w:rsid w:val="275F4878"/>
    <w:rsid w:val="27B71BDC"/>
    <w:rsid w:val="27BF1F36"/>
    <w:rsid w:val="27E014F2"/>
    <w:rsid w:val="2818512F"/>
    <w:rsid w:val="298E25C6"/>
    <w:rsid w:val="29CB534C"/>
    <w:rsid w:val="2AAE58D7"/>
    <w:rsid w:val="2AEA07B1"/>
    <w:rsid w:val="2B804747"/>
    <w:rsid w:val="2B9E737C"/>
    <w:rsid w:val="2C3466A3"/>
    <w:rsid w:val="2C6405D5"/>
    <w:rsid w:val="2CD02864"/>
    <w:rsid w:val="2D9C42F8"/>
    <w:rsid w:val="2DAA05D8"/>
    <w:rsid w:val="2DD35475"/>
    <w:rsid w:val="2E4427DA"/>
    <w:rsid w:val="2E60513A"/>
    <w:rsid w:val="2E742BAD"/>
    <w:rsid w:val="2EF53AD4"/>
    <w:rsid w:val="2F1269F6"/>
    <w:rsid w:val="2F24628C"/>
    <w:rsid w:val="300D35BB"/>
    <w:rsid w:val="303321F6"/>
    <w:rsid w:val="306D7C98"/>
    <w:rsid w:val="31683980"/>
    <w:rsid w:val="318F0210"/>
    <w:rsid w:val="31C563F1"/>
    <w:rsid w:val="31C75DAA"/>
    <w:rsid w:val="31D65E3F"/>
    <w:rsid w:val="31E762BB"/>
    <w:rsid w:val="32186458"/>
    <w:rsid w:val="322D6309"/>
    <w:rsid w:val="32CF15C1"/>
    <w:rsid w:val="330C3323"/>
    <w:rsid w:val="3311789A"/>
    <w:rsid w:val="33D67DAA"/>
    <w:rsid w:val="3466686B"/>
    <w:rsid w:val="34754DC8"/>
    <w:rsid w:val="34B0077D"/>
    <w:rsid w:val="35C6748A"/>
    <w:rsid w:val="365B4010"/>
    <w:rsid w:val="36AC6144"/>
    <w:rsid w:val="36CF1D40"/>
    <w:rsid w:val="37BE40BD"/>
    <w:rsid w:val="38A209AD"/>
    <w:rsid w:val="38BE7832"/>
    <w:rsid w:val="399570F6"/>
    <w:rsid w:val="39EB1D4D"/>
    <w:rsid w:val="3A360413"/>
    <w:rsid w:val="3B0A248D"/>
    <w:rsid w:val="3B3A797A"/>
    <w:rsid w:val="3B857DD2"/>
    <w:rsid w:val="3BC33F1F"/>
    <w:rsid w:val="3C246E37"/>
    <w:rsid w:val="3C5A141B"/>
    <w:rsid w:val="3D283F11"/>
    <w:rsid w:val="3D324146"/>
    <w:rsid w:val="3D592F61"/>
    <w:rsid w:val="3D6D744D"/>
    <w:rsid w:val="3D725802"/>
    <w:rsid w:val="3D961652"/>
    <w:rsid w:val="3D9D1CFA"/>
    <w:rsid w:val="3DB8754A"/>
    <w:rsid w:val="3DCE273D"/>
    <w:rsid w:val="3DED0A1A"/>
    <w:rsid w:val="3E6D6EC8"/>
    <w:rsid w:val="3E724260"/>
    <w:rsid w:val="3E8F701A"/>
    <w:rsid w:val="3EAF05B1"/>
    <w:rsid w:val="3EC3599D"/>
    <w:rsid w:val="3EE51306"/>
    <w:rsid w:val="3F021764"/>
    <w:rsid w:val="3F20694C"/>
    <w:rsid w:val="3F281CA4"/>
    <w:rsid w:val="3F4305BC"/>
    <w:rsid w:val="3F5B7B09"/>
    <w:rsid w:val="3FE62F91"/>
    <w:rsid w:val="40203FEA"/>
    <w:rsid w:val="405F34A4"/>
    <w:rsid w:val="412F10C8"/>
    <w:rsid w:val="41875AA0"/>
    <w:rsid w:val="41AE6491"/>
    <w:rsid w:val="41C83166"/>
    <w:rsid w:val="420A743F"/>
    <w:rsid w:val="423D22E0"/>
    <w:rsid w:val="42B7559B"/>
    <w:rsid w:val="42CE66BF"/>
    <w:rsid w:val="42E07819"/>
    <w:rsid w:val="42E81C6F"/>
    <w:rsid w:val="434E296B"/>
    <w:rsid w:val="43630524"/>
    <w:rsid w:val="43CF4BAB"/>
    <w:rsid w:val="43E90031"/>
    <w:rsid w:val="43EB5C8B"/>
    <w:rsid w:val="44053312"/>
    <w:rsid w:val="44184095"/>
    <w:rsid w:val="443A0746"/>
    <w:rsid w:val="450419BD"/>
    <w:rsid w:val="450F36EA"/>
    <w:rsid w:val="456B4699"/>
    <w:rsid w:val="45A3137A"/>
    <w:rsid w:val="45BC4766"/>
    <w:rsid w:val="45D70C80"/>
    <w:rsid w:val="45E14E28"/>
    <w:rsid w:val="46125A46"/>
    <w:rsid w:val="46A95F96"/>
    <w:rsid w:val="46C27AEB"/>
    <w:rsid w:val="47A0687C"/>
    <w:rsid w:val="47A7280F"/>
    <w:rsid w:val="47F4211A"/>
    <w:rsid w:val="48422099"/>
    <w:rsid w:val="487815A6"/>
    <w:rsid w:val="48BD480B"/>
    <w:rsid w:val="48C7608A"/>
    <w:rsid w:val="48FD5F50"/>
    <w:rsid w:val="492070BC"/>
    <w:rsid w:val="4923648E"/>
    <w:rsid w:val="492C7F29"/>
    <w:rsid w:val="49C64593"/>
    <w:rsid w:val="49CA57B5"/>
    <w:rsid w:val="49E10DD8"/>
    <w:rsid w:val="49E927F8"/>
    <w:rsid w:val="4A5B5089"/>
    <w:rsid w:val="4A7559DF"/>
    <w:rsid w:val="4B63653E"/>
    <w:rsid w:val="4BAD1567"/>
    <w:rsid w:val="4BB365CF"/>
    <w:rsid w:val="4C1D5473"/>
    <w:rsid w:val="4C217BE2"/>
    <w:rsid w:val="4C2825BB"/>
    <w:rsid w:val="4C3A36A3"/>
    <w:rsid w:val="4C555D87"/>
    <w:rsid w:val="4C5D11DF"/>
    <w:rsid w:val="4C5F3D5F"/>
    <w:rsid w:val="4C806C7C"/>
    <w:rsid w:val="4D027691"/>
    <w:rsid w:val="4D126C3B"/>
    <w:rsid w:val="4D154D53"/>
    <w:rsid w:val="4DCB2985"/>
    <w:rsid w:val="4DEE5E67"/>
    <w:rsid w:val="4DF803FC"/>
    <w:rsid w:val="4E2F3A67"/>
    <w:rsid w:val="4E6E699C"/>
    <w:rsid w:val="4E953BAD"/>
    <w:rsid w:val="4EB36BB2"/>
    <w:rsid w:val="4EFF468F"/>
    <w:rsid w:val="4FA64C4B"/>
    <w:rsid w:val="4FDE50B0"/>
    <w:rsid w:val="4FF37FB0"/>
    <w:rsid w:val="4FF70A63"/>
    <w:rsid w:val="506D23D5"/>
    <w:rsid w:val="50E1107E"/>
    <w:rsid w:val="50EB040D"/>
    <w:rsid w:val="51877DA1"/>
    <w:rsid w:val="51B82A14"/>
    <w:rsid w:val="52052549"/>
    <w:rsid w:val="52307901"/>
    <w:rsid w:val="52546BE0"/>
    <w:rsid w:val="525A21FE"/>
    <w:rsid w:val="527E3C5D"/>
    <w:rsid w:val="52980256"/>
    <w:rsid w:val="52C25BF0"/>
    <w:rsid w:val="53062066"/>
    <w:rsid w:val="5371722A"/>
    <w:rsid w:val="53865D3E"/>
    <w:rsid w:val="53921DDD"/>
    <w:rsid w:val="539D5DC7"/>
    <w:rsid w:val="53FC6842"/>
    <w:rsid w:val="543A691D"/>
    <w:rsid w:val="546450D5"/>
    <w:rsid w:val="546F4E2A"/>
    <w:rsid w:val="549C03CB"/>
    <w:rsid w:val="549D39F9"/>
    <w:rsid w:val="54D454AF"/>
    <w:rsid w:val="54ED6E78"/>
    <w:rsid w:val="553D0D07"/>
    <w:rsid w:val="55592273"/>
    <w:rsid w:val="559C753C"/>
    <w:rsid w:val="5660659C"/>
    <w:rsid w:val="5689497F"/>
    <w:rsid w:val="56E80260"/>
    <w:rsid w:val="58151784"/>
    <w:rsid w:val="58CB44FD"/>
    <w:rsid w:val="59287FB6"/>
    <w:rsid w:val="59425701"/>
    <w:rsid w:val="5947074E"/>
    <w:rsid w:val="594E3818"/>
    <w:rsid w:val="59501C81"/>
    <w:rsid w:val="599153A3"/>
    <w:rsid w:val="599A1BF3"/>
    <w:rsid w:val="59D11F34"/>
    <w:rsid w:val="59FA7C3F"/>
    <w:rsid w:val="5A03311A"/>
    <w:rsid w:val="5A690D72"/>
    <w:rsid w:val="5AC81734"/>
    <w:rsid w:val="5B0162E2"/>
    <w:rsid w:val="5B0D4A39"/>
    <w:rsid w:val="5B136BFA"/>
    <w:rsid w:val="5B97641B"/>
    <w:rsid w:val="5BFF7221"/>
    <w:rsid w:val="5C240471"/>
    <w:rsid w:val="5C7C1618"/>
    <w:rsid w:val="5C835988"/>
    <w:rsid w:val="5CC16C66"/>
    <w:rsid w:val="5D34541F"/>
    <w:rsid w:val="5D752101"/>
    <w:rsid w:val="5DBF512A"/>
    <w:rsid w:val="5DE87A06"/>
    <w:rsid w:val="5E04510B"/>
    <w:rsid w:val="5E4F367F"/>
    <w:rsid w:val="5E693339"/>
    <w:rsid w:val="5EE91E12"/>
    <w:rsid w:val="5F1D65AC"/>
    <w:rsid w:val="5F4806AC"/>
    <w:rsid w:val="60B140AA"/>
    <w:rsid w:val="60B60A66"/>
    <w:rsid w:val="60E26AAE"/>
    <w:rsid w:val="60EF3A5C"/>
    <w:rsid w:val="611950DF"/>
    <w:rsid w:val="61424CEA"/>
    <w:rsid w:val="624F222A"/>
    <w:rsid w:val="626270BE"/>
    <w:rsid w:val="626A16CA"/>
    <w:rsid w:val="63536A40"/>
    <w:rsid w:val="63B346D6"/>
    <w:rsid w:val="63BF5E84"/>
    <w:rsid w:val="640F486F"/>
    <w:rsid w:val="641F2CDC"/>
    <w:rsid w:val="64277E74"/>
    <w:rsid w:val="6486314F"/>
    <w:rsid w:val="648E0BCC"/>
    <w:rsid w:val="64A0533A"/>
    <w:rsid w:val="64FF62E8"/>
    <w:rsid w:val="651B4572"/>
    <w:rsid w:val="655C5BD8"/>
    <w:rsid w:val="656D4AE4"/>
    <w:rsid w:val="65735178"/>
    <w:rsid w:val="657F4273"/>
    <w:rsid w:val="65A11769"/>
    <w:rsid w:val="65B80DDC"/>
    <w:rsid w:val="65FA7B96"/>
    <w:rsid w:val="66180D2A"/>
    <w:rsid w:val="665E1984"/>
    <w:rsid w:val="66C73D09"/>
    <w:rsid w:val="66E70B06"/>
    <w:rsid w:val="675B0ED6"/>
    <w:rsid w:val="67ED1662"/>
    <w:rsid w:val="67FF7197"/>
    <w:rsid w:val="681503E6"/>
    <w:rsid w:val="684C40FA"/>
    <w:rsid w:val="68586A58"/>
    <w:rsid w:val="68776D2D"/>
    <w:rsid w:val="68915BF3"/>
    <w:rsid w:val="68963C06"/>
    <w:rsid w:val="68B76E8D"/>
    <w:rsid w:val="69087D5E"/>
    <w:rsid w:val="692B5534"/>
    <w:rsid w:val="69530AE0"/>
    <w:rsid w:val="696279DD"/>
    <w:rsid w:val="69972FAF"/>
    <w:rsid w:val="69A27DD9"/>
    <w:rsid w:val="69B34151"/>
    <w:rsid w:val="69B95123"/>
    <w:rsid w:val="69C6749B"/>
    <w:rsid w:val="69D86B37"/>
    <w:rsid w:val="69E15F06"/>
    <w:rsid w:val="69F7595F"/>
    <w:rsid w:val="6A15432A"/>
    <w:rsid w:val="6A162576"/>
    <w:rsid w:val="6A20494B"/>
    <w:rsid w:val="6A2D2E4F"/>
    <w:rsid w:val="6A6432E1"/>
    <w:rsid w:val="6A9E73B8"/>
    <w:rsid w:val="6ADA17F5"/>
    <w:rsid w:val="6AFD409F"/>
    <w:rsid w:val="6AFF07FC"/>
    <w:rsid w:val="6B1C3BBC"/>
    <w:rsid w:val="6B557885"/>
    <w:rsid w:val="6B582DB4"/>
    <w:rsid w:val="6BA0069A"/>
    <w:rsid w:val="6C003CDB"/>
    <w:rsid w:val="6C8924F4"/>
    <w:rsid w:val="6C8934D3"/>
    <w:rsid w:val="6C9140C4"/>
    <w:rsid w:val="6CC25A07"/>
    <w:rsid w:val="6D0112BB"/>
    <w:rsid w:val="6E0510B9"/>
    <w:rsid w:val="6E453429"/>
    <w:rsid w:val="6F0D3EBE"/>
    <w:rsid w:val="6F45057D"/>
    <w:rsid w:val="6F677828"/>
    <w:rsid w:val="6F927428"/>
    <w:rsid w:val="6FA75664"/>
    <w:rsid w:val="6FAB31E7"/>
    <w:rsid w:val="6FC14CC5"/>
    <w:rsid w:val="702F5034"/>
    <w:rsid w:val="7036571F"/>
    <w:rsid w:val="70513C25"/>
    <w:rsid w:val="706149AD"/>
    <w:rsid w:val="70626A2B"/>
    <w:rsid w:val="707903FB"/>
    <w:rsid w:val="70835CD2"/>
    <w:rsid w:val="70C03FCF"/>
    <w:rsid w:val="71005A81"/>
    <w:rsid w:val="711A0B9D"/>
    <w:rsid w:val="715B1F2D"/>
    <w:rsid w:val="71A65446"/>
    <w:rsid w:val="725F5851"/>
    <w:rsid w:val="72A70753"/>
    <w:rsid w:val="72B80887"/>
    <w:rsid w:val="73242613"/>
    <w:rsid w:val="73246FA0"/>
    <w:rsid w:val="73D922A7"/>
    <w:rsid w:val="74553998"/>
    <w:rsid w:val="74687095"/>
    <w:rsid w:val="74E2242F"/>
    <w:rsid w:val="752D5A84"/>
    <w:rsid w:val="755A549E"/>
    <w:rsid w:val="75A75FE1"/>
    <w:rsid w:val="75F919F9"/>
    <w:rsid w:val="76485616"/>
    <w:rsid w:val="76877EAC"/>
    <w:rsid w:val="76B15B00"/>
    <w:rsid w:val="76BF279D"/>
    <w:rsid w:val="773B56E9"/>
    <w:rsid w:val="77632C42"/>
    <w:rsid w:val="77CB0E43"/>
    <w:rsid w:val="77D000DA"/>
    <w:rsid w:val="77F54865"/>
    <w:rsid w:val="78A51694"/>
    <w:rsid w:val="78C54D86"/>
    <w:rsid w:val="79091A80"/>
    <w:rsid w:val="79EB1881"/>
    <w:rsid w:val="7A007B8F"/>
    <w:rsid w:val="7A7266CB"/>
    <w:rsid w:val="7A821C2B"/>
    <w:rsid w:val="7A99091A"/>
    <w:rsid w:val="7AAB75A7"/>
    <w:rsid w:val="7ACB0B2F"/>
    <w:rsid w:val="7B184858"/>
    <w:rsid w:val="7BB73BB8"/>
    <w:rsid w:val="7BCF7191"/>
    <w:rsid w:val="7BDD6F91"/>
    <w:rsid w:val="7BFC0690"/>
    <w:rsid w:val="7C24585F"/>
    <w:rsid w:val="7C913580"/>
    <w:rsid w:val="7D196ED2"/>
    <w:rsid w:val="7DFD5ACF"/>
    <w:rsid w:val="7E26428D"/>
    <w:rsid w:val="7E914070"/>
    <w:rsid w:val="7EB5764B"/>
    <w:rsid w:val="7EC02D84"/>
    <w:rsid w:val="7EDB28C0"/>
    <w:rsid w:val="7F1425BF"/>
    <w:rsid w:val="7F481774"/>
    <w:rsid w:val="7FA24E5C"/>
    <w:rsid w:val="7FBB6BA4"/>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0"/>
    <w:pPr>
      <w:keepNext/>
      <w:keepLines/>
      <w:numPr>
        <w:ilvl w:val="0"/>
        <w:numId w:val="1"/>
      </w:numPr>
      <w:spacing w:line="480" w:lineRule="auto"/>
      <w:outlineLvl w:val="0"/>
    </w:pPr>
    <w:rPr>
      <w:rFonts w:ascii="Arial" w:hAnsi="Arial"/>
      <w:b/>
      <w:bCs/>
      <w:kern w:val="44"/>
      <w:sz w:val="24"/>
      <w:szCs w:val="44"/>
    </w:rPr>
  </w:style>
  <w:style w:type="paragraph" w:styleId="3">
    <w:name w:val="heading 2"/>
    <w:basedOn w:val="1"/>
    <w:next w:val="1"/>
    <w:unhideWhenUsed/>
    <w:qFormat/>
    <w:uiPriority w:val="0"/>
    <w:pPr>
      <w:keepNext/>
      <w:keepLines/>
      <w:numPr>
        <w:ilvl w:val="1"/>
        <w:numId w:val="1"/>
      </w:numPr>
      <w:spacing w:line="480" w:lineRule="auto"/>
      <w:ind w:left="0" w:firstLine="0"/>
      <w:outlineLvl w:val="1"/>
    </w:pPr>
    <w:rPr>
      <w:rFonts w:ascii="Arial" w:hAnsi="Arial" w:eastAsia="Times New Roman" w:cstheme="majorBidi"/>
      <w:b/>
      <w:bCs/>
      <w:sz w:val="24"/>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b/>
      <w:sz w:val="24"/>
    </w:rPr>
  </w:style>
  <w:style w:type="paragraph" w:styleId="6">
    <w:name w:val="heading 5"/>
    <w:basedOn w:val="1"/>
    <w:next w:val="1"/>
    <w:unhideWhenUsed/>
    <w:qFormat/>
    <w:uiPriority w:val="0"/>
    <w:pPr>
      <w:keepNext/>
      <w:keepLines/>
      <w:spacing w:before="280" w:after="290" w:line="372" w:lineRule="auto"/>
      <w:outlineLvl w:val="4"/>
    </w:pPr>
    <w:rPr>
      <w:b/>
      <w:sz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0"/>
    <w:rPr>
      <w:rFonts w:eastAsia="黑体" w:asciiTheme="majorHAnsi" w:hAnsiTheme="majorHAnsi" w:cstheme="majorBidi"/>
      <w:sz w:val="20"/>
      <w:szCs w:val="20"/>
    </w:rPr>
  </w:style>
  <w:style w:type="paragraph" w:styleId="8">
    <w:name w:val="toc 1"/>
    <w:basedOn w:val="1"/>
    <w:next w:val="1"/>
    <w:qFormat/>
    <w:uiPriority w:val="39"/>
  </w:style>
  <w:style w:type="paragraph" w:styleId="9">
    <w:name w:val="table of figures"/>
    <w:basedOn w:val="1"/>
    <w:next w:val="1"/>
    <w:qFormat/>
    <w:uiPriority w:val="99"/>
    <w:pPr>
      <w:ind w:left="200" w:leftChars="200" w:hanging="200" w:hangingChars="200"/>
    </w:pPr>
  </w:style>
  <w:style w:type="paragraph" w:styleId="10">
    <w:name w:val="Normal (Web)"/>
    <w:basedOn w:val="1"/>
    <w:qFormat/>
    <w:uiPriority w:val="0"/>
    <w:rPr>
      <w:sz w:val="24"/>
    </w:rPr>
  </w:style>
  <w:style w:type="character" w:styleId="13">
    <w:name w:val="line number"/>
    <w:basedOn w:val="12"/>
    <w:qFormat/>
    <w:uiPriority w:val="0"/>
  </w:style>
  <w:style w:type="character" w:styleId="14">
    <w:name w:val="Hyperlink"/>
    <w:basedOn w:val="12"/>
    <w:unhideWhenUsed/>
    <w:qFormat/>
    <w:uiPriority w:val="99"/>
    <w:rPr>
      <w:color w:val="0026E5" w:themeColor="hyperlink"/>
      <w:u w:val="single"/>
      <w14:textFill>
        <w14:solidFill>
          <w14:schemeClr w14:val="hlink"/>
        </w14:solidFill>
      </w14:textFill>
    </w:rPr>
  </w:style>
  <w:style w:type="paragraph" w:customStyle="1" w:styleId="15">
    <w:name w:val="表格"/>
    <w:basedOn w:val="1"/>
    <w:next w:val="16"/>
    <w:autoRedefine/>
    <w:qFormat/>
    <w:uiPriority w:val="0"/>
    <w:pPr>
      <w:jc w:val="center"/>
    </w:pPr>
    <w:rPr>
      <w:sz w:val="18"/>
    </w:rPr>
  </w:style>
  <w:style w:type="paragraph" w:customStyle="1" w:styleId="16">
    <w:name w:val="论文正文"/>
    <w:basedOn w:val="1"/>
    <w:autoRedefine/>
    <w:qFormat/>
    <w:uiPriority w:val="0"/>
    <w:pPr>
      <w:spacing w:line="400" w:lineRule="exact"/>
      <w:ind w:firstLine="200" w:firstLineChars="200"/>
    </w:pPr>
  </w:style>
  <w:style w:type="table" w:customStyle="1" w:styleId="17">
    <w:name w:val="三线表格"/>
    <w:basedOn w:val="11"/>
    <w:autoRedefine/>
    <w:qFormat/>
    <w:uiPriority w:val="0"/>
    <w:pPr>
      <w:jc w:val="center"/>
    </w:pPr>
    <w:rPr>
      <w:sz w:val="18"/>
    </w:rPr>
    <w:tblPr>
      <w:tblBorders>
        <w:bottom w:val="single" w:color="auto" w:sz="12" w:space="0"/>
      </w:tblBorders>
    </w:tblPr>
    <w:tblStylePr w:type="firstRow">
      <w:rPr>
        <w:rFonts w:eastAsia="黑体"/>
        <w:sz w:val="24"/>
      </w:rPr>
      <w:tcPr>
        <w:tcBorders>
          <w:top w:val="single" w:color="auto" w:sz="12" w:space="0"/>
          <w:left w:val="nil"/>
          <w:bottom w:val="single" w:color="auto" w:sz="6" w:space="0"/>
          <w:right w:val="nil"/>
          <w:insideH w:val="nil"/>
          <w:insideV w:val="nil"/>
          <w:tl2br w:val="nil"/>
          <w:tr2bl w:val="nil"/>
        </w:tcBorders>
      </w:tcPr>
    </w:tblStylePr>
    <w:tblStylePr w:type="lastRow">
      <w:tcPr>
        <w:tcBorders>
          <w:top w:val="nil"/>
          <w:left w:val="nil"/>
          <w:bottom w:val="single" w:color="auto" w:sz="12" w:space="0"/>
          <w:right w:val="nil"/>
          <w:insideH w:val="nil"/>
          <w:insideV w:val="nil"/>
          <w:tl2br w:val="nil"/>
          <w:tr2bl w:val="nil"/>
        </w:tcBorders>
      </w:tcPr>
    </w:tblStyle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标题 1 字符"/>
    <w:link w:val="2"/>
    <w:qFormat/>
    <w:uiPriority w:val="0"/>
    <w:rPr>
      <w:rFonts w:ascii="Arial" w:hAnsi="Arial"/>
      <w:b/>
      <w:bCs/>
      <w:kern w:val="44"/>
      <w:sz w:val="24"/>
      <w:szCs w:val="44"/>
    </w:rPr>
  </w:style>
  <w:style w:type="character" w:customStyle="1" w:styleId="20">
    <w:name w:val="font41"/>
    <w:basedOn w:val="12"/>
    <w:qFormat/>
    <w:uiPriority w:val="0"/>
    <w:rPr>
      <w:rFonts w:hint="eastAsia" w:ascii="宋体" w:hAnsi="宋体" w:eastAsia="宋体" w:cs="宋体"/>
      <w:color w:val="000000"/>
      <w:sz w:val="18"/>
      <w:szCs w:val="18"/>
      <w:u w:val="none"/>
    </w:rPr>
  </w:style>
  <w:style w:type="character" w:customStyle="1" w:styleId="21">
    <w:name w:val="font31"/>
    <w:basedOn w:val="12"/>
    <w:qFormat/>
    <w:uiPriority w:val="0"/>
    <w:rPr>
      <w:rFonts w:hint="default" w:ascii="Times New Roman" w:hAnsi="Times New Roman" w:cs="Times New Roman"/>
      <w:color w:val="000000"/>
      <w:sz w:val="18"/>
      <w:szCs w:val="18"/>
      <w:u w:val="none"/>
    </w:rPr>
  </w:style>
  <w:style w:type="character" w:customStyle="1" w:styleId="22">
    <w:name w:val="font11"/>
    <w:basedOn w:val="12"/>
    <w:qFormat/>
    <w:uiPriority w:val="0"/>
    <w:rPr>
      <w:rFonts w:hint="default" w:ascii="Times New Roman" w:hAnsi="Times New Roman" w:cs="Times New Roman"/>
      <w:b/>
      <w:bCs/>
      <w:color w:val="000000"/>
      <w:sz w:val="18"/>
      <w:szCs w:val="18"/>
      <w:u w:val="none"/>
    </w:rPr>
  </w:style>
  <w:style w:type="character" w:customStyle="1" w:styleId="23">
    <w:name w:val="font21"/>
    <w:basedOn w:val="12"/>
    <w:qFormat/>
    <w:uiPriority w:val="0"/>
    <w:rPr>
      <w:rFonts w:hint="default" w:ascii="Times New Roman" w:hAnsi="Times New Roman" w:cs="Times New Roman"/>
      <w:color w:val="000000"/>
      <w:sz w:val="18"/>
      <w:szCs w:val="18"/>
      <w:u w:val="none"/>
    </w:rPr>
  </w:style>
  <w:style w:type="character" w:customStyle="1" w:styleId="24">
    <w:name w:val="font01"/>
    <w:basedOn w:val="12"/>
    <w:qFormat/>
    <w:uiPriority w:val="0"/>
    <w:rPr>
      <w:rFonts w:hint="eastAsia" w:ascii="宋体" w:hAnsi="宋体" w:eastAsia="宋体" w:cs="宋体"/>
      <w:color w:val="000000"/>
      <w:sz w:val="22"/>
      <w:szCs w:val="22"/>
      <w:u w:val="none"/>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6.bin"/><Relationship Id="rId17" Type="http://schemas.openxmlformats.org/officeDocument/2006/relationships/image" Target="media/image9.wmf"/><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8.wmf"/><Relationship Id="rId13" Type="http://schemas.openxmlformats.org/officeDocument/2006/relationships/oleObject" Target="embeddings/oleObject3.bin"/><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496D7-003C-4C01-836E-61A3521563C5}">
  <ds:schemaRefs/>
</ds:datastoreItem>
</file>

<file path=docProps/app.xml><?xml version="1.0" encoding="utf-8"?>
<Properties xmlns="http://schemas.openxmlformats.org/officeDocument/2006/extended-properties" xmlns:vt="http://schemas.openxmlformats.org/officeDocument/2006/docPropsVTypes">
  <Template>Normal</Template>
  <Pages>63</Pages>
  <Words>3545</Words>
  <Characters>22187</Characters>
  <Lines>2945</Lines>
  <Paragraphs>1960</Paragraphs>
  <TotalTime>1</TotalTime>
  <ScaleCrop>false</ScaleCrop>
  <LinksUpToDate>false</LinksUpToDate>
  <CharactersWithSpaces>25486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2024-11-13T06:21:00Z</dcterms:created>
  <dc:creator>周柯嘉</dc:creator>
  <cp:lastModifiedBy>周柯嘉</cp:lastModifiedBy>
  <dcterms:modified xsi:type="dcterms:W3CDTF">2025-12-23T08:32:11Z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D09DFF4A1BA5495FA3FB2D943C116C18_11</vt:lpwstr>
  </property>
  <property fmtid="{D5CDD505-2E9C-101B-9397-08002B2CF9AE}" pid="4" name="KSOTemplateDocerSaveRecord">
    <vt:lpwstr>eyJoZGlkIjoiNDk5NTU4ZDk3Mjc2MjVlYjMzM2ExZjQ1NjM2MWU5MzciLCJ1c2VySWQiOiI2NjgwODQwOTQifQ==</vt:lpwstr>
  </property>
</Properties>
</file>